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6F2A2E">
      <w:pPr>
        <w:rPr>
          <w:rFonts w:cs="仿宋_GB2312" w:asciiTheme="minorEastAsia" w:hAnsiTheme="minorEastAsia" w:eastAsiaTheme="minorEastAsia"/>
          <w:color w:val="auto"/>
          <w:sz w:val="36"/>
          <w:szCs w:val="36"/>
        </w:rPr>
      </w:pPr>
    </w:p>
    <w:p w14:paraId="63DE04D1">
      <w:pPr>
        <w:rPr>
          <w:rFonts w:cs="仿宋_GB2312" w:asciiTheme="minorEastAsia" w:hAnsiTheme="minorEastAsia" w:eastAsiaTheme="minorEastAsia"/>
          <w:color w:val="auto"/>
          <w:sz w:val="36"/>
          <w:szCs w:val="36"/>
        </w:rPr>
      </w:pPr>
    </w:p>
    <w:p w14:paraId="5CE8F431">
      <w:pPr>
        <w:adjustRightInd w:val="0"/>
        <w:snapToGrid w:val="0"/>
        <w:jc w:val="center"/>
        <w:rPr>
          <w:rFonts w:ascii="方正小标宋_GBK" w:eastAsia="方正小标宋_GBK"/>
          <w:bCs/>
          <w:color w:val="auto"/>
          <w:sz w:val="72"/>
          <w:szCs w:val="72"/>
        </w:rPr>
      </w:pPr>
      <w:r>
        <w:rPr>
          <w:rFonts w:hint="eastAsia" w:ascii="方正小标宋_GBK" w:eastAsia="方正小标宋_GBK"/>
          <w:bCs/>
          <w:color w:val="auto"/>
          <w:sz w:val="72"/>
          <w:szCs w:val="72"/>
        </w:rPr>
        <w:t>建设项目环境影响报告表</w:t>
      </w:r>
    </w:p>
    <w:p w14:paraId="31774234">
      <w:pPr>
        <w:adjustRightInd w:val="0"/>
        <w:snapToGrid w:val="0"/>
        <w:spacing w:beforeLines="80"/>
        <w:jc w:val="center"/>
        <w:rPr>
          <w:rFonts w:ascii="楷体_GB2312" w:eastAsia="楷体_GB2312"/>
          <w:bCs/>
          <w:color w:val="auto"/>
          <w:sz w:val="48"/>
          <w:szCs w:val="48"/>
        </w:rPr>
      </w:pPr>
      <w:r>
        <w:rPr>
          <w:rFonts w:hint="eastAsia" w:ascii="楷体_GB2312" w:eastAsia="楷体_GB2312"/>
          <w:bCs/>
          <w:color w:val="auto"/>
          <w:sz w:val="48"/>
          <w:szCs w:val="48"/>
        </w:rPr>
        <w:t>（污染影响类）</w:t>
      </w:r>
    </w:p>
    <w:p w14:paraId="0BA82A2B">
      <w:pPr>
        <w:ind w:firstLine="1040"/>
        <w:rPr>
          <w:rFonts w:asciiTheme="minorEastAsia" w:hAnsiTheme="minorEastAsia" w:eastAsiaTheme="minorEastAsia"/>
          <w:color w:val="auto"/>
          <w:sz w:val="44"/>
          <w:szCs w:val="44"/>
        </w:rPr>
      </w:pPr>
    </w:p>
    <w:p w14:paraId="00C35D62">
      <w:pPr>
        <w:ind w:firstLine="1040"/>
        <w:rPr>
          <w:rFonts w:asciiTheme="minorEastAsia" w:hAnsiTheme="minorEastAsia" w:eastAsiaTheme="minorEastAsia"/>
          <w:color w:val="auto"/>
          <w:sz w:val="44"/>
          <w:szCs w:val="44"/>
        </w:rPr>
      </w:pPr>
    </w:p>
    <w:p w14:paraId="6FB9858F">
      <w:pPr>
        <w:ind w:firstLine="1040"/>
        <w:rPr>
          <w:rFonts w:asciiTheme="minorEastAsia" w:hAnsiTheme="minorEastAsia" w:eastAsiaTheme="minorEastAsia"/>
          <w:color w:val="auto"/>
          <w:sz w:val="44"/>
          <w:szCs w:val="44"/>
        </w:rPr>
      </w:pPr>
    </w:p>
    <w:p w14:paraId="47404FC0">
      <w:pPr>
        <w:ind w:firstLine="1040"/>
        <w:rPr>
          <w:rFonts w:asciiTheme="minorEastAsia" w:hAnsiTheme="minorEastAsia" w:eastAsiaTheme="minorEastAsia"/>
          <w:color w:val="auto"/>
          <w:sz w:val="44"/>
          <w:szCs w:val="44"/>
        </w:rPr>
      </w:pPr>
    </w:p>
    <w:p w14:paraId="73D09D41">
      <w:pPr>
        <w:ind w:firstLine="1040"/>
        <w:rPr>
          <w:rFonts w:asciiTheme="minorEastAsia" w:hAnsiTheme="minorEastAsia" w:eastAsiaTheme="minorEastAsia"/>
          <w:color w:val="auto"/>
          <w:sz w:val="44"/>
          <w:szCs w:val="44"/>
        </w:rPr>
      </w:pPr>
    </w:p>
    <w:p w14:paraId="1AEEAA46">
      <w:pPr>
        <w:pStyle w:val="46"/>
        <w:spacing w:before="24" w:after="24"/>
        <w:ind w:firstLine="880"/>
        <w:rPr>
          <w:rFonts w:asciiTheme="minorEastAsia" w:hAnsiTheme="minorEastAsia" w:eastAsiaTheme="minorEastAsia"/>
          <w:color w:val="auto"/>
          <w:sz w:val="44"/>
          <w:szCs w:val="44"/>
        </w:rPr>
      </w:pPr>
    </w:p>
    <w:p w14:paraId="0DFEF27F">
      <w:pPr>
        <w:rPr>
          <w:color w:val="auto"/>
        </w:rPr>
      </w:pPr>
    </w:p>
    <w:p w14:paraId="6266505B">
      <w:pPr>
        <w:adjustRightInd w:val="0"/>
        <w:snapToGrid w:val="0"/>
        <w:spacing w:line="360" w:lineRule="auto"/>
        <w:ind w:left="2877" w:leftChars="513" w:hanging="1800" w:hangingChars="500"/>
        <w:rPr>
          <w:rFonts w:hint="default" w:ascii="仿宋" w:hAnsi="仿宋" w:eastAsia="仿宋"/>
          <w:color w:val="auto"/>
          <w:sz w:val="36"/>
          <w:szCs w:val="36"/>
          <w:u w:val="single"/>
          <w:lang w:val="en-US" w:eastAsia="zh-CN"/>
        </w:rPr>
      </w:pPr>
      <w:r>
        <w:rPr>
          <w:rFonts w:hint="eastAsia" w:ascii="仿宋" w:hAnsi="仿宋" w:eastAsia="仿宋"/>
          <w:color w:val="auto"/>
          <w:sz w:val="36"/>
          <w:szCs w:val="36"/>
        </w:rPr>
        <w:t>项目名称：</w:t>
      </w:r>
      <w:r>
        <w:rPr>
          <w:rFonts w:hint="eastAsia" w:ascii="仿宋" w:hAnsi="仿宋" w:eastAsia="仿宋"/>
          <w:color w:val="auto"/>
          <w:sz w:val="36"/>
          <w:szCs w:val="36"/>
          <w:u w:val="single"/>
          <w:lang w:eastAsia="zh-CN"/>
        </w:rPr>
        <w:t>中冶重工（唐山）有限公司大型多向模锻产能提升项目</w:t>
      </w:r>
      <w:r>
        <w:rPr>
          <w:rFonts w:hint="eastAsia" w:ascii="仿宋" w:hAnsi="仿宋" w:eastAsia="仿宋"/>
          <w:color w:val="auto"/>
          <w:sz w:val="36"/>
          <w:szCs w:val="36"/>
          <w:u w:val="single"/>
          <w:lang w:val="en-US" w:eastAsia="zh-CN"/>
        </w:rPr>
        <w:t xml:space="preserve">                   </w:t>
      </w:r>
    </w:p>
    <w:p w14:paraId="2E550F2A">
      <w:pPr>
        <w:adjustRightInd w:val="0"/>
        <w:snapToGrid w:val="0"/>
        <w:spacing w:line="360" w:lineRule="auto"/>
        <w:ind w:firstLine="964"/>
        <w:rPr>
          <w:rFonts w:hint="default" w:ascii="仿宋" w:hAnsi="仿宋" w:eastAsia="仿宋"/>
          <w:color w:val="auto"/>
          <w:sz w:val="36"/>
          <w:szCs w:val="36"/>
          <w:u w:val="single"/>
          <w:lang w:val="en-US" w:eastAsia="zh-CN"/>
        </w:rPr>
      </w:pPr>
      <w:r>
        <w:rPr>
          <w:rFonts w:hint="eastAsia" w:ascii="仿宋" w:hAnsi="仿宋" w:eastAsia="仿宋"/>
          <w:color w:val="auto"/>
          <w:sz w:val="36"/>
          <w:szCs w:val="36"/>
        </w:rPr>
        <w:t>建设单位（盖章）：</w:t>
      </w:r>
      <w:r>
        <w:rPr>
          <w:rFonts w:hint="eastAsia" w:ascii="仿宋" w:hAnsi="仿宋" w:eastAsia="仿宋"/>
          <w:color w:val="auto"/>
          <w:sz w:val="36"/>
          <w:szCs w:val="36"/>
          <w:u w:val="single"/>
        </w:rPr>
        <w:t>中冶重工（唐山）有限公司</w:t>
      </w:r>
      <w:r>
        <w:rPr>
          <w:rFonts w:hint="eastAsia" w:ascii="仿宋" w:hAnsi="仿宋" w:eastAsia="仿宋"/>
          <w:color w:val="auto"/>
          <w:sz w:val="36"/>
          <w:szCs w:val="36"/>
          <w:u w:val="single"/>
          <w:lang w:val="en-US" w:eastAsia="zh-CN"/>
        </w:rPr>
        <w:t xml:space="preserve">  </w:t>
      </w:r>
    </w:p>
    <w:p w14:paraId="3AB2D662">
      <w:pPr>
        <w:adjustRightInd w:val="0"/>
        <w:snapToGrid w:val="0"/>
        <w:spacing w:line="360" w:lineRule="auto"/>
        <w:ind w:firstLine="964"/>
        <w:rPr>
          <w:rFonts w:hint="eastAsia" w:ascii="仿宋" w:hAnsi="仿宋" w:eastAsia="仿宋"/>
          <w:color w:val="auto"/>
          <w:sz w:val="36"/>
          <w:szCs w:val="36"/>
          <w:u w:val="single"/>
          <w:lang w:val="en-US" w:eastAsia="zh-CN"/>
        </w:rPr>
      </w:pPr>
      <w:r>
        <w:rPr>
          <w:rFonts w:hint="eastAsia" w:ascii="仿宋" w:hAnsi="仿宋" w:eastAsia="仿宋"/>
          <w:color w:val="auto"/>
          <w:sz w:val="36"/>
          <w:szCs w:val="36"/>
        </w:rPr>
        <w:t xml:space="preserve">编制日期： </w:t>
      </w:r>
      <w:r>
        <w:rPr>
          <w:rFonts w:hint="eastAsia" w:ascii="仿宋" w:hAnsi="仿宋" w:eastAsia="仿宋"/>
          <w:color w:val="auto"/>
          <w:sz w:val="36"/>
          <w:szCs w:val="36"/>
          <w:u w:val="single"/>
        </w:rPr>
        <w:t xml:space="preserve">         202</w:t>
      </w:r>
      <w:r>
        <w:rPr>
          <w:rFonts w:hint="eastAsia" w:ascii="仿宋" w:hAnsi="仿宋" w:eastAsia="仿宋"/>
          <w:color w:val="auto"/>
          <w:sz w:val="36"/>
          <w:szCs w:val="36"/>
          <w:u w:val="single"/>
          <w:lang w:val="en-US" w:eastAsia="zh-CN"/>
        </w:rPr>
        <w:t>6</w:t>
      </w:r>
      <w:r>
        <w:rPr>
          <w:rFonts w:hint="eastAsia" w:ascii="仿宋" w:hAnsi="仿宋" w:eastAsia="仿宋"/>
          <w:color w:val="auto"/>
          <w:sz w:val="36"/>
          <w:szCs w:val="36"/>
          <w:u w:val="single"/>
        </w:rPr>
        <w:t>年</w:t>
      </w:r>
      <w:r>
        <w:rPr>
          <w:rFonts w:hint="eastAsia" w:ascii="仿宋" w:hAnsi="仿宋" w:eastAsia="仿宋"/>
          <w:color w:val="auto"/>
          <w:sz w:val="36"/>
          <w:szCs w:val="36"/>
          <w:u w:val="single"/>
          <w:lang w:val="en-US" w:eastAsia="zh-CN"/>
        </w:rPr>
        <w:t>6</w:t>
      </w:r>
      <w:r>
        <w:rPr>
          <w:rFonts w:hint="eastAsia" w:ascii="仿宋" w:hAnsi="仿宋" w:eastAsia="仿宋"/>
          <w:color w:val="auto"/>
          <w:sz w:val="36"/>
          <w:szCs w:val="36"/>
          <w:u w:val="single"/>
        </w:rPr>
        <w:t xml:space="preserve">月            </w:t>
      </w:r>
      <w:r>
        <w:rPr>
          <w:rFonts w:hint="eastAsia" w:ascii="仿宋" w:hAnsi="仿宋" w:eastAsia="仿宋"/>
          <w:color w:val="auto"/>
          <w:sz w:val="36"/>
          <w:szCs w:val="36"/>
          <w:u w:val="single"/>
          <w:lang w:val="en-US" w:eastAsia="zh-CN"/>
        </w:rPr>
        <w:t xml:space="preserve"> </w:t>
      </w:r>
    </w:p>
    <w:p w14:paraId="5AA01970">
      <w:pPr>
        <w:ind w:firstLine="1040"/>
        <w:rPr>
          <w:rFonts w:asciiTheme="minorEastAsia" w:hAnsiTheme="minorEastAsia" w:eastAsiaTheme="minorEastAsia"/>
          <w:color w:val="auto"/>
          <w:sz w:val="44"/>
          <w:szCs w:val="44"/>
        </w:rPr>
      </w:pPr>
    </w:p>
    <w:p w14:paraId="32F9F627">
      <w:pPr>
        <w:adjustRightInd w:val="0"/>
        <w:snapToGrid w:val="0"/>
        <w:spacing w:line="288" w:lineRule="auto"/>
        <w:ind w:firstLine="1040"/>
        <w:rPr>
          <w:rFonts w:ascii="仿宋_GB2312" w:eastAsia="仿宋_GB2312"/>
          <w:color w:val="auto"/>
          <w:sz w:val="36"/>
          <w:szCs w:val="36"/>
        </w:rPr>
      </w:pPr>
      <w:bookmarkStart w:id="0" w:name="_Hlk57884087"/>
    </w:p>
    <w:p w14:paraId="35DC2910">
      <w:pPr>
        <w:pStyle w:val="41"/>
        <w:ind w:left="420"/>
        <w:rPr>
          <w:rFonts w:ascii="仿宋_GB2312" w:eastAsia="仿宋_GB2312" w:cs="Times New Roman"/>
          <w:color w:val="auto"/>
          <w:sz w:val="36"/>
          <w:szCs w:val="36"/>
        </w:rPr>
      </w:pPr>
    </w:p>
    <w:p w14:paraId="37A62023">
      <w:pPr>
        <w:pStyle w:val="41"/>
        <w:ind w:left="420"/>
        <w:rPr>
          <w:rFonts w:ascii="仿宋_GB2312" w:eastAsia="仿宋_GB2312" w:cs="Times New Roman"/>
          <w:color w:val="auto"/>
          <w:sz w:val="36"/>
          <w:szCs w:val="36"/>
        </w:rPr>
      </w:pPr>
    </w:p>
    <w:p w14:paraId="11091FA7">
      <w:pPr>
        <w:pStyle w:val="46"/>
        <w:spacing w:before="24" w:after="24"/>
        <w:ind w:firstLine="480"/>
        <w:rPr>
          <w:color w:val="auto"/>
        </w:rPr>
      </w:pPr>
    </w:p>
    <w:bookmarkEnd w:id="0"/>
    <w:p w14:paraId="423AFB24">
      <w:pPr>
        <w:adjustRightInd w:val="0"/>
        <w:snapToGrid w:val="0"/>
        <w:spacing w:line="288" w:lineRule="auto"/>
        <w:jc w:val="center"/>
        <w:rPr>
          <w:rFonts w:ascii="仿宋_GB2312" w:eastAsia="仿宋_GB2312"/>
          <w:color w:val="auto"/>
          <w:sz w:val="36"/>
          <w:szCs w:val="36"/>
        </w:rPr>
      </w:pPr>
      <w:r>
        <w:rPr>
          <w:rFonts w:hint="eastAsia" w:ascii="楷体_GB2312" w:eastAsia="楷体_GB2312"/>
          <w:color w:val="auto"/>
          <w:sz w:val="36"/>
          <w:szCs w:val="36"/>
        </w:rPr>
        <w:t>中华人民共和国生态环境部制</w:t>
      </w:r>
    </w:p>
    <w:p w14:paraId="53B79C4B">
      <w:pPr>
        <w:adjustRightInd w:val="0"/>
        <w:snapToGrid w:val="0"/>
        <w:spacing w:line="288" w:lineRule="auto"/>
        <w:ind w:firstLine="1040"/>
        <w:rPr>
          <w:rFonts w:asciiTheme="minorEastAsia" w:hAnsiTheme="minorEastAsia" w:eastAsiaTheme="minorEastAsia"/>
          <w:color w:val="auto"/>
          <w:sz w:val="36"/>
          <w:szCs w:val="36"/>
        </w:rPr>
        <w:sectPr>
          <w:footerReference r:id="rId3" w:type="default"/>
          <w:footerReference r:id="rId4" w:type="even"/>
          <w:pgSz w:w="11906" w:h="16838"/>
          <w:pgMar w:top="1701" w:right="1531" w:bottom="1701" w:left="1531" w:header="851" w:footer="1077" w:gutter="0"/>
          <w:pgNumType w:start="3"/>
          <w:cols w:space="720" w:num="1"/>
          <w:docGrid w:linePitch="312" w:charSpace="0"/>
        </w:sectPr>
      </w:pPr>
    </w:p>
    <w:p w14:paraId="565C5777">
      <w:pPr>
        <w:pStyle w:val="41"/>
        <w:ind w:left="420"/>
        <w:rPr>
          <w:color w:val="auto"/>
        </w:rPr>
        <w:sectPr>
          <w:pgSz w:w="11906" w:h="16838"/>
          <w:pgMar w:top="1701" w:right="1531" w:bottom="1701" w:left="1531" w:header="851" w:footer="1077" w:gutter="0"/>
          <w:pgNumType w:start="3"/>
          <w:cols w:space="720" w:num="1"/>
          <w:docGrid w:linePitch="312" w:charSpace="0"/>
        </w:sectPr>
      </w:pPr>
    </w:p>
    <w:p w14:paraId="5E234E1C">
      <w:pPr>
        <w:jc w:val="center"/>
        <w:rPr>
          <w:rFonts w:ascii="宋体" w:hAnsi="宋体"/>
          <w:color w:val="auto"/>
          <w:sz w:val="32"/>
          <w:szCs w:val="32"/>
        </w:rPr>
      </w:pPr>
      <w:r>
        <w:rPr>
          <w:rFonts w:ascii="宋体" w:hAnsi="宋体"/>
          <w:color w:val="auto"/>
          <w:sz w:val="32"/>
          <w:szCs w:val="32"/>
        </w:rPr>
        <w:t>目</w:t>
      </w:r>
      <w:r>
        <w:rPr>
          <w:rFonts w:hint="eastAsia" w:ascii="宋体" w:hAnsi="宋体"/>
          <w:color w:val="auto"/>
          <w:sz w:val="32"/>
          <w:szCs w:val="32"/>
        </w:rPr>
        <w:t xml:space="preserve"> </w:t>
      </w:r>
      <w:r>
        <w:rPr>
          <w:rFonts w:ascii="宋体" w:hAnsi="宋体"/>
          <w:color w:val="auto"/>
          <w:sz w:val="32"/>
          <w:szCs w:val="32"/>
        </w:rPr>
        <w:t>录</w:t>
      </w:r>
    </w:p>
    <w:p w14:paraId="4C324D88">
      <w:pPr>
        <w:pStyle w:val="41"/>
        <w:ind w:left="420"/>
        <w:rPr>
          <w:color w:val="auto"/>
        </w:rPr>
      </w:pPr>
    </w:p>
    <w:p w14:paraId="30DEA33F">
      <w:pPr>
        <w:pStyle w:val="9"/>
        <w:tabs>
          <w:tab w:val="right" w:leader="dot" w:pos="8844"/>
        </w:tabs>
        <w:spacing w:line="360" w:lineRule="auto"/>
        <w:rPr>
          <w:color w:val="auto"/>
          <w:sz w:val="24"/>
          <w:szCs w:val="32"/>
        </w:rPr>
      </w:pPr>
      <w:r>
        <w:rPr>
          <w:color w:val="auto"/>
          <w:sz w:val="32"/>
          <w:szCs w:val="32"/>
        </w:rPr>
        <w:fldChar w:fldCharType="begin"/>
      </w:r>
      <w:r>
        <w:rPr>
          <w:color w:val="auto"/>
          <w:sz w:val="32"/>
          <w:szCs w:val="32"/>
        </w:rPr>
        <w:instrText xml:space="preserve">TOC \o "1-1" \h \u </w:instrText>
      </w:r>
      <w:r>
        <w:rPr>
          <w:color w:val="auto"/>
          <w:sz w:val="32"/>
          <w:szCs w:val="32"/>
        </w:rPr>
        <w:fldChar w:fldCharType="separate"/>
      </w:r>
      <w:r>
        <w:rPr>
          <w:color w:val="auto"/>
          <w:sz w:val="24"/>
          <w:szCs w:val="32"/>
        </w:rPr>
        <w:fldChar w:fldCharType="begin"/>
      </w:r>
      <w:r>
        <w:rPr>
          <w:color w:val="auto"/>
          <w:sz w:val="24"/>
          <w:szCs w:val="32"/>
        </w:rPr>
        <w:instrText xml:space="preserve"> HYPERLINK \l _Toc28954 </w:instrText>
      </w:r>
      <w:r>
        <w:rPr>
          <w:color w:val="auto"/>
          <w:sz w:val="24"/>
          <w:szCs w:val="32"/>
        </w:rPr>
        <w:fldChar w:fldCharType="separate"/>
      </w:r>
      <w:r>
        <w:rPr>
          <w:rFonts w:ascii="Times New Roman" w:hAnsi="Times New Roman" w:eastAsia="黑体"/>
          <w:snapToGrid w:val="0"/>
          <w:color w:val="auto"/>
          <w:sz w:val="24"/>
          <w:szCs w:val="36"/>
        </w:rPr>
        <w:t>一、建设项目基本情况</w:t>
      </w:r>
      <w:r>
        <w:rPr>
          <w:color w:val="auto"/>
          <w:sz w:val="24"/>
          <w:szCs w:val="32"/>
        </w:rPr>
        <w:tab/>
      </w:r>
      <w:r>
        <w:rPr>
          <w:color w:val="auto"/>
          <w:sz w:val="24"/>
          <w:szCs w:val="32"/>
        </w:rPr>
        <w:fldChar w:fldCharType="begin"/>
      </w:r>
      <w:r>
        <w:rPr>
          <w:color w:val="auto"/>
          <w:sz w:val="24"/>
          <w:szCs w:val="32"/>
        </w:rPr>
        <w:instrText xml:space="preserve"> PAGEREF _Toc28954 \h </w:instrText>
      </w:r>
      <w:r>
        <w:rPr>
          <w:color w:val="auto"/>
          <w:sz w:val="24"/>
          <w:szCs w:val="32"/>
        </w:rPr>
        <w:fldChar w:fldCharType="separate"/>
      </w:r>
      <w:r>
        <w:rPr>
          <w:color w:val="auto"/>
          <w:sz w:val="24"/>
          <w:szCs w:val="32"/>
        </w:rPr>
        <w:t>1</w:t>
      </w:r>
      <w:r>
        <w:rPr>
          <w:color w:val="auto"/>
          <w:sz w:val="24"/>
          <w:szCs w:val="32"/>
        </w:rPr>
        <w:fldChar w:fldCharType="end"/>
      </w:r>
      <w:r>
        <w:rPr>
          <w:color w:val="auto"/>
          <w:sz w:val="24"/>
          <w:szCs w:val="32"/>
        </w:rPr>
        <w:fldChar w:fldCharType="end"/>
      </w:r>
    </w:p>
    <w:p w14:paraId="2F7F7B98">
      <w:pPr>
        <w:pStyle w:val="9"/>
        <w:tabs>
          <w:tab w:val="right" w:leader="dot" w:pos="8844"/>
        </w:tabs>
        <w:spacing w:line="360" w:lineRule="auto"/>
        <w:rPr>
          <w:color w:val="auto"/>
          <w:sz w:val="24"/>
          <w:szCs w:val="32"/>
        </w:rPr>
      </w:pPr>
      <w:r>
        <w:rPr>
          <w:color w:val="auto"/>
          <w:sz w:val="24"/>
          <w:szCs w:val="32"/>
        </w:rPr>
        <w:fldChar w:fldCharType="begin"/>
      </w:r>
      <w:r>
        <w:rPr>
          <w:color w:val="auto"/>
          <w:sz w:val="24"/>
          <w:szCs w:val="32"/>
        </w:rPr>
        <w:instrText xml:space="preserve"> HYPERLINK \l _Toc13345 </w:instrText>
      </w:r>
      <w:r>
        <w:rPr>
          <w:color w:val="auto"/>
          <w:sz w:val="24"/>
          <w:szCs w:val="32"/>
        </w:rPr>
        <w:fldChar w:fldCharType="separate"/>
      </w:r>
      <w:r>
        <w:rPr>
          <w:rFonts w:ascii="Times New Roman" w:hAnsi="Times New Roman" w:eastAsia="黑体"/>
          <w:snapToGrid w:val="0"/>
          <w:color w:val="auto"/>
          <w:sz w:val="24"/>
          <w:szCs w:val="36"/>
        </w:rPr>
        <w:t>二、建设项目工程分析</w:t>
      </w:r>
      <w:r>
        <w:rPr>
          <w:color w:val="auto"/>
          <w:sz w:val="24"/>
          <w:szCs w:val="32"/>
        </w:rPr>
        <w:tab/>
      </w:r>
      <w:r>
        <w:rPr>
          <w:color w:val="auto"/>
          <w:sz w:val="24"/>
          <w:szCs w:val="32"/>
        </w:rPr>
        <w:fldChar w:fldCharType="begin"/>
      </w:r>
      <w:r>
        <w:rPr>
          <w:color w:val="auto"/>
          <w:sz w:val="24"/>
          <w:szCs w:val="32"/>
        </w:rPr>
        <w:instrText xml:space="preserve"> PAGEREF _Toc13345 \h </w:instrText>
      </w:r>
      <w:r>
        <w:rPr>
          <w:color w:val="auto"/>
          <w:sz w:val="24"/>
          <w:szCs w:val="32"/>
        </w:rPr>
        <w:fldChar w:fldCharType="separate"/>
      </w:r>
      <w:r>
        <w:rPr>
          <w:color w:val="auto"/>
          <w:sz w:val="24"/>
          <w:szCs w:val="32"/>
        </w:rPr>
        <w:t>21</w:t>
      </w:r>
      <w:r>
        <w:rPr>
          <w:color w:val="auto"/>
          <w:sz w:val="24"/>
          <w:szCs w:val="32"/>
        </w:rPr>
        <w:fldChar w:fldCharType="end"/>
      </w:r>
      <w:r>
        <w:rPr>
          <w:color w:val="auto"/>
          <w:sz w:val="24"/>
          <w:szCs w:val="32"/>
        </w:rPr>
        <w:fldChar w:fldCharType="end"/>
      </w:r>
    </w:p>
    <w:p w14:paraId="13423745">
      <w:pPr>
        <w:pStyle w:val="9"/>
        <w:tabs>
          <w:tab w:val="right" w:leader="dot" w:pos="8844"/>
        </w:tabs>
        <w:spacing w:line="360" w:lineRule="auto"/>
        <w:rPr>
          <w:color w:val="auto"/>
          <w:sz w:val="24"/>
          <w:szCs w:val="32"/>
        </w:rPr>
      </w:pPr>
      <w:r>
        <w:rPr>
          <w:color w:val="auto"/>
          <w:sz w:val="24"/>
          <w:szCs w:val="32"/>
        </w:rPr>
        <w:fldChar w:fldCharType="begin"/>
      </w:r>
      <w:r>
        <w:rPr>
          <w:color w:val="auto"/>
          <w:sz w:val="24"/>
          <w:szCs w:val="32"/>
        </w:rPr>
        <w:instrText xml:space="preserve"> HYPERLINK \l _Toc7880 </w:instrText>
      </w:r>
      <w:r>
        <w:rPr>
          <w:color w:val="auto"/>
          <w:sz w:val="24"/>
          <w:szCs w:val="32"/>
        </w:rPr>
        <w:fldChar w:fldCharType="separate"/>
      </w:r>
      <w:r>
        <w:rPr>
          <w:rFonts w:ascii="Times New Roman" w:hAnsi="Times New Roman" w:eastAsia="黑体"/>
          <w:snapToGrid w:val="0"/>
          <w:color w:val="auto"/>
          <w:sz w:val="24"/>
          <w:szCs w:val="36"/>
        </w:rPr>
        <w:t>三、区域环境质量现状、环境保护目标及评价标准</w:t>
      </w:r>
      <w:r>
        <w:rPr>
          <w:color w:val="auto"/>
          <w:sz w:val="24"/>
          <w:szCs w:val="32"/>
        </w:rPr>
        <w:tab/>
      </w:r>
      <w:r>
        <w:rPr>
          <w:color w:val="auto"/>
          <w:sz w:val="24"/>
          <w:szCs w:val="32"/>
        </w:rPr>
        <w:fldChar w:fldCharType="begin"/>
      </w:r>
      <w:r>
        <w:rPr>
          <w:color w:val="auto"/>
          <w:sz w:val="24"/>
          <w:szCs w:val="32"/>
        </w:rPr>
        <w:instrText xml:space="preserve"> PAGEREF _Toc7880 \h </w:instrText>
      </w:r>
      <w:r>
        <w:rPr>
          <w:color w:val="auto"/>
          <w:sz w:val="24"/>
          <w:szCs w:val="32"/>
        </w:rPr>
        <w:fldChar w:fldCharType="separate"/>
      </w:r>
      <w:r>
        <w:rPr>
          <w:color w:val="auto"/>
          <w:sz w:val="24"/>
          <w:szCs w:val="32"/>
        </w:rPr>
        <w:t>49</w:t>
      </w:r>
      <w:r>
        <w:rPr>
          <w:color w:val="auto"/>
          <w:sz w:val="24"/>
          <w:szCs w:val="32"/>
        </w:rPr>
        <w:fldChar w:fldCharType="end"/>
      </w:r>
      <w:r>
        <w:rPr>
          <w:color w:val="auto"/>
          <w:sz w:val="24"/>
          <w:szCs w:val="32"/>
        </w:rPr>
        <w:fldChar w:fldCharType="end"/>
      </w:r>
    </w:p>
    <w:p w14:paraId="0E9DA7BC">
      <w:pPr>
        <w:pStyle w:val="9"/>
        <w:tabs>
          <w:tab w:val="right" w:leader="dot" w:pos="8844"/>
        </w:tabs>
        <w:spacing w:line="360" w:lineRule="auto"/>
        <w:rPr>
          <w:color w:val="auto"/>
          <w:sz w:val="24"/>
          <w:szCs w:val="32"/>
        </w:rPr>
      </w:pPr>
      <w:r>
        <w:rPr>
          <w:color w:val="auto"/>
          <w:sz w:val="24"/>
          <w:szCs w:val="32"/>
        </w:rPr>
        <w:fldChar w:fldCharType="begin"/>
      </w:r>
      <w:r>
        <w:rPr>
          <w:color w:val="auto"/>
          <w:sz w:val="24"/>
          <w:szCs w:val="32"/>
        </w:rPr>
        <w:instrText xml:space="preserve"> HYPERLINK \l _Toc9229 </w:instrText>
      </w:r>
      <w:r>
        <w:rPr>
          <w:color w:val="auto"/>
          <w:sz w:val="24"/>
          <w:szCs w:val="32"/>
        </w:rPr>
        <w:fldChar w:fldCharType="separate"/>
      </w:r>
      <w:r>
        <w:rPr>
          <w:rFonts w:ascii="Times New Roman" w:hAnsi="Times New Roman" w:eastAsia="黑体"/>
          <w:snapToGrid w:val="0"/>
          <w:color w:val="auto"/>
          <w:sz w:val="24"/>
          <w:szCs w:val="36"/>
        </w:rPr>
        <w:t>四、主要环境影响和保护措施</w:t>
      </w:r>
      <w:r>
        <w:rPr>
          <w:color w:val="auto"/>
          <w:sz w:val="24"/>
          <w:szCs w:val="32"/>
        </w:rPr>
        <w:tab/>
      </w:r>
      <w:r>
        <w:rPr>
          <w:color w:val="auto"/>
          <w:sz w:val="24"/>
          <w:szCs w:val="32"/>
        </w:rPr>
        <w:fldChar w:fldCharType="begin"/>
      </w:r>
      <w:r>
        <w:rPr>
          <w:color w:val="auto"/>
          <w:sz w:val="24"/>
          <w:szCs w:val="32"/>
        </w:rPr>
        <w:instrText xml:space="preserve"> PAGEREF _Toc9229 \h </w:instrText>
      </w:r>
      <w:r>
        <w:rPr>
          <w:color w:val="auto"/>
          <w:sz w:val="24"/>
          <w:szCs w:val="32"/>
        </w:rPr>
        <w:fldChar w:fldCharType="separate"/>
      </w:r>
      <w:r>
        <w:rPr>
          <w:color w:val="auto"/>
          <w:sz w:val="24"/>
          <w:szCs w:val="32"/>
        </w:rPr>
        <w:t>55</w:t>
      </w:r>
      <w:r>
        <w:rPr>
          <w:color w:val="auto"/>
          <w:sz w:val="24"/>
          <w:szCs w:val="32"/>
        </w:rPr>
        <w:fldChar w:fldCharType="end"/>
      </w:r>
      <w:r>
        <w:rPr>
          <w:color w:val="auto"/>
          <w:sz w:val="24"/>
          <w:szCs w:val="32"/>
        </w:rPr>
        <w:fldChar w:fldCharType="end"/>
      </w:r>
    </w:p>
    <w:p w14:paraId="279705FC">
      <w:pPr>
        <w:pStyle w:val="9"/>
        <w:tabs>
          <w:tab w:val="right" w:leader="dot" w:pos="8844"/>
        </w:tabs>
        <w:spacing w:line="360" w:lineRule="auto"/>
        <w:rPr>
          <w:color w:val="auto"/>
          <w:sz w:val="24"/>
          <w:szCs w:val="32"/>
        </w:rPr>
      </w:pPr>
      <w:r>
        <w:rPr>
          <w:color w:val="auto"/>
          <w:sz w:val="24"/>
          <w:szCs w:val="32"/>
        </w:rPr>
        <w:fldChar w:fldCharType="begin"/>
      </w:r>
      <w:r>
        <w:rPr>
          <w:color w:val="auto"/>
          <w:sz w:val="24"/>
          <w:szCs w:val="32"/>
        </w:rPr>
        <w:instrText xml:space="preserve"> HYPERLINK \l _Toc25413 </w:instrText>
      </w:r>
      <w:r>
        <w:rPr>
          <w:color w:val="auto"/>
          <w:sz w:val="24"/>
          <w:szCs w:val="32"/>
        </w:rPr>
        <w:fldChar w:fldCharType="separate"/>
      </w:r>
      <w:r>
        <w:rPr>
          <w:rFonts w:ascii="Times New Roman" w:hAnsi="Times New Roman" w:eastAsia="黑体"/>
          <w:snapToGrid w:val="0"/>
          <w:color w:val="auto"/>
          <w:sz w:val="24"/>
          <w:szCs w:val="36"/>
        </w:rPr>
        <w:t>五、环境保护措施监督检查清单</w:t>
      </w:r>
      <w:r>
        <w:rPr>
          <w:color w:val="auto"/>
          <w:sz w:val="24"/>
          <w:szCs w:val="32"/>
        </w:rPr>
        <w:tab/>
      </w:r>
      <w:r>
        <w:rPr>
          <w:color w:val="auto"/>
          <w:sz w:val="24"/>
          <w:szCs w:val="32"/>
        </w:rPr>
        <w:fldChar w:fldCharType="begin"/>
      </w:r>
      <w:r>
        <w:rPr>
          <w:color w:val="auto"/>
          <w:sz w:val="24"/>
          <w:szCs w:val="32"/>
        </w:rPr>
        <w:instrText xml:space="preserve"> PAGEREF _Toc25413 \h </w:instrText>
      </w:r>
      <w:r>
        <w:rPr>
          <w:color w:val="auto"/>
          <w:sz w:val="24"/>
          <w:szCs w:val="32"/>
        </w:rPr>
        <w:fldChar w:fldCharType="separate"/>
      </w:r>
      <w:r>
        <w:rPr>
          <w:color w:val="auto"/>
          <w:sz w:val="24"/>
          <w:szCs w:val="32"/>
        </w:rPr>
        <w:t>82</w:t>
      </w:r>
      <w:r>
        <w:rPr>
          <w:color w:val="auto"/>
          <w:sz w:val="24"/>
          <w:szCs w:val="32"/>
        </w:rPr>
        <w:fldChar w:fldCharType="end"/>
      </w:r>
      <w:r>
        <w:rPr>
          <w:color w:val="auto"/>
          <w:sz w:val="24"/>
          <w:szCs w:val="32"/>
        </w:rPr>
        <w:fldChar w:fldCharType="end"/>
      </w:r>
    </w:p>
    <w:p w14:paraId="786F2856">
      <w:pPr>
        <w:pStyle w:val="9"/>
        <w:tabs>
          <w:tab w:val="right" w:leader="dot" w:pos="8844"/>
        </w:tabs>
        <w:spacing w:line="360" w:lineRule="auto"/>
        <w:rPr>
          <w:color w:val="auto"/>
          <w:sz w:val="24"/>
          <w:szCs w:val="32"/>
        </w:rPr>
      </w:pPr>
      <w:r>
        <w:rPr>
          <w:color w:val="auto"/>
          <w:sz w:val="24"/>
          <w:szCs w:val="32"/>
        </w:rPr>
        <w:fldChar w:fldCharType="begin"/>
      </w:r>
      <w:r>
        <w:rPr>
          <w:color w:val="auto"/>
          <w:sz w:val="24"/>
          <w:szCs w:val="32"/>
        </w:rPr>
        <w:instrText xml:space="preserve"> HYPERLINK \l _Toc7284 </w:instrText>
      </w:r>
      <w:r>
        <w:rPr>
          <w:color w:val="auto"/>
          <w:sz w:val="24"/>
          <w:szCs w:val="32"/>
        </w:rPr>
        <w:fldChar w:fldCharType="separate"/>
      </w:r>
      <w:r>
        <w:rPr>
          <w:rFonts w:ascii="Times New Roman" w:hAnsi="Times New Roman" w:eastAsia="黑体"/>
          <w:snapToGrid w:val="0"/>
          <w:color w:val="auto"/>
          <w:sz w:val="24"/>
          <w:szCs w:val="36"/>
        </w:rPr>
        <w:t>六、结论</w:t>
      </w:r>
      <w:r>
        <w:rPr>
          <w:color w:val="auto"/>
          <w:sz w:val="24"/>
          <w:szCs w:val="32"/>
        </w:rPr>
        <w:tab/>
      </w:r>
      <w:r>
        <w:rPr>
          <w:color w:val="auto"/>
          <w:sz w:val="24"/>
          <w:szCs w:val="32"/>
        </w:rPr>
        <w:fldChar w:fldCharType="begin"/>
      </w:r>
      <w:r>
        <w:rPr>
          <w:color w:val="auto"/>
          <w:sz w:val="24"/>
          <w:szCs w:val="32"/>
        </w:rPr>
        <w:instrText xml:space="preserve"> PAGEREF _Toc7284 \h </w:instrText>
      </w:r>
      <w:r>
        <w:rPr>
          <w:color w:val="auto"/>
          <w:sz w:val="24"/>
          <w:szCs w:val="32"/>
        </w:rPr>
        <w:fldChar w:fldCharType="separate"/>
      </w:r>
      <w:r>
        <w:rPr>
          <w:color w:val="auto"/>
          <w:sz w:val="24"/>
          <w:szCs w:val="32"/>
        </w:rPr>
        <w:t>86</w:t>
      </w:r>
      <w:r>
        <w:rPr>
          <w:color w:val="auto"/>
          <w:sz w:val="24"/>
          <w:szCs w:val="32"/>
        </w:rPr>
        <w:fldChar w:fldCharType="end"/>
      </w:r>
      <w:r>
        <w:rPr>
          <w:color w:val="auto"/>
          <w:sz w:val="24"/>
          <w:szCs w:val="32"/>
        </w:rPr>
        <w:fldChar w:fldCharType="end"/>
      </w:r>
    </w:p>
    <w:p w14:paraId="60648A21">
      <w:pPr>
        <w:pStyle w:val="41"/>
        <w:spacing w:line="360" w:lineRule="auto"/>
        <w:ind w:left="420"/>
        <w:rPr>
          <w:color w:val="auto"/>
          <w:szCs w:val="24"/>
        </w:rPr>
      </w:pPr>
      <w:r>
        <w:rPr>
          <w:color w:val="auto"/>
          <w:sz w:val="36"/>
          <w:szCs w:val="32"/>
        </w:rPr>
        <w:fldChar w:fldCharType="end"/>
      </w:r>
    </w:p>
    <w:p w14:paraId="558F5016">
      <w:pPr>
        <w:pStyle w:val="41"/>
        <w:ind w:left="420"/>
        <w:rPr>
          <w:color w:val="auto"/>
          <w:szCs w:val="24"/>
        </w:rPr>
      </w:pPr>
    </w:p>
    <w:p w14:paraId="05D3E8B0">
      <w:pPr>
        <w:pStyle w:val="41"/>
        <w:ind w:left="420"/>
        <w:rPr>
          <w:color w:val="auto"/>
          <w:szCs w:val="24"/>
        </w:rPr>
      </w:pPr>
    </w:p>
    <w:p w14:paraId="559B1B69">
      <w:pPr>
        <w:rPr>
          <w:b/>
          <w:bCs/>
          <w:color w:val="auto"/>
          <w:sz w:val="24"/>
        </w:rPr>
      </w:pPr>
      <w:r>
        <w:rPr>
          <w:rFonts w:hint="eastAsia"/>
          <w:b/>
          <w:bCs/>
          <w:color w:val="auto"/>
          <w:sz w:val="24"/>
        </w:rPr>
        <w:t>附图</w:t>
      </w:r>
    </w:p>
    <w:p w14:paraId="521F7479">
      <w:pPr>
        <w:rPr>
          <w:color w:val="auto"/>
          <w:sz w:val="24"/>
        </w:rPr>
      </w:pPr>
      <w:r>
        <w:rPr>
          <w:rFonts w:hint="eastAsia"/>
          <w:color w:val="auto"/>
          <w:sz w:val="24"/>
        </w:rPr>
        <w:t>附图1 项目地理位置示意图</w:t>
      </w:r>
    </w:p>
    <w:p w14:paraId="0D983EFF">
      <w:pPr>
        <w:rPr>
          <w:color w:val="auto"/>
          <w:sz w:val="24"/>
        </w:rPr>
      </w:pPr>
      <w:r>
        <w:rPr>
          <w:rFonts w:hint="eastAsia"/>
          <w:color w:val="auto"/>
          <w:sz w:val="24"/>
        </w:rPr>
        <w:t>附图2 项目周边关系图</w:t>
      </w:r>
    </w:p>
    <w:p w14:paraId="16752171">
      <w:pPr>
        <w:rPr>
          <w:rFonts w:hint="eastAsia"/>
          <w:color w:val="auto"/>
          <w:sz w:val="24"/>
        </w:rPr>
      </w:pPr>
      <w:r>
        <w:rPr>
          <w:rFonts w:hint="eastAsia"/>
          <w:color w:val="auto"/>
          <w:sz w:val="24"/>
        </w:rPr>
        <w:t>附图3 厂区平面布置图</w:t>
      </w:r>
    </w:p>
    <w:p w14:paraId="7AD5B349">
      <w:pPr>
        <w:rPr>
          <w:rFonts w:hint="eastAsia"/>
          <w:color w:val="auto"/>
          <w:sz w:val="24"/>
        </w:rPr>
      </w:pPr>
      <w:r>
        <w:rPr>
          <w:rFonts w:hint="eastAsia"/>
          <w:color w:val="auto"/>
          <w:sz w:val="24"/>
        </w:rPr>
        <w:t>附图</w:t>
      </w:r>
      <w:r>
        <w:rPr>
          <w:rFonts w:hint="eastAsia"/>
          <w:color w:val="auto"/>
          <w:sz w:val="24"/>
          <w:lang w:val="en-US" w:eastAsia="zh-CN"/>
        </w:rPr>
        <w:t>4</w:t>
      </w:r>
      <w:r>
        <w:rPr>
          <w:rFonts w:hint="eastAsia"/>
          <w:color w:val="auto"/>
          <w:sz w:val="24"/>
        </w:rPr>
        <w:t xml:space="preserve"> 厂区</w:t>
      </w:r>
      <w:r>
        <w:rPr>
          <w:rFonts w:hint="eastAsia"/>
          <w:color w:val="auto"/>
          <w:sz w:val="24"/>
          <w:lang w:val="en-US" w:eastAsia="zh-CN"/>
        </w:rPr>
        <w:t>分区防渗</w:t>
      </w:r>
      <w:r>
        <w:rPr>
          <w:rFonts w:hint="eastAsia"/>
          <w:color w:val="auto"/>
          <w:sz w:val="24"/>
        </w:rPr>
        <w:t>图</w:t>
      </w:r>
    </w:p>
    <w:p w14:paraId="68CBC10C">
      <w:pPr>
        <w:rPr>
          <w:color w:val="auto"/>
          <w:sz w:val="24"/>
        </w:rPr>
      </w:pPr>
      <w:r>
        <w:rPr>
          <w:rFonts w:hint="eastAsia"/>
          <w:color w:val="auto"/>
          <w:sz w:val="24"/>
        </w:rPr>
        <w:t>附图</w:t>
      </w:r>
      <w:r>
        <w:rPr>
          <w:rFonts w:hint="eastAsia"/>
          <w:color w:val="auto"/>
          <w:sz w:val="24"/>
          <w:lang w:val="en-US" w:eastAsia="zh-CN"/>
        </w:rPr>
        <w:t>5</w:t>
      </w:r>
      <w:r>
        <w:rPr>
          <w:rFonts w:hint="eastAsia"/>
          <w:color w:val="auto"/>
          <w:sz w:val="24"/>
        </w:rPr>
        <w:t xml:space="preserve"> 现状监测点位距离图</w:t>
      </w:r>
    </w:p>
    <w:p w14:paraId="1A5CCCA0">
      <w:pPr>
        <w:rPr>
          <w:color w:val="auto"/>
          <w:sz w:val="24"/>
        </w:rPr>
      </w:pPr>
      <w:r>
        <w:rPr>
          <w:rFonts w:hint="eastAsia"/>
          <w:color w:val="auto"/>
          <w:sz w:val="24"/>
        </w:rPr>
        <w:t>附图</w:t>
      </w:r>
      <w:r>
        <w:rPr>
          <w:rFonts w:hint="eastAsia"/>
          <w:color w:val="auto"/>
          <w:sz w:val="24"/>
          <w:lang w:val="en-US" w:eastAsia="zh-CN"/>
        </w:rPr>
        <w:t>6</w:t>
      </w:r>
      <w:r>
        <w:rPr>
          <w:rFonts w:hint="eastAsia"/>
          <w:color w:val="auto"/>
          <w:sz w:val="24"/>
        </w:rPr>
        <w:t xml:space="preserve"> 项目所在产业园区位置示意图</w:t>
      </w:r>
    </w:p>
    <w:p w14:paraId="7E0D065C">
      <w:pPr>
        <w:rPr>
          <w:color w:val="auto"/>
          <w:sz w:val="24"/>
        </w:rPr>
      </w:pPr>
      <w:r>
        <w:rPr>
          <w:rFonts w:hint="eastAsia"/>
          <w:color w:val="auto"/>
          <w:sz w:val="24"/>
        </w:rPr>
        <w:t>附图</w:t>
      </w:r>
      <w:r>
        <w:rPr>
          <w:rFonts w:hint="eastAsia"/>
          <w:color w:val="auto"/>
          <w:sz w:val="24"/>
          <w:lang w:val="en-US" w:eastAsia="zh-CN"/>
        </w:rPr>
        <w:t>7</w:t>
      </w:r>
      <w:r>
        <w:rPr>
          <w:rFonts w:hint="eastAsia"/>
          <w:color w:val="auto"/>
          <w:sz w:val="24"/>
        </w:rPr>
        <w:t xml:space="preserve"> 项目所在园区用地布局规划图</w:t>
      </w:r>
    </w:p>
    <w:p w14:paraId="62DF8828">
      <w:pPr>
        <w:pStyle w:val="41"/>
        <w:ind w:left="420"/>
        <w:rPr>
          <w:color w:val="auto"/>
        </w:rPr>
      </w:pPr>
    </w:p>
    <w:p w14:paraId="3BA37A78">
      <w:pPr>
        <w:rPr>
          <w:b/>
          <w:bCs/>
          <w:color w:val="auto"/>
          <w:sz w:val="24"/>
          <w:highlight w:val="yellow"/>
        </w:rPr>
      </w:pPr>
    </w:p>
    <w:p w14:paraId="4600F372">
      <w:pPr>
        <w:rPr>
          <w:b/>
          <w:bCs/>
          <w:color w:val="auto"/>
          <w:sz w:val="24"/>
        </w:rPr>
      </w:pPr>
    </w:p>
    <w:p w14:paraId="279F58B0">
      <w:pPr>
        <w:rPr>
          <w:b/>
          <w:bCs/>
          <w:color w:val="auto"/>
          <w:sz w:val="24"/>
        </w:rPr>
      </w:pPr>
      <w:r>
        <w:rPr>
          <w:rFonts w:hint="eastAsia"/>
          <w:b/>
          <w:bCs/>
          <w:color w:val="auto"/>
          <w:sz w:val="24"/>
        </w:rPr>
        <w:t>附件</w:t>
      </w:r>
    </w:p>
    <w:p w14:paraId="2CF9E6DD">
      <w:pPr>
        <w:rPr>
          <w:color w:val="auto"/>
          <w:sz w:val="24"/>
        </w:rPr>
      </w:pPr>
      <w:r>
        <w:rPr>
          <w:rFonts w:hint="eastAsia"/>
          <w:color w:val="auto"/>
          <w:sz w:val="24"/>
        </w:rPr>
        <w:t>附件1 备案</w:t>
      </w:r>
    </w:p>
    <w:p w14:paraId="3520C45B">
      <w:pPr>
        <w:rPr>
          <w:color w:val="auto"/>
          <w:sz w:val="24"/>
        </w:rPr>
      </w:pPr>
      <w:r>
        <w:rPr>
          <w:rFonts w:hint="eastAsia"/>
          <w:color w:val="auto"/>
          <w:sz w:val="24"/>
        </w:rPr>
        <w:t>附件2 营业执照</w:t>
      </w:r>
    </w:p>
    <w:p w14:paraId="7257DB72">
      <w:pPr>
        <w:rPr>
          <w:rFonts w:hint="eastAsia" w:eastAsia="宋体"/>
          <w:color w:val="auto"/>
          <w:sz w:val="24"/>
          <w:lang w:eastAsia="zh-CN"/>
        </w:rPr>
      </w:pPr>
      <w:r>
        <w:rPr>
          <w:rFonts w:hint="eastAsia"/>
          <w:color w:val="auto"/>
          <w:sz w:val="24"/>
        </w:rPr>
        <w:t>附件3 土地证</w:t>
      </w:r>
    </w:p>
    <w:p w14:paraId="63737815">
      <w:pPr>
        <w:rPr>
          <w:color w:val="auto"/>
          <w:sz w:val="24"/>
        </w:rPr>
      </w:pPr>
      <w:r>
        <w:rPr>
          <w:rFonts w:hint="eastAsia"/>
          <w:color w:val="auto"/>
          <w:sz w:val="24"/>
        </w:rPr>
        <w:t>附件</w:t>
      </w:r>
      <w:r>
        <w:rPr>
          <w:rFonts w:hint="eastAsia"/>
          <w:color w:val="auto"/>
          <w:sz w:val="24"/>
          <w:lang w:val="en-US" w:eastAsia="zh-CN"/>
        </w:rPr>
        <w:t>4</w:t>
      </w:r>
      <w:r>
        <w:rPr>
          <w:rFonts w:hint="eastAsia"/>
          <w:color w:val="auto"/>
          <w:sz w:val="24"/>
        </w:rPr>
        <w:t xml:space="preserve"> </w:t>
      </w:r>
      <w:r>
        <w:rPr>
          <w:rFonts w:hint="eastAsia"/>
          <w:color w:val="auto"/>
          <w:sz w:val="24"/>
          <w:lang w:val="en-US" w:eastAsia="zh-CN"/>
        </w:rPr>
        <w:t>现有工程环保手续</w:t>
      </w:r>
    </w:p>
    <w:p w14:paraId="57A66A83">
      <w:pPr>
        <w:rPr>
          <w:color w:val="auto"/>
          <w:sz w:val="24"/>
        </w:rPr>
      </w:pPr>
      <w:r>
        <w:rPr>
          <w:rFonts w:hint="eastAsia"/>
          <w:color w:val="auto"/>
          <w:sz w:val="24"/>
        </w:rPr>
        <w:t>附件</w:t>
      </w:r>
      <w:r>
        <w:rPr>
          <w:rFonts w:hint="eastAsia"/>
          <w:color w:val="auto"/>
          <w:sz w:val="24"/>
          <w:lang w:val="en-US" w:eastAsia="zh-CN"/>
        </w:rPr>
        <w:t>5</w:t>
      </w:r>
      <w:r>
        <w:rPr>
          <w:rFonts w:hint="eastAsia"/>
          <w:color w:val="auto"/>
          <w:sz w:val="24"/>
        </w:rPr>
        <w:t xml:space="preserve"> 排污许可证</w:t>
      </w:r>
    </w:p>
    <w:p w14:paraId="4FF6C232">
      <w:pPr>
        <w:rPr>
          <w:color w:val="auto"/>
          <w:sz w:val="24"/>
        </w:rPr>
      </w:pPr>
      <w:r>
        <w:rPr>
          <w:rFonts w:hint="eastAsia"/>
          <w:color w:val="auto"/>
          <w:sz w:val="24"/>
        </w:rPr>
        <w:t>附件</w:t>
      </w:r>
      <w:r>
        <w:rPr>
          <w:rFonts w:hint="eastAsia"/>
          <w:color w:val="auto"/>
          <w:sz w:val="24"/>
          <w:lang w:val="en-US" w:eastAsia="zh-CN"/>
        </w:rPr>
        <w:t>6</w:t>
      </w:r>
      <w:r>
        <w:rPr>
          <w:rFonts w:hint="eastAsia"/>
          <w:color w:val="auto"/>
          <w:sz w:val="24"/>
        </w:rPr>
        <w:t xml:space="preserve"> </w:t>
      </w:r>
      <w:r>
        <w:rPr>
          <w:rFonts w:hint="eastAsia"/>
          <w:color w:val="auto"/>
          <w:sz w:val="24"/>
          <w:lang w:val="en-US" w:eastAsia="zh-CN"/>
        </w:rPr>
        <w:t>现有工程</w:t>
      </w:r>
      <w:r>
        <w:rPr>
          <w:rFonts w:hint="eastAsia"/>
          <w:color w:val="auto"/>
          <w:sz w:val="24"/>
        </w:rPr>
        <w:t>监测报告</w:t>
      </w:r>
    </w:p>
    <w:p w14:paraId="2DC1B513">
      <w:pPr>
        <w:rPr>
          <w:color w:val="auto"/>
          <w:sz w:val="24"/>
        </w:rPr>
      </w:pPr>
      <w:r>
        <w:rPr>
          <w:rFonts w:hint="eastAsia"/>
          <w:color w:val="auto"/>
          <w:sz w:val="24"/>
        </w:rPr>
        <w:t>附件</w:t>
      </w:r>
      <w:r>
        <w:rPr>
          <w:rFonts w:hint="eastAsia"/>
          <w:color w:val="auto"/>
          <w:sz w:val="24"/>
          <w:lang w:val="en-US" w:eastAsia="zh-CN"/>
        </w:rPr>
        <w:t>7</w:t>
      </w:r>
      <w:r>
        <w:rPr>
          <w:rFonts w:hint="eastAsia"/>
          <w:color w:val="auto"/>
          <w:sz w:val="24"/>
        </w:rPr>
        <w:t>引用TSP监测报告</w:t>
      </w:r>
    </w:p>
    <w:p w14:paraId="4E40FA9F">
      <w:pPr>
        <w:rPr>
          <w:rFonts w:hint="eastAsia"/>
          <w:color w:val="auto"/>
          <w:sz w:val="24"/>
        </w:rPr>
      </w:pPr>
      <w:r>
        <w:rPr>
          <w:rFonts w:hint="eastAsia"/>
          <w:color w:val="auto"/>
          <w:sz w:val="24"/>
        </w:rPr>
        <w:t>附件</w:t>
      </w:r>
      <w:r>
        <w:rPr>
          <w:rFonts w:hint="eastAsia"/>
          <w:color w:val="auto"/>
          <w:sz w:val="24"/>
          <w:lang w:val="en-US" w:eastAsia="zh-CN"/>
        </w:rPr>
        <w:t>8</w:t>
      </w:r>
      <w:r>
        <w:rPr>
          <w:rFonts w:hint="eastAsia"/>
          <w:color w:val="auto"/>
          <w:sz w:val="24"/>
        </w:rPr>
        <w:t>建设情况说明</w:t>
      </w:r>
    </w:p>
    <w:p w14:paraId="225B0EDA">
      <w:pPr>
        <w:rPr>
          <w:rFonts w:hint="default" w:eastAsia="宋体"/>
          <w:color w:val="auto"/>
          <w:sz w:val="24"/>
          <w:lang w:val="en-US" w:eastAsia="zh-CN"/>
        </w:rPr>
      </w:pPr>
      <w:r>
        <w:rPr>
          <w:rFonts w:hint="eastAsia"/>
          <w:color w:val="auto"/>
          <w:sz w:val="24"/>
          <w:lang w:val="en-US" w:eastAsia="zh-CN"/>
        </w:rPr>
        <w:t>附件9省重点项目管理的函</w:t>
      </w:r>
    </w:p>
    <w:p w14:paraId="6A6563F5">
      <w:pPr>
        <w:pStyle w:val="2"/>
        <w:ind w:left="0" w:leftChars="0" w:firstLine="0" w:firstLineChars="0"/>
        <w:rPr>
          <w:rFonts w:hint="default" w:eastAsia="宋体"/>
          <w:color w:val="auto"/>
          <w:lang w:val="en-US" w:eastAsia="zh-CN"/>
        </w:rPr>
      </w:pPr>
      <w:r>
        <w:rPr>
          <w:rFonts w:hint="eastAsia"/>
          <w:color w:val="auto"/>
          <w:sz w:val="24"/>
          <w:lang w:val="en-US" w:eastAsia="zh-CN"/>
        </w:rPr>
        <w:t>附件10 河北省主要污染物排放权交易鉴证书</w:t>
      </w:r>
    </w:p>
    <w:p w14:paraId="40FD047D">
      <w:pPr>
        <w:rPr>
          <w:color w:val="auto"/>
          <w:sz w:val="24"/>
        </w:rPr>
      </w:pPr>
      <w:r>
        <w:rPr>
          <w:rFonts w:hint="eastAsia"/>
          <w:color w:val="auto"/>
          <w:sz w:val="24"/>
        </w:rPr>
        <w:t>附件</w:t>
      </w:r>
      <w:r>
        <w:rPr>
          <w:rFonts w:hint="eastAsia"/>
          <w:color w:val="auto"/>
          <w:sz w:val="24"/>
          <w:lang w:val="en-US" w:eastAsia="zh-CN"/>
        </w:rPr>
        <w:t>11</w:t>
      </w:r>
      <w:r>
        <w:rPr>
          <w:rFonts w:hint="eastAsia"/>
          <w:color w:val="auto"/>
          <w:sz w:val="24"/>
        </w:rPr>
        <w:t xml:space="preserve"> 企业委托书</w:t>
      </w:r>
      <w:r>
        <w:rPr>
          <w:rFonts w:hint="eastAsia"/>
          <w:color w:val="auto"/>
          <w:sz w:val="24"/>
          <w:lang w:eastAsia="zh-CN"/>
        </w:rPr>
        <w:t>、</w:t>
      </w:r>
      <w:r>
        <w:rPr>
          <w:rFonts w:hint="eastAsia"/>
          <w:color w:val="auto"/>
          <w:sz w:val="24"/>
        </w:rPr>
        <w:t>承诺书</w:t>
      </w:r>
    </w:p>
    <w:p w14:paraId="131C384E">
      <w:pPr>
        <w:rPr>
          <w:rFonts w:hint="eastAsia"/>
          <w:color w:val="auto"/>
          <w:sz w:val="24"/>
        </w:rPr>
      </w:pPr>
      <w:r>
        <w:rPr>
          <w:rFonts w:hint="eastAsia"/>
          <w:color w:val="auto"/>
          <w:sz w:val="24"/>
        </w:rPr>
        <w:t>附件</w:t>
      </w:r>
      <w:r>
        <w:rPr>
          <w:rFonts w:hint="eastAsia"/>
          <w:color w:val="auto"/>
          <w:sz w:val="24"/>
          <w:lang w:val="en-US" w:eastAsia="zh-CN"/>
        </w:rPr>
        <w:t>12</w:t>
      </w:r>
      <w:r>
        <w:rPr>
          <w:rFonts w:hint="eastAsia"/>
          <w:color w:val="auto"/>
          <w:sz w:val="24"/>
        </w:rPr>
        <w:t xml:space="preserve"> 环评单位承诺书</w:t>
      </w:r>
    </w:p>
    <w:p w14:paraId="594A8518">
      <w:pPr>
        <w:pStyle w:val="2"/>
        <w:ind w:left="0" w:leftChars="0" w:firstLine="0" w:firstLineChars="0"/>
        <w:rPr>
          <w:rFonts w:hint="default" w:eastAsia="宋体"/>
          <w:lang w:val="en-US" w:eastAsia="zh-CN"/>
        </w:rPr>
      </w:pPr>
      <w:r>
        <w:rPr>
          <w:rFonts w:hint="eastAsia"/>
          <w:color w:val="auto"/>
          <w:sz w:val="24"/>
          <w:lang w:val="en-US" w:eastAsia="zh-CN"/>
        </w:rPr>
        <w:t>附件13 专</w:t>
      </w:r>
      <w:bookmarkStart w:id="31" w:name="_GoBack"/>
      <w:bookmarkEnd w:id="31"/>
      <w:r>
        <w:rPr>
          <w:rFonts w:hint="eastAsia"/>
          <w:color w:val="auto"/>
          <w:sz w:val="24"/>
          <w:lang w:val="en-US" w:eastAsia="zh-CN"/>
        </w:rPr>
        <w:t>家意见及修改说明</w:t>
      </w:r>
    </w:p>
    <w:p w14:paraId="60D2B002">
      <w:pPr>
        <w:pStyle w:val="41"/>
        <w:ind w:left="420"/>
        <w:rPr>
          <w:color w:val="auto"/>
          <w:szCs w:val="24"/>
        </w:rPr>
      </w:pPr>
    </w:p>
    <w:p w14:paraId="4C5E900D">
      <w:pPr>
        <w:pStyle w:val="41"/>
        <w:ind w:left="420"/>
        <w:rPr>
          <w:color w:val="auto"/>
          <w:szCs w:val="24"/>
        </w:rPr>
        <w:sectPr>
          <w:pgSz w:w="11906" w:h="16838"/>
          <w:pgMar w:top="1701" w:right="1531" w:bottom="1701" w:left="1531" w:header="851" w:footer="1077" w:gutter="0"/>
          <w:pgNumType w:start="3"/>
          <w:cols w:space="720" w:num="1"/>
          <w:docGrid w:linePitch="312" w:charSpace="0"/>
        </w:sectPr>
      </w:pPr>
    </w:p>
    <w:p w14:paraId="38F11674">
      <w:pPr>
        <w:pStyle w:val="41"/>
        <w:ind w:left="420"/>
        <w:rPr>
          <w:color w:val="auto"/>
        </w:rPr>
        <w:sectPr>
          <w:pgSz w:w="11906" w:h="16838"/>
          <w:pgMar w:top="1701" w:right="1531" w:bottom="1701" w:left="1531" w:header="851" w:footer="1077" w:gutter="0"/>
          <w:pgNumType w:start="3"/>
          <w:cols w:space="720" w:num="1"/>
          <w:docGrid w:linePitch="312" w:charSpace="0"/>
        </w:sectPr>
      </w:pPr>
    </w:p>
    <w:p w14:paraId="4408816A">
      <w:pPr>
        <w:pStyle w:val="30"/>
        <w:spacing w:before="0" w:beforeAutospacing="0" w:after="0" w:afterAutospacing="0"/>
        <w:jc w:val="center"/>
        <w:outlineLvl w:val="0"/>
        <w:rPr>
          <w:rFonts w:ascii="Times New Roman" w:hAnsi="Times New Roman" w:eastAsia="黑体"/>
          <w:snapToGrid w:val="0"/>
          <w:color w:val="auto"/>
          <w:sz w:val="30"/>
          <w:szCs w:val="30"/>
        </w:rPr>
      </w:pPr>
      <w:bookmarkStart w:id="1" w:name="_Toc28954"/>
      <w:r>
        <w:rPr>
          <w:rFonts w:ascii="Times New Roman" w:hAnsi="Times New Roman" w:eastAsia="黑体"/>
          <w:snapToGrid w:val="0"/>
          <w:color w:val="auto"/>
          <w:sz w:val="30"/>
          <w:szCs w:val="30"/>
        </w:rPr>
        <w:t>一、建设项目基本情况</w:t>
      </w:r>
      <w:bookmarkEnd w:id="1"/>
    </w:p>
    <w:tbl>
      <w:tblPr>
        <w:tblStyle w:val="3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714"/>
        <w:gridCol w:w="2268"/>
        <w:gridCol w:w="1985"/>
        <w:gridCol w:w="2903"/>
      </w:tblGrid>
      <w:tr w14:paraId="6C5FFC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4" w:type="dxa"/>
            <w:tcMar>
              <w:top w:w="16" w:type="dxa"/>
              <w:left w:w="16" w:type="dxa"/>
              <w:right w:w="16" w:type="dxa"/>
            </w:tcMar>
            <w:vAlign w:val="center"/>
          </w:tcPr>
          <w:p w14:paraId="77BB5FA5">
            <w:pPr>
              <w:adjustRightInd w:val="0"/>
              <w:snapToGrid w:val="0"/>
              <w:jc w:val="center"/>
              <w:rPr>
                <w:rFonts w:hAnsi="宋体" w:cs="宋体"/>
                <w:color w:val="auto"/>
                <w:szCs w:val="21"/>
              </w:rPr>
            </w:pPr>
            <w:r>
              <w:rPr>
                <w:rFonts w:hint="eastAsia" w:hAnsi="宋体" w:cs="宋体"/>
                <w:color w:val="auto"/>
                <w:szCs w:val="21"/>
              </w:rPr>
              <w:t>建设项目</w:t>
            </w:r>
          </w:p>
          <w:p w14:paraId="0BB218E9">
            <w:pPr>
              <w:adjustRightInd w:val="0"/>
              <w:snapToGrid w:val="0"/>
              <w:jc w:val="center"/>
              <w:rPr>
                <w:rFonts w:cs="宋体"/>
                <w:color w:val="auto"/>
                <w:szCs w:val="21"/>
              </w:rPr>
            </w:pPr>
            <w:r>
              <w:rPr>
                <w:rFonts w:hint="eastAsia" w:hAnsi="宋体" w:cs="宋体"/>
                <w:color w:val="auto"/>
                <w:szCs w:val="21"/>
              </w:rPr>
              <w:t>名称</w:t>
            </w:r>
          </w:p>
        </w:tc>
        <w:tc>
          <w:tcPr>
            <w:tcW w:w="7156" w:type="dxa"/>
            <w:gridSpan w:val="3"/>
            <w:vAlign w:val="center"/>
          </w:tcPr>
          <w:p w14:paraId="0245C606">
            <w:pPr>
              <w:adjustRightInd w:val="0"/>
              <w:snapToGrid w:val="0"/>
              <w:jc w:val="center"/>
              <w:rPr>
                <w:rFonts w:hint="eastAsia" w:eastAsia="宋体" w:cs="宋体"/>
                <w:color w:val="auto"/>
                <w:szCs w:val="21"/>
                <w:lang w:eastAsia="zh-CN"/>
              </w:rPr>
            </w:pPr>
            <w:r>
              <w:rPr>
                <w:rFonts w:hint="eastAsia" w:cs="宋体"/>
                <w:color w:val="auto"/>
                <w:szCs w:val="21"/>
                <w:lang w:eastAsia="zh-CN"/>
              </w:rPr>
              <w:t>中冶重工（唐山）有限公司大型多向模锻产能提升项目</w:t>
            </w:r>
          </w:p>
        </w:tc>
      </w:tr>
      <w:tr w14:paraId="3CE119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4" w:type="dxa"/>
            <w:tcMar>
              <w:top w:w="16" w:type="dxa"/>
              <w:left w:w="16" w:type="dxa"/>
              <w:right w:w="16" w:type="dxa"/>
            </w:tcMar>
            <w:vAlign w:val="center"/>
          </w:tcPr>
          <w:p w14:paraId="2422DCC8">
            <w:pPr>
              <w:adjustRightInd w:val="0"/>
              <w:snapToGrid w:val="0"/>
              <w:jc w:val="center"/>
              <w:rPr>
                <w:rFonts w:cs="宋体"/>
                <w:color w:val="auto"/>
                <w:szCs w:val="21"/>
              </w:rPr>
            </w:pPr>
            <w:r>
              <w:rPr>
                <w:rFonts w:hint="eastAsia" w:hAnsi="宋体" w:cs="宋体"/>
                <w:color w:val="auto"/>
                <w:szCs w:val="21"/>
              </w:rPr>
              <w:t>项目代码</w:t>
            </w:r>
          </w:p>
        </w:tc>
        <w:tc>
          <w:tcPr>
            <w:tcW w:w="7156" w:type="dxa"/>
            <w:gridSpan w:val="3"/>
            <w:vAlign w:val="center"/>
          </w:tcPr>
          <w:p w14:paraId="23420177">
            <w:pPr>
              <w:adjustRightInd w:val="0"/>
              <w:snapToGrid w:val="0"/>
              <w:jc w:val="center"/>
              <w:rPr>
                <w:rFonts w:hint="default" w:eastAsia="宋体" w:cs="宋体"/>
                <w:color w:val="auto"/>
                <w:szCs w:val="21"/>
                <w:lang w:val="en-US" w:eastAsia="zh-CN"/>
              </w:rPr>
            </w:pPr>
            <w:r>
              <w:rPr>
                <w:rFonts w:hint="eastAsia" w:cs="宋体"/>
                <w:color w:val="auto"/>
                <w:szCs w:val="21"/>
              </w:rPr>
              <w:t>2</w:t>
            </w:r>
            <w:r>
              <w:rPr>
                <w:rFonts w:hint="eastAsia" w:cs="宋体"/>
                <w:color w:val="auto"/>
                <w:szCs w:val="21"/>
                <w:lang w:val="en-US" w:eastAsia="zh-CN"/>
              </w:rPr>
              <w:t>506</w:t>
            </w:r>
            <w:r>
              <w:rPr>
                <w:rFonts w:hint="eastAsia" w:cs="宋体"/>
                <w:color w:val="auto"/>
                <w:szCs w:val="21"/>
              </w:rPr>
              <w:t>-130273-89-0</w:t>
            </w:r>
            <w:r>
              <w:rPr>
                <w:rFonts w:hint="eastAsia" w:cs="宋体"/>
                <w:color w:val="auto"/>
                <w:szCs w:val="21"/>
                <w:lang w:val="en-US" w:eastAsia="zh-CN"/>
              </w:rPr>
              <w:t>1</w:t>
            </w:r>
            <w:r>
              <w:rPr>
                <w:rFonts w:hint="eastAsia" w:cs="宋体"/>
                <w:color w:val="auto"/>
                <w:szCs w:val="21"/>
              </w:rPr>
              <w:t>-</w:t>
            </w:r>
            <w:r>
              <w:rPr>
                <w:rFonts w:hint="eastAsia" w:cs="宋体"/>
                <w:color w:val="auto"/>
                <w:szCs w:val="21"/>
                <w:lang w:val="en-US" w:eastAsia="zh-CN"/>
              </w:rPr>
              <w:t>313910</w:t>
            </w:r>
          </w:p>
        </w:tc>
      </w:tr>
      <w:tr w14:paraId="3F1E8E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4" w:type="dxa"/>
            <w:tcMar>
              <w:top w:w="16" w:type="dxa"/>
              <w:left w:w="16" w:type="dxa"/>
              <w:right w:w="16" w:type="dxa"/>
            </w:tcMar>
            <w:vAlign w:val="center"/>
          </w:tcPr>
          <w:p w14:paraId="36E7E2BB">
            <w:pPr>
              <w:adjustRightInd w:val="0"/>
              <w:snapToGrid w:val="0"/>
              <w:jc w:val="center"/>
              <w:rPr>
                <w:rFonts w:hAnsi="宋体" w:cs="宋体"/>
                <w:color w:val="auto"/>
                <w:szCs w:val="21"/>
              </w:rPr>
            </w:pPr>
            <w:r>
              <w:rPr>
                <w:rFonts w:hint="eastAsia" w:hAnsi="宋体" w:cs="宋体"/>
                <w:color w:val="auto"/>
                <w:szCs w:val="21"/>
              </w:rPr>
              <w:t>建设单位</w:t>
            </w:r>
          </w:p>
          <w:p w14:paraId="2FA27B69">
            <w:pPr>
              <w:adjustRightInd w:val="0"/>
              <w:snapToGrid w:val="0"/>
              <w:jc w:val="center"/>
              <w:rPr>
                <w:rFonts w:cs="宋体"/>
                <w:color w:val="auto"/>
                <w:szCs w:val="21"/>
              </w:rPr>
            </w:pPr>
            <w:r>
              <w:rPr>
                <w:rFonts w:hint="eastAsia" w:hAnsi="宋体" w:cs="宋体"/>
                <w:color w:val="auto"/>
                <w:szCs w:val="21"/>
              </w:rPr>
              <w:t>联系人</w:t>
            </w:r>
          </w:p>
        </w:tc>
        <w:tc>
          <w:tcPr>
            <w:tcW w:w="2268" w:type="dxa"/>
            <w:vAlign w:val="center"/>
          </w:tcPr>
          <w:p w14:paraId="2F953345">
            <w:pPr>
              <w:adjustRightInd w:val="0"/>
              <w:snapToGrid w:val="0"/>
              <w:jc w:val="center"/>
              <w:rPr>
                <w:rFonts w:cs="宋体"/>
                <w:color w:val="auto"/>
                <w:szCs w:val="21"/>
                <w:highlight w:val="none"/>
              </w:rPr>
            </w:pPr>
            <w:r>
              <w:rPr>
                <w:rFonts w:hint="eastAsia" w:cs="宋体"/>
                <w:color w:val="auto"/>
                <w:szCs w:val="21"/>
                <w:highlight w:val="none"/>
              </w:rPr>
              <w:t>赵巍</w:t>
            </w:r>
          </w:p>
        </w:tc>
        <w:tc>
          <w:tcPr>
            <w:tcW w:w="1985" w:type="dxa"/>
            <w:vAlign w:val="center"/>
          </w:tcPr>
          <w:p w14:paraId="4B01FFC0">
            <w:pPr>
              <w:adjustRightInd w:val="0"/>
              <w:snapToGrid w:val="0"/>
              <w:jc w:val="center"/>
              <w:rPr>
                <w:rFonts w:cs="宋体"/>
                <w:color w:val="auto"/>
                <w:szCs w:val="21"/>
                <w:highlight w:val="none"/>
              </w:rPr>
            </w:pPr>
            <w:r>
              <w:rPr>
                <w:rFonts w:hint="eastAsia" w:hAnsi="宋体" w:cs="宋体"/>
                <w:color w:val="auto"/>
                <w:szCs w:val="21"/>
                <w:highlight w:val="none"/>
              </w:rPr>
              <w:t>联系方式</w:t>
            </w:r>
          </w:p>
        </w:tc>
        <w:tc>
          <w:tcPr>
            <w:tcW w:w="2903" w:type="dxa"/>
            <w:vAlign w:val="center"/>
          </w:tcPr>
          <w:p w14:paraId="43B63009">
            <w:pPr>
              <w:adjustRightInd w:val="0"/>
              <w:snapToGrid w:val="0"/>
              <w:jc w:val="center"/>
              <w:rPr>
                <w:rFonts w:cs="宋体"/>
                <w:color w:val="auto"/>
                <w:szCs w:val="21"/>
                <w:highlight w:val="none"/>
              </w:rPr>
            </w:pPr>
            <w:r>
              <w:rPr>
                <w:rFonts w:hint="eastAsia" w:cs="宋体"/>
                <w:color w:val="auto"/>
                <w:szCs w:val="21"/>
                <w:highlight w:val="none"/>
              </w:rPr>
              <w:t>15076523807</w:t>
            </w:r>
          </w:p>
        </w:tc>
      </w:tr>
      <w:tr w14:paraId="00A8F7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4" w:type="dxa"/>
            <w:tcMar>
              <w:top w:w="16" w:type="dxa"/>
              <w:left w:w="16" w:type="dxa"/>
              <w:right w:w="16" w:type="dxa"/>
            </w:tcMar>
            <w:vAlign w:val="center"/>
          </w:tcPr>
          <w:p w14:paraId="783D441E">
            <w:pPr>
              <w:adjustRightInd w:val="0"/>
              <w:snapToGrid w:val="0"/>
              <w:jc w:val="center"/>
              <w:rPr>
                <w:rFonts w:cs="宋体"/>
                <w:color w:val="auto"/>
                <w:szCs w:val="21"/>
              </w:rPr>
            </w:pPr>
            <w:r>
              <w:rPr>
                <w:rFonts w:hint="eastAsia" w:hAnsi="宋体" w:cs="宋体"/>
                <w:color w:val="auto"/>
                <w:szCs w:val="21"/>
              </w:rPr>
              <w:t>建设地点</w:t>
            </w:r>
          </w:p>
        </w:tc>
        <w:tc>
          <w:tcPr>
            <w:tcW w:w="7156" w:type="dxa"/>
            <w:gridSpan w:val="3"/>
            <w:vAlign w:val="center"/>
          </w:tcPr>
          <w:p w14:paraId="4173C2D0">
            <w:pPr>
              <w:adjustRightInd w:val="0"/>
              <w:snapToGrid w:val="0"/>
              <w:jc w:val="center"/>
              <w:rPr>
                <w:rFonts w:cs="宋体"/>
                <w:color w:val="auto"/>
                <w:szCs w:val="21"/>
              </w:rPr>
            </w:pPr>
            <w:r>
              <w:rPr>
                <w:rFonts w:hint="eastAsia" w:hAnsi="宋体" w:cs="宋体"/>
                <w:color w:val="auto"/>
                <w:szCs w:val="21"/>
              </w:rPr>
              <w:t>唐山市高新区学院北路1700号</w:t>
            </w:r>
          </w:p>
        </w:tc>
      </w:tr>
      <w:tr w14:paraId="2E25D7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4" w:type="dxa"/>
            <w:tcMar>
              <w:top w:w="16" w:type="dxa"/>
              <w:left w:w="16" w:type="dxa"/>
              <w:right w:w="16" w:type="dxa"/>
            </w:tcMar>
            <w:vAlign w:val="center"/>
          </w:tcPr>
          <w:p w14:paraId="260208B5">
            <w:pPr>
              <w:adjustRightInd w:val="0"/>
              <w:snapToGrid w:val="0"/>
              <w:jc w:val="center"/>
              <w:rPr>
                <w:rFonts w:cs="宋体"/>
                <w:color w:val="auto"/>
                <w:szCs w:val="21"/>
              </w:rPr>
            </w:pPr>
            <w:r>
              <w:rPr>
                <w:rFonts w:hint="eastAsia" w:hAnsi="宋体" w:cs="宋体"/>
                <w:color w:val="auto"/>
                <w:szCs w:val="21"/>
              </w:rPr>
              <w:t>地理坐标</w:t>
            </w:r>
          </w:p>
        </w:tc>
        <w:tc>
          <w:tcPr>
            <w:tcW w:w="7156" w:type="dxa"/>
            <w:gridSpan w:val="3"/>
            <w:vAlign w:val="center"/>
          </w:tcPr>
          <w:p w14:paraId="2A26CF60">
            <w:pPr>
              <w:jc w:val="center"/>
              <w:rPr>
                <w:rFonts w:cs="宋体"/>
                <w:color w:val="auto"/>
                <w:szCs w:val="21"/>
              </w:rPr>
            </w:pPr>
            <w:r>
              <w:rPr>
                <w:rFonts w:hint="eastAsia" w:hAnsi="宋体" w:cs="宋体"/>
                <w:color w:val="auto"/>
                <w:szCs w:val="21"/>
              </w:rPr>
              <w:t>（</w:t>
            </w:r>
            <w:r>
              <w:rPr>
                <w:rFonts w:hint="eastAsia" w:cs="宋体"/>
                <w:color w:val="auto"/>
                <w:szCs w:val="21"/>
              </w:rPr>
              <w:t xml:space="preserve">E </w:t>
            </w:r>
            <w:r>
              <w:rPr>
                <w:rFonts w:hint="eastAsia" w:cs="宋体"/>
                <w:color w:val="auto"/>
                <w:szCs w:val="21"/>
                <w:u w:val="single"/>
              </w:rPr>
              <w:t>118</w:t>
            </w:r>
            <w:r>
              <w:rPr>
                <w:rFonts w:hint="eastAsia" w:hAnsi="宋体" w:cs="宋体"/>
                <w:color w:val="auto"/>
                <w:szCs w:val="21"/>
              </w:rPr>
              <w:t>度</w:t>
            </w:r>
            <w:r>
              <w:rPr>
                <w:rFonts w:hint="eastAsia" w:cs="宋体"/>
                <w:color w:val="auto"/>
                <w:szCs w:val="21"/>
                <w:u w:val="single"/>
              </w:rPr>
              <w:t>8</w:t>
            </w:r>
            <w:r>
              <w:rPr>
                <w:rFonts w:hint="eastAsia" w:hAnsi="宋体" w:cs="宋体"/>
                <w:color w:val="auto"/>
                <w:szCs w:val="21"/>
              </w:rPr>
              <w:t>分</w:t>
            </w:r>
            <w:r>
              <w:rPr>
                <w:rFonts w:hint="eastAsia" w:cs="宋体"/>
                <w:color w:val="auto"/>
                <w:szCs w:val="21"/>
                <w:u w:val="single"/>
              </w:rPr>
              <w:t>57.088</w:t>
            </w:r>
            <w:r>
              <w:rPr>
                <w:rFonts w:hint="eastAsia" w:hAnsi="宋体" w:cs="宋体"/>
                <w:color w:val="auto"/>
                <w:szCs w:val="21"/>
              </w:rPr>
              <w:t>秒，</w:t>
            </w:r>
            <w:r>
              <w:rPr>
                <w:rFonts w:hint="eastAsia" w:cs="宋体"/>
                <w:color w:val="auto"/>
                <w:szCs w:val="21"/>
              </w:rPr>
              <w:t>N</w:t>
            </w:r>
            <w:r>
              <w:rPr>
                <w:rFonts w:cs="宋体"/>
                <w:color w:val="auto"/>
                <w:szCs w:val="21"/>
                <w:u w:val="single"/>
              </w:rPr>
              <w:t xml:space="preserve"> </w:t>
            </w:r>
            <w:r>
              <w:rPr>
                <w:rFonts w:hint="eastAsia" w:cs="宋体"/>
                <w:color w:val="auto"/>
                <w:szCs w:val="21"/>
                <w:u w:val="single"/>
              </w:rPr>
              <w:t>39</w:t>
            </w:r>
            <w:r>
              <w:rPr>
                <w:rFonts w:hint="eastAsia" w:hAnsi="宋体" w:cs="宋体"/>
                <w:color w:val="auto"/>
                <w:szCs w:val="21"/>
              </w:rPr>
              <w:t>度</w:t>
            </w:r>
            <w:r>
              <w:rPr>
                <w:rFonts w:hint="eastAsia" w:cs="宋体"/>
                <w:color w:val="auto"/>
                <w:szCs w:val="21"/>
                <w:u w:val="single"/>
              </w:rPr>
              <w:t>41</w:t>
            </w:r>
            <w:r>
              <w:rPr>
                <w:rFonts w:hint="eastAsia" w:hAnsi="宋体" w:cs="宋体"/>
                <w:color w:val="auto"/>
                <w:szCs w:val="21"/>
              </w:rPr>
              <w:t>分</w:t>
            </w:r>
            <w:r>
              <w:rPr>
                <w:rFonts w:hint="eastAsia" w:cs="宋体"/>
                <w:color w:val="auto"/>
                <w:szCs w:val="21"/>
                <w:u w:val="single"/>
              </w:rPr>
              <w:t>33.192</w:t>
            </w:r>
            <w:r>
              <w:rPr>
                <w:rFonts w:hint="eastAsia" w:hAnsi="宋体" w:cs="宋体"/>
                <w:color w:val="auto"/>
                <w:szCs w:val="21"/>
              </w:rPr>
              <w:t>秒）</w:t>
            </w:r>
          </w:p>
        </w:tc>
      </w:tr>
      <w:tr w14:paraId="28A7E3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714" w:type="dxa"/>
            <w:tcMar>
              <w:top w:w="16" w:type="dxa"/>
              <w:left w:w="16" w:type="dxa"/>
              <w:right w:w="16" w:type="dxa"/>
            </w:tcMar>
            <w:vAlign w:val="center"/>
          </w:tcPr>
          <w:p w14:paraId="140EED9A">
            <w:pPr>
              <w:adjustRightInd w:val="0"/>
              <w:snapToGrid w:val="0"/>
              <w:jc w:val="center"/>
              <w:rPr>
                <w:rFonts w:cs="宋体"/>
                <w:color w:val="auto"/>
                <w:szCs w:val="21"/>
              </w:rPr>
            </w:pPr>
            <w:r>
              <w:rPr>
                <w:rFonts w:hint="eastAsia" w:hAnsi="宋体" w:cs="宋体"/>
                <w:color w:val="auto"/>
                <w:szCs w:val="21"/>
              </w:rPr>
              <w:t>国民经济</w:t>
            </w:r>
          </w:p>
          <w:p w14:paraId="44736EE0">
            <w:pPr>
              <w:adjustRightInd w:val="0"/>
              <w:snapToGrid w:val="0"/>
              <w:jc w:val="center"/>
              <w:rPr>
                <w:rFonts w:cs="宋体"/>
                <w:color w:val="auto"/>
                <w:szCs w:val="21"/>
              </w:rPr>
            </w:pPr>
            <w:r>
              <w:rPr>
                <w:rFonts w:hint="eastAsia" w:hAnsi="宋体" w:cs="宋体"/>
                <w:color w:val="auto"/>
                <w:szCs w:val="21"/>
              </w:rPr>
              <w:t>行业类别</w:t>
            </w:r>
          </w:p>
        </w:tc>
        <w:tc>
          <w:tcPr>
            <w:tcW w:w="2268" w:type="dxa"/>
            <w:vAlign w:val="center"/>
          </w:tcPr>
          <w:p w14:paraId="2B9C108B">
            <w:pPr>
              <w:adjustRightInd w:val="0"/>
              <w:snapToGrid w:val="0"/>
              <w:jc w:val="center"/>
              <w:rPr>
                <w:rFonts w:hAnsi="宋体" w:cs="宋体"/>
                <w:color w:val="auto"/>
                <w:szCs w:val="21"/>
                <w:highlight w:val="none"/>
              </w:rPr>
            </w:pPr>
            <w:r>
              <w:rPr>
                <w:rFonts w:hint="eastAsia" w:cs="宋体"/>
                <w:color w:val="auto"/>
                <w:szCs w:val="21"/>
                <w:highlight w:val="none"/>
              </w:rPr>
              <w:t>C3393锻件及粉末冶金制品制造</w:t>
            </w:r>
          </w:p>
        </w:tc>
        <w:tc>
          <w:tcPr>
            <w:tcW w:w="1985" w:type="dxa"/>
            <w:vAlign w:val="center"/>
          </w:tcPr>
          <w:p w14:paraId="5008842A">
            <w:pPr>
              <w:adjustRightInd w:val="0"/>
              <w:snapToGrid w:val="0"/>
              <w:jc w:val="center"/>
              <w:rPr>
                <w:rFonts w:cs="宋体"/>
                <w:color w:val="auto"/>
                <w:szCs w:val="21"/>
                <w:highlight w:val="none"/>
              </w:rPr>
            </w:pPr>
            <w:bookmarkStart w:id="2" w:name="_Hlk49843745"/>
            <w:r>
              <w:rPr>
                <w:rFonts w:hint="eastAsia" w:hAnsi="宋体" w:cs="宋体"/>
                <w:color w:val="auto"/>
                <w:szCs w:val="21"/>
                <w:highlight w:val="none"/>
              </w:rPr>
              <w:t>建设项目</w:t>
            </w:r>
          </w:p>
          <w:p w14:paraId="4FB5D644">
            <w:pPr>
              <w:adjustRightInd w:val="0"/>
              <w:snapToGrid w:val="0"/>
              <w:jc w:val="center"/>
              <w:rPr>
                <w:rFonts w:cs="宋体"/>
                <w:color w:val="auto"/>
                <w:szCs w:val="21"/>
                <w:highlight w:val="none"/>
              </w:rPr>
            </w:pPr>
            <w:r>
              <w:rPr>
                <w:rFonts w:hint="eastAsia" w:hAnsi="宋体" w:cs="宋体"/>
                <w:color w:val="auto"/>
                <w:szCs w:val="21"/>
                <w:highlight w:val="none"/>
              </w:rPr>
              <w:t>行业类别</w:t>
            </w:r>
            <w:bookmarkEnd w:id="2"/>
          </w:p>
        </w:tc>
        <w:tc>
          <w:tcPr>
            <w:tcW w:w="2903" w:type="dxa"/>
            <w:vAlign w:val="center"/>
          </w:tcPr>
          <w:p w14:paraId="1BC3A884">
            <w:pPr>
              <w:adjustRightInd w:val="0"/>
              <w:snapToGrid w:val="0"/>
              <w:rPr>
                <w:rFonts w:cs="宋体"/>
                <w:color w:val="auto"/>
                <w:szCs w:val="21"/>
                <w:highlight w:val="none"/>
              </w:rPr>
            </w:pPr>
            <w:r>
              <w:rPr>
                <w:rFonts w:hint="eastAsia" w:hAnsi="宋体" w:cs="宋体"/>
                <w:color w:val="auto"/>
                <w:szCs w:val="21"/>
                <w:highlight w:val="none"/>
              </w:rPr>
              <w:t>三十、金属制品业33，68铸造及其他金属制品制造339，其他（仅分割、焊接、组装的除外）</w:t>
            </w:r>
          </w:p>
        </w:tc>
      </w:tr>
      <w:tr w14:paraId="6B436E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714" w:type="dxa"/>
            <w:tcMar>
              <w:top w:w="16" w:type="dxa"/>
              <w:left w:w="16" w:type="dxa"/>
              <w:right w:w="16" w:type="dxa"/>
            </w:tcMar>
            <w:vAlign w:val="center"/>
          </w:tcPr>
          <w:p w14:paraId="4E585F32">
            <w:pPr>
              <w:adjustRightInd w:val="0"/>
              <w:snapToGrid w:val="0"/>
              <w:jc w:val="center"/>
              <w:rPr>
                <w:rFonts w:cs="宋体"/>
                <w:color w:val="auto"/>
                <w:szCs w:val="21"/>
              </w:rPr>
            </w:pPr>
            <w:r>
              <w:rPr>
                <w:rFonts w:hint="eastAsia" w:hAnsi="宋体" w:cs="宋体"/>
                <w:color w:val="auto"/>
                <w:szCs w:val="21"/>
              </w:rPr>
              <w:t>建设性质</w:t>
            </w:r>
          </w:p>
        </w:tc>
        <w:tc>
          <w:tcPr>
            <w:tcW w:w="2268" w:type="dxa"/>
            <w:vAlign w:val="center"/>
          </w:tcPr>
          <w:p w14:paraId="7A4CE747">
            <w:pPr>
              <w:jc w:val="left"/>
              <w:rPr>
                <w:rFonts w:cs="宋体"/>
                <w:color w:val="auto"/>
                <w:szCs w:val="21"/>
              </w:rPr>
            </w:pPr>
            <w:r>
              <w:rPr>
                <w:rFonts w:hint="eastAsia" w:cs="宋体"/>
                <w:color w:val="auto"/>
                <w:szCs w:val="21"/>
              </w:rPr>
              <w:t>□</w:t>
            </w:r>
            <w:r>
              <w:rPr>
                <w:rFonts w:hint="eastAsia" w:hAnsi="宋体" w:cs="宋体"/>
                <w:color w:val="auto"/>
                <w:szCs w:val="21"/>
              </w:rPr>
              <w:t>新建（迁建）</w:t>
            </w:r>
          </w:p>
          <w:p w14:paraId="5A64270E">
            <w:pPr>
              <w:jc w:val="left"/>
              <w:rPr>
                <w:rFonts w:cs="宋体"/>
                <w:color w:val="auto"/>
                <w:szCs w:val="21"/>
              </w:rPr>
            </w:pPr>
            <w:r>
              <w:rPr>
                <w:rFonts w:hint="eastAsia" w:cs="宋体"/>
                <w:color w:val="auto"/>
                <w:szCs w:val="21"/>
              </w:rPr>
              <w:t>□</w:t>
            </w:r>
            <w:r>
              <w:rPr>
                <w:rFonts w:hint="eastAsia" w:hAnsi="宋体" w:cs="宋体"/>
                <w:color w:val="auto"/>
                <w:szCs w:val="21"/>
              </w:rPr>
              <w:t>改建</w:t>
            </w:r>
          </w:p>
          <w:p w14:paraId="05B2AB9D">
            <w:pPr>
              <w:jc w:val="left"/>
              <w:rPr>
                <w:rFonts w:cs="宋体"/>
                <w:color w:val="auto"/>
                <w:szCs w:val="21"/>
              </w:rPr>
            </w:pPr>
            <w:r>
              <w:rPr>
                <w:rFonts w:hint="eastAsia" w:cs="宋体"/>
                <w:color w:val="auto"/>
                <w:szCs w:val="21"/>
                <w:lang w:eastAsia="zh-CN"/>
              </w:rPr>
              <w:t>☑</w:t>
            </w:r>
            <w:r>
              <w:rPr>
                <w:rFonts w:hint="eastAsia" w:hAnsi="宋体" w:cs="宋体"/>
                <w:color w:val="auto"/>
                <w:szCs w:val="21"/>
              </w:rPr>
              <w:t>扩建</w:t>
            </w:r>
          </w:p>
          <w:p w14:paraId="27459626">
            <w:pPr>
              <w:jc w:val="left"/>
              <w:rPr>
                <w:rFonts w:cs="宋体"/>
                <w:color w:val="auto"/>
                <w:szCs w:val="21"/>
              </w:rPr>
            </w:pPr>
            <w:r>
              <w:rPr>
                <w:rFonts w:hint="eastAsia" w:cs="宋体"/>
                <w:color w:val="auto"/>
                <w:szCs w:val="21"/>
              </w:rPr>
              <w:t>□</w:t>
            </w:r>
            <w:r>
              <w:rPr>
                <w:rFonts w:hint="eastAsia" w:hAnsi="宋体" w:cs="宋体"/>
                <w:color w:val="auto"/>
                <w:szCs w:val="21"/>
              </w:rPr>
              <w:t>技术改造</w:t>
            </w:r>
          </w:p>
        </w:tc>
        <w:tc>
          <w:tcPr>
            <w:tcW w:w="1985" w:type="dxa"/>
            <w:vAlign w:val="center"/>
          </w:tcPr>
          <w:p w14:paraId="7326BE55">
            <w:pPr>
              <w:adjustRightInd w:val="0"/>
              <w:snapToGrid w:val="0"/>
              <w:jc w:val="center"/>
              <w:rPr>
                <w:rFonts w:cs="宋体"/>
                <w:color w:val="auto"/>
                <w:szCs w:val="21"/>
              </w:rPr>
            </w:pPr>
            <w:r>
              <w:rPr>
                <w:rFonts w:hint="eastAsia" w:hAnsi="宋体" w:cs="宋体"/>
                <w:color w:val="auto"/>
                <w:szCs w:val="21"/>
              </w:rPr>
              <w:t>建设项目</w:t>
            </w:r>
          </w:p>
          <w:p w14:paraId="3CAABA84">
            <w:pPr>
              <w:adjustRightInd w:val="0"/>
              <w:snapToGrid w:val="0"/>
              <w:jc w:val="center"/>
              <w:rPr>
                <w:rFonts w:cs="宋体"/>
                <w:color w:val="auto"/>
                <w:szCs w:val="21"/>
              </w:rPr>
            </w:pPr>
            <w:r>
              <w:rPr>
                <w:rFonts w:hint="eastAsia" w:hAnsi="宋体" w:cs="宋体"/>
                <w:color w:val="auto"/>
                <w:szCs w:val="21"/>
              </w:rPr>
              <w:t>申报情形</w:t>
            </w:r>
          </w:p>
        </w:tc>
        <w:tc>
          <w:tcPr>
            <w:tcW w:w="2903" w:type="dxa"/>
            <w:vAlign w:val="center"/>
          </w:tcPr>
          <w:p w14:paraId="4FCB4820">
            <w:pPr>
              <w:jc w:val="left"/>
              <w:rPr>
                <w:rFonts w:cs="宋体"/>
                <w:color w:val="auto"/>
                <w:szCs w:val="21"/>
              </w:rPr>
            </w:pPr>
            <w:r>
              <w:rPr>
                <w:rFonts w:hint="eastAsia" w:cs="宋体"/>
                <w:color w:val="auto"/>
                <w:szCs w:val="21"/>
              </w:rPr>
              <w:sym w:font="Wingdings" w:char="F0FE"/>
            </w:r>
            <w:r>
              <w:rPr>
                <w:rFonts w:hint="eastAsia" w:hAnsi="宋体" w:cs="宋体"/>
                <w:color w:val="auto"/>
                <w:szCs w:val="21"/>
              </w:rPr>
              <w:t>首次申报项目</w:t>
            </w:r>
            <w:r>
              <w:rPr>
                <w:rFonts w:cs="宋体"/>
                <w:color w:val="auto"/>
                <w:szCs w:val="21"/>
              </w:rPr>
              <w:t xml:space="preserve">             </w:t>
            </w:r>
          </w:p>
          <w:p w14:paraId="0875088F">
            <w:pPr>
              <w:jc w:val="left"/>
              <w:rPr>
                <w:rFonts w:cs="宋体"/>
                <w:color w:val="auto"/>
                <w:szCs w:val="21"/>
              </w:rPr>
            </w:pPr>
            <w:r>
              <w:rPr>
                <w:rFonts w:hint="eastAsia" w:cs="宋体"/>
                <w:color w:val="auto"/>
                <w:szCs w:val="21"/>
              </w:rPr>
              <w:t>□</w:t>
            </w:r>
            <w:r>
              <w:rPr>
                <w:rFonts w:hint="eastAsia" w:hAnsi="宋体" w:cs="宋体"/>
                <w:color w:val="auto"/>
                <w:szCs w:val="21"/>
              </w:rPr>
              <w:t>不予批准后再次申报项目</w:t>
            </w:r>
          </w:p>
          <w:p w14:paraId="28B2BD4A">
            <w:pPr>
              <w:jc w:val="left"/>
              <w:rPr>
                <w:rFonts w:cs="宋体"/>
                <w:color w:val="auto"/>
                <w:szCs w:val="21"/>
              </w:rPr>
            </w:pPr>
            <w:r>
              <w:rPr>
                <w:rFonts w:hint="eastAsia" w:cs="宋体"/>
                <w:color w:val="auto"/>
                <w:szCs w:val="21"/>
              </w:rPr>
              <w:sym w:font="Wingdings 2" w:char="00A3"/>
            </w:r>
            <w:r>
              <w:rPr>
                <w:rFonts w:hint="eastAsia" w:hAnsi="宋体" w:cs="宋体"/>
                <w:color w:val="auto"/>
                <w:szCs w:val="21"/>
              </w:rPr>
              <w:t>超五年重新审核项目</w:t>
            </w:r>
            <w:r>
              <w:rPr>
                <w:rFonts w:cs="宋体"/>
                <w:color w:val="auto"/>
                <w:szCs w:val="21"/>
              </w:rPr>
              <w:t xml:space="preserve">     </w:t>
            </w:r>
          </w:p>
          <w:p w14:paraId="22AF0E89">
            <w:pPr>
              <w:jc w:val="left"/>
              <w:rPr>
                <w:rFonts w:cs="宋体"/>
                <w:color w:val="auto"/>
                <w:szCs w:val="21"/>
              </w:rPr>
            </w:pPr>
            <w:r>
              <w:rPr>
                <w:rFonts w:hint="eastAsia" w:cs="宋体"/>
                <w:color w:val="auto"/>
                <w:szCs w:val="21"/>
              </w:rPr>
              <w:t>□</w:t>
            </w:r>
            <w:r>
              <w:rPr>
                <w:rFonts w:hint="eastAsia" w:hAnsi="宋体" w:cs="宋体"/>
                <w:color w:val="auto"/>
                <w:szCs w:val="21"/>
              </w:rPr>
              <w:t>重大变动重新报批项目</w:t>
            </w:r>
          </w:p>
        </w:tc>
      </w:tr>
      <w:tr w14:paraId="46406C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714" w:type="dxa"/>
            <w:tcMar>
              <w:top w:w="16" w:type="dxa"/>
              <w:left w:w="16" w:type="dxa"/>
              <w:right w:w="16" w:type="dxa"/>
            </w:tcMar>
            <w:vAlign w:val="center"/>
          </w:tcPr>
          <w:p w14:paraId="736C1CA8">
            <w:pPr>
              <w:adjustRightInd w:val="0"/>
              <w:snapToGrid w:val="0"/>
              <w:jc w:val="center"/>
              <w:rPr>
                <w:rFonts w:cs="宋体"/>
                <w:color w:val="auto"/>
                <w:szCs w:val="21"/>
              </w:rPr>
            </w:pPr>
            <w:r>
              <w:rPr>
                <w:rFonts w:hint="eastAsia" w:hAnsi="宋体" w:cs="宋体"/>
                <w:color w:val="auto"/>
                <w:szCs w:val="21"/>
              </w:rPr>
              <w:t>项目审批（核准</w:t>
            </w:r>
            <w:r>
              <w:rPr>
                <w:rFonts w:cs="宋体"/>
                <w:color w:val="auto"/>
                <w:szCs w:val="21"/>
              </w:rPr>
              <w:t>/</w:t>
            </w:r>
          </w:p>
          <w:p w14:paraId="2D73EAC3">
            <w:pPr>
              <w:adjustRightInd w:val="0"/>
              <w:snapToGrid w:val="0"/>
              <w:jc w:val="center"/>
              <w:rPr>
                <w:rFonts w:cs="宋体"/>
                <w:color w:val="auto"/>
                <w:szCs w:val="21"/>
              </w:rPr>
            </w:pPr>
            <w:r>
              <w:rPr>
                <w:rFonts w:hint="eastAsia" w:hAnsi="宋体" w:cs="宋体"/>
                <w:color w:val="auto"/>
                <w:szCs w:val="21"/>
              </w:rPr>
              <w:t>备案）部门（选填）</w:t>
            </w:r>
          </w:p>
        </w:tc>
        <w:tc>
          <w:tcPr>
            <w:tcW w:w="2268" w:type="dxa"/>
            <w:vAlign w:val="center"/>
          </w:tcPr>
          <w:p w14:paraId="230D9F19">
            <w:pPr>
              <w:adjustRightInd w:val="0"/>
              <w:snapToGrid w:val="0"/>
              <w:jc w:val="center"/>
              <w:rPr>
                <w:rFonts w:cs="宋体"/>
                <w:color w:val="auto"/>
                <w:szCs w:val="21"/>
              </w:rPr>
            </w:pPr>
            <w:r>
              <w:rPr>
                <w:rFonts w:hint="eastAsia" w:hAnsi="宋体" w:cs="宋体"/>
                <w:color w:val="auto"/>
                <w:szCs w:val="21"/>
              </w:rPr>
              <w:t>唐山高新技术产业开发区行政审批局</w:t>
            </w:r>
          </w:p>
        </w:tc>
        <w:tc>
          <w:tcPr>
            <w:tcW w:w="1985" w:type="dxa"/>
            <w:vAlign w:val="center"/>
          </w:tcPr>
          <w:p w14:paraId="6C581704">
            <w:pPr>
              <w:adjustRightInd w:val="0"/>
              <w:snapToGrid w:val="0"/>
              <w:jc w:val="center"/>
              <w:rPr>
                <w:rFonts w:cs="宋体"/>
                <w:color w:val="auto"/>
                <w:szCs w:val="21"/>
              </w:rPr>
            </w:pPr>
            <w:r>
              <w:rPr>
                <w:rFonts w:hint="eastAsia" w:hAnsi="宋体" w:cs="宋体"/>
                <w:color w:val="auto"/>
                <w:szCs w:val="21"/>
              </w:rPr>
              <w:t>项目审批（核准</w:t>
            </w:r>
            <w:r>
              <w:rPr>
                <w:rFonts w:cs="宋体"/>
                <w:color w:val="auto"/>
                <w:szCs w:val="21"/>
              </w:rPr>
              <w:t>/</w:t>
            </w:r>
          </w:p>
          <w:p w14:paraId="1835B0DC">
            <w:pPr>
              <w:adjustRightInd w:val="0"/>
              <w:snapToGrid w:val="0"/>
              <w:jc w:val="center"/>
              <w:rPr>
                <w:rFonts w:cs="宋体"/>
                <w:color w:val="auto"/>
                <w:szCs w:val="21"/>
              </w:rPr>
            </w:pPr>
            <w:r>
              <w:rPr>
                <w:rFonts w:hint="eastAsia" w:hAnsi="宋体" w:cs="宋体"/>
                <w:color w:val="auto"/>
                <w:szCs w:val="21"/>
              </w:rPr>
              <w:t>备案）文号（选填）</w:t>
            </w:r>
          </w:p>
        </w:tc>
        <w:tc>
          <w:tcPr>
            <w:tcW w:w="2903" w:type="dxa"/>
            <w:vAlign w:val="center"/>
          </w:tcPr>
          <w:p w14:paraId="68D1E496">
            <w:pPr>
              <w:adjustRightInd w:val="0"/>
              <w:snapToGrid w:val="0"/>
              <w:jc w:val="center"/>
              <w:rPr>
                <w:rFonts w:hint="eastAsia" w:eastAsia="宋体" w:cs="宋体"/>
                <w:color w:val="auto"/>
                <w:szCs w:val="21"/>
                <w:lang w:eastAsia="zh-CN"/>
              </w:rPr>
            </w:pPr>
            <w:r>
              <w:rPr>
                <w:rFonts w:hint="eastAsia" w:hAnsi="宋体" w:cs="宋体"/>
                <w:color w:val="auto"/>
                <w:szCs w:val="21"/>
                <w:lang w:eastAsia="zh-CN"/>
              </w:rPr>
              <w:t>唐高备字[2025]185号</w:t>
            </w:r>
          </w:p>
        </w:tc>
      </w:tr>
      <w:tr w14:paraId="6F635A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4" w:type="dxa"/>
            <w:tcMar>
              <w:top w:w="16" w:type="dxa"/>
              <w:left w:w="16" w:type="dxa"/>
              <w:right w:w="16" w:type="dxa"/>
            </w:tcMar>
            <w:vAlign w:val="center"/>
          </w:tcPr>
          <w:p w14:paraId="591699F4">
            <w:pPr>
              <w:adjustRightInd w:val="0"/>
              <w:snapToGrid w:val="0"/>
              <w:jc w:val="center"/>
              <w:rPr>
                <w:rFonts w:hAnsi="宋体" w:cs="宋体"/>
                <w:color w:val="auto"/>
                <w:szCs w:val="21"/>
              </w:rPr>
            </w:pPr>
            <w:r>
              <w:rPr>
                <w:rFonts w:hint="eastAsia" w:hAnsi="宋体" w:cs="宋体"/>
                <w:color w:val="auto"/>
                <w:szCs w:val="21"/>
              </w:rPr>
              <w:t>总投资</w:t>
            </w:r>
          </w:p>
          <w:p w14:paraId="131220EE">
            <w:pPr>
              <w:adjustRightInd w:val="0"/>
              <w:snapToGrid w:val="0"/>
              <w:jc w:val="center"/>
              <w:rPr>
                <w:rFonts w:cs="宋体"/>
                <w:color w:val="auto"/>
                <w:szCs w:val="21"/>
              </w:rPr>
            </w:pPr>
            <w:r>
              <w:rPr>
                <w:rFonts w:hint="eastAsia" w:hAnsi="宋体" w:cs="宋体"/>
                <w:color w:val="auto"/>
                <w:szCs w:val="21"/>
              </w:rPr>
              <w:t>（万元）</w:t>
            </w:r>
          </w:p>
        </w:tc>
        <w:tc>
          <w:tcPr>
            <w:tcW w:w="2268" w:type="dxa"/>
            <w:vAlign w:val="center"/>
          </w:tcPr>
          <w:p w14:paraId="56BB037F">
            <w:pPr>
              <w:adjustRightInd w:val="0"/>
              <w:snapToGrid w:val="0"/>
              <w:jc w:val="center"/>
              <w:rPr>
                <w:rFonts w:hint="eastAsia" w:eastAsia="宋体" w:cs="宋体"/>
                <w:color w:val="auto"/>
                <w:szCs w:val="21"/>
                <w:highlight w:val="none"/>
                <w:lang w:val="en-US" w:eastAsia="zh-CN"/>
              </w:rPr>
            </w:pPr>
            <w:r>
              <w:rPr>
                <w:rFonts w:hint="eastAsia" w:cs="宋体"/>
                <w:color w:val="auto"/>
                <w:szCs w:val="21"/>
                <w:highlight w:val="none"/>
                <w:lang w:val="en-US" w:eastAsia="zh-CN"/>
              </w:rPr>
              <w:t>3</w:t>
            </w:r>
            <w:r>
              <w:rPr>
                <w:rFonts w:hint="eastAsia" w:cs="宋体"/>
                <w:color w:val="auto"/>
                <w:szCs w:val="21"/>
                <w:highlight w:val="none"/>
              </w:rPr>
              <w:t>200</w:t>
            </w:r>
            <w:r>
              <w:rPr>
                <w:rFonts w:hint="eastAsia" w:cs="宋体"/>
                <w:color w:val="auto"/>
                <w:szCs w:val="21"/>
                <w:highlight w:val="none"/>
                <w:lang w:val="en-US" w:eastAsia="zh-CN"/>
              </w:rPr>
              <w:t>0</w:t>
            </w:r>
          </w:p>
        </w:tc>
        <w:tc>
          <w:tcPr>
            <w:tcW w:w="1985" w:type="dxa"/>
            <w:tcMar>
              <w:top w:w="16" w:type="dxa"/>
              <w:left w:w="16" w:type="dxa"/>
              <w:right w:w="16" w:type="dxa"/>
            </w:tcMar>
            <w:vAlign w:val="center"/>
          </w:tcPr>
          <w:p w14:paraId="28F45AF6">
            <w:pPr>
              <w:adjustRightInd w:val="0"/>
              <w:snapToGrid w:val="0"/>
              <w:jc w:val="center"/>
              <w:rPr>
                <w:rFonts w:cs="宋体"/>
                <w:color w:val="auto"/>
                <w:szCs w:val="21"/>
                <w:highlight w:val="none"/>
              </w:rPr>
            </w:pPr>
            <w:r>
              <w:rPr>
                <w:rFonts w:hint="eastAsia" w:hAnsi="宋体" w:cs="宋体"/>
                <w:color w:val="auto"/>
                <w:szCs w:val="21"/>
                <w:highlight w:val="none"/>
              </w:rPr>
              <w:t>环保投资（万元）</w:t>
            </w:r>
          </w:p>
        </w:tc>
        <w:tc>
          <w:tcPr>
            <w:tcW w:w="2903" w:type="dxa"/>
            <w:vAlign w:val="center"/>
          </w:tcPr>
          <w:p w14:paraId="501D1C08">
            <w:pPr>
              <w:adjustRightInd w:val="0"/>
              <w:snapToGrid w:val="0"/>
              <w:jc w:val="center"/>
              <w:rPr>
                <w:rFonts w:hint="eastAsia" w:eastAsia="宋体" w:cs="宋体"/>
                <w:color w:val="auto"/>
                <w:szCs w:val="21"/>
                <w:highlight w:val="none"/>
                <w:lang w:val="en-US" w:eastAsia="zh-CN"/>
              </w:rPr>
            </w:pPr>
            <w:r>
              <w:rPr>
                <w:rFonts w:hint="eastAsia" w:cs="宋体"/>
                <w:color w:val="auto"/>
                <w:szCs w:val="21"/>
                <w:highlight w:val="none"/>
                <w:lang w:val="en-US" w:eastAsia="zh-CN"/>
              </w:rPr>
              <w:t>2</w:t>
            </w:r>
            <w:r>
              <w:rPr>
                <w:rFonts w:cs="宋体"/>
                <w:color w:val="auto"/>
                <w:szCs w:val="21"/>
                <w:highlight w:val="none"/>
              </w:rPr>
              <w:t>0</w:t>
            </w:r>
            <w:r>
              <w:rPr>
                <w:rFonts w:hint="eastAsia" w:cs="宋体"/>
                <w:color w:val="auto"/>
                <w:szCs w:val="21"/>
                <w:highlight w:val="none"/>
                <w:lang w:val="en-US" w:eastAsia="zh-CN"/>
              </w:rPr>
              <w:t>0</w:t>
            </w:r>
          </w:p>
        </w:tc>
      </w:tr>
      <w:tr w14:paraId="1839DC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4" w:type="dxa"/>
            <w:tcMar>
              <w:top w:w="16" w:type="dxa"/>
              <w:left w:w="16" w:type="dxa"/>
              <w:right w:w="16" w:type="dxa"/>
            </w:tcMar>
            <w:vAlign w:val="center"/>
          </w:tcPr>
          <w:p w14:paraId="618E0342">
            <w:pPr>
              <w:adjustRightInd w:val="0"/>
              <w:snapToGrid w:val="0"/>
              <w:jc w:val="center"/>
              <w:rPr>
                <w:rFonts w:cs="宋体"/>
                <w:color w:val="auto"/>
                <w:szCs w:val="21"/>
              </w:rPr>
            </w:pPr>
            <w:r>
              <w:rPr>
                <w:rFonts w:hint="eastAsia" w:hAnsi="宋体" w:cs="宋体"/>
                <w:color w:val="auto"/>
                <w:szCs w:val="21"/>
              </w:rPr>
              <w:t>环保投资占比（</w:t>
            </w:r>
            <w:r>
              <w:rPr>
                <w:rFonts w:cs="宋体"/>
                <w:color w:val="auto"/>
                <w:szCs w:val="21"/>
              </w:rPr>
              <w:t>%</w:t>
            </w:r>
            <w:r>
              <w:rPr>
                <w:rFonts w:hint="eastAsia" w:hAnsi="宋体" w:cs="宋体"/>
                <w:color w:val="auto"/>
                <w:szCs w:val="21"/>
              </w:rPr>
              <w:t>）</w:t>
            </w:r>
          </w:p>
        </w:tc>
        <w:tc>
          <w:tcPr>
            <w:tcW w:w="2268" w:type="dxa"/>
            <w:vAlign w:val="center"/>
          </w:tcPr>
          <w:p w14:paraId="76AA4F49">
            <w:pPr>
              <w:adjustRightInd w:val="0"/>
              <w:snapToGrid w:val="0"/>
              <w:jc w:val="center"/>
              <w:rPr>
                <w:rFonts w:hint="default" w:eastAsia="宋体" w:cs="宋体"/>
                <w:color w:val="auto"/>
                <w:szCs w:val="21"/>
                <w:highlight w:val="none"/>
                <w:lang w:val="en-US" w:eastAsia="zh-CN"/>
              </w:rPr>
            </w:pPr>
            <w:r>
              <w:rPr>
                <w:rFonts w:hint="eastAsia" w:cs="宋体"/>
                <w:color w:val="auto"/>
                <w:szCs w:val="21"/>
                <w:highlight w:val="none"/>
                <w:lang w:val="en-US" w:eastAsia="zh-CN"/>
              </w:rPr>
              <w:t>0.63</w:t>
            </w:r>
          </w:p>
        </w:tc>
        <w:tc>
          <w:tcPr>
            <w:tcW w:w="1985" w:type="dxa"/>
            <w:tcMar>
              <w:top w:w="16" w:type="dxa"/>
              <w:left w:w="16" w:type="dxa"/>
              <w:right w:w="16" w:type="dxa"/>
            </w:tcMar>
            <w:vAlign w:val="center"/>
          </w:tcPr>
          <w:p w14:paraId="275A3AED">
            <w:pPr>
              <w:adjustRightInd w:val="0"/>
              <w:snapToGrid w:val="0"/>
              <w:jc w:val="center"/>
              <w:rPr>
                <w:rFonts w:cs="宋体"/>
                <w:color w:val="auto"/>
                <w:szCs w:val="21"/>
                <w:highlight w:val="none"/>
              </w:rPr>
            </w:pPr>
            <w:r>
              <w:rPr>
                <w:rFonts w:hint="eastAsia" w:hAnsi="宋体" w:cs="宋体"/>
                <w:color w:val="auto"/>
                <w:szCs w:val="21"/>
                <w:highlight w:val="none"/>
              </w:rPr>
              <w:t>施工工期</w:t>
            </w:r>
          </w:p>
        </w:tc>
        <w:tc>
          <w:tcPr>
            <w:tcW w:w="2903" w:type="dxa"/>
            <w:vAlign w:val="center"/>
          </w:tcPr>
          <w:p w14:paraId="743980C2">
            <w:pPr>
              <w:adjustRightInd w:val="0"/>
              <w:snapToGrid w:val="0"/>
              <w:jc w:val="center"/>
              <w:rPr>
                <w:rFonts w:cs="宋体"/>
                <w:color w:val="auto"/>
                <w:szCs w:val="21"/>
                <w:highlight w:val="none"/>
              </w:rPr>
            </w:pPr>
            <w:r>
              <w:rPr>
                <w:rFonts w:hint="eastAsia" w:cs="宋体"/>
                <w:color w:val="auto"/>
                <w:szCs w:val="21"/>
                <w:highlight w:val="none"/>
              </w:rPr>
              <w:t>2个月</w:t>
            </w:r>
          </w:p>
        </w:tc>
      </w:tr>
      <w:tr w14:paraId="6497A3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7" w:hRule="atLeast"/>
          <w:jc w:val="center"/>
        </w:trPr>
        <w:tc>
          <w:tcPr>
            <w:tcW w:w="1714" w:type="dxa"/>
            <w:tcMar>
              <w:top w:w="16" w:type="dxa"/>
              <w:left w:w="16" w:type="dxa"/>
              <w:right w:w="16" w:type="dxa"/>
            </w:tcMar>
            <w:vAlign w:val="center"/>
          </w:tcPr>
          <w:p w14:paraId="59A35531">
            <w:pPr>
              <w:adjustRightInd w:val="0"/>
              <w:snapToGrid w:val="0"/>
              <w:jc w:val="center"/>
              <w:rPr>
                <w:rFonts w:cs="宋体"/>
                <w:color w:val="auto"/>
                <w:szCs w:val="21"/>
              </w:rPr>
            </w:pPr>
            <w:r>
              <w:rPr>
                <w:rFonts w:hint="eastAsia" w:hAnsi="宋体" w:cs="宋体"/>
                <w:color w:val="auto"/>
                <w:szCs w:val="21"/>
              </w:rPr>
              <w:t>是否开工建设</w:t>
            </w:r>
          </w:p>
        </w:tc>
        <w:tc>
          <w:tcPr>
            <w:tcW w:w="2268" w:type="dxa"/>
            <w:vAlign w:val="center"/>
          </w:tcPr>
          <w:p w14:paraId="007AEDF8">
            <w:pPr>
              <w:adjustRightInd w:val="0"/>
              <w:snapToGrid w:val="0"/>
              <w:rPr>
                <w:rFonts w:cs="宋体"/>
                <w:color w:val="auto"/>
                <w:szCs w:val="21"/>
              </w:rPr>
            </w:pPr>
            <w:r>
              <w:rPr>
                <w:rFonts w:hint="eastAsia" w:cs="宋体"/>
                <w:color w:val="auto"/>
                <w:szCs w:val="21"/>
              </w:rPr>
              <w:sym w:font="Wingdings" w:char="F0FE"/>
            </w:r>
            <w:r>
              <w:rPr>
                <w:rFonts w:hint="eastAsia" w:hAnsi="宋体" w:cs="宋体"/>
                <w:color w:val="auto"/>
                <w:szCs w:val="21"/>
              </w:rPr>
              <w:t>否</w:t>
            </w:r>
          </w:p>
          <w:p w14:paraId="0C3C558E">
            <w:pPr>
              <w:adjustRightInd w:val="0"/>
              <w:snapToGrid w:val="0"/>
              <w:rPr>
                <w:rFonts w:cs="宋体"/>
                <w:color w:val="auto"/>
                <w:szCs w:val="21"/>
              </w:rPr>
            </w:pPr>
            <w:r>
              <w:rPr>
                <w:rFonts w:hint="eastAsia" w:cs="宋体"/>
                <w:color w:val="auto"/>
                <w:szCs w:val="21"/>
              </w:rPr>
              <w:sym w:font="Wingdings 2" w:char="00A3"/>
            </w:r>
            <w:r>
              <w:rPr>
                <w:rFonts w:hint="eastAsia" w:hAnsi="宋体" w:cs="宋体"/>
                <w:color w:val="auto"/>
                <w:szCs w:val="21"/>
              </w:rPr>
              <w:t>是：</w:t>
            </w:r>
            <w:r>
              <w:rPr>
                <w:rFonts w:hint="eastAsia" w:cs="宋体"/>
                <w:color w:val="auto"/>
                <w:szCs w:val="21"/>
                <w:u w:val="single"/>
              </w:rPr>
              <w:t xml:space="preserve">             </w:t>
            </w:r>
          </w:p>
        </w:tc>
        <w:tc>
          <w:tcPr>
            <w:tcW w:w="1985" w:type="dxa"/>
            <w:tcMar>
              <w:top w:w="16" w:type="dxa"/>
              <w:left w:w="16" w:type="dxa"/>
              <w:right w:w="16" w:type="dxa"/>
            </w:tcMar>
            <w:vAlign w:val="center"/>
          </w:tcPr>
          <w:p w14:paraId="7573EC63">
            <w:pPr>
              <w:adjustRightInd w:val="0"/>
              <w:snapToGrid w:val="0"/>
              <w:jc w:val="center"/>
              <w:rPr>
                <w:rFonts w:cs="宋体"/>
                <w:color w:val="auto"/>
                <w:spacing w:val="-6"/>
                <w:szCs w:val="21"/>
              </w:rPr>
            </w:pPr>
            <w:r>
              <w:rPr>
                <w:rFonts w:hint="eastAsia" w:hAnsi="宋体" w:cs="宋体"/>
                <w:color w:val="auto"/>
                <w:spacing w:val="-6"/>
                <w:szCs w:val="21"/>
              </w:rPr>
              <w:t>用地（用海）</w:t>
            </w:r>
          </w:p>
          <w:p w14:paraId="44715F0A">
            <w:pPr>
              <w:adjustRightInd w:val="0"/>
              <w:snapToGrid w:val="0"/>
              <w:jc w:val="center"/>
              <w:rPr>
                <w:rFonts w:cs="宋体"/>
                <w:color w:val="auto"/>
                <w:szCs w:val="21"/>
              </w:rPr>
            </w:pPr>
            <w:r>
              <w:rPr>
                <w:rFonts w:hint="eastAsia" w:hAnsi="宋体" w:cs="宋体"/>
                <w:color w:val="auto"/>
                <w:spacing w:val="-6"/>
                <w:szCs w:val="21"/>
              </w:rPr>
              <w:t>面积（</w:t>
            </w:r>
            <w:r>
              <w:rPr>
                <w:rFonts w:cs="宋体"/>
                <w:color w:val="auto"/>
                <w:spacing w:val="-6"/>
                <w:szCs w:val="21"/>
              </w:rPr>
              <w:t>m</w:t>
            </w:r>
            <w:r>
              <w:rPr>
                <w:rFonts w:cs="宋体"/>
                <w:color w:val="auto"/>
                <w:spacing w:val="-6"/>
                <w:szCs w:val="21"/>
                <w:vertAlign w:val="superscript"/>
              </w:rPr>
              <w:t>2</w:t>
            </w:r>
            <w:r>
              <w:rPr>
                <w:rFonts w:hint="eastAsia" w:hAnsi="宋体" w:cs="宋体"/>
                <w:color w:val="auto"/>
                <w:spacing w:val="-6"/>
                <w:szCs w:val="21"/>
              </w:rPr>
              <w:t>）</w:t>
            </w:r>
          </w:p>
        </w:tc>
        <w:tc>
          <w:tcPr>
            <w:tcW w:w="2903" w:type="dxa"/>
            <w:vAlign w:val="center"/>
          </w:tcPr>
          <w:p w14:paraId="4C237A3A">
            <w:pPr>
              <w:adjustRightInd w:val="0"/>
              <w:snapToGrid w:val="0"/>
              <w:jc w:val="center"/>
              <w:rPr>
                <w:rFonts w:cs="宋体"/>
                <w:color w:val="auto"/>
                <w:szCs w:val="21"/>
              </w:rPr>
            </w:pPr>
            <w:r>
              <w:rPr>
                <w:rFonts w:hint="eastAsia"/>
                <w:color w:val="auto"/>
              </w:rPr>
              <w:t>54123.74</w:t>
            </w:r>
          </w:p>
        </w:tc>
      </w:tr>
      <w:tr w14:paraId="4E6637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1714" w:type="dxa"/>
            <w:vAlign w:val="center"/>
          </w:tcPr>
          <w:p w14:paraId="1EF2733D">
            <w:pPr>
              <w:autoSpaceDE w:val="0"/>
              <w:autoSpaceDN w:val="0"/>
              <w:adjustRightInd w:val="0"/>
              <w:snapToGrid w:val="0"/>
              <w:jc w:val="center"/>
              <w:rPr>
                <w:rFonts w:hAnsi="宋体" w:cs="宋体"/>
                <w:color w:val="auto"/>
                <w:kern w:val="0"/>
                <w:szCs w:val="21"/>
              </w:rPr>
            </w:pPr>
            <w:r>
              <w:rPr>
                <w:rFonts w:hint="eastAsia" w:hAnsi="宋体" w:cs="宋体"/>
                <w:color w:val="auto"/>
                <w:kern w:val="0"/>
                <w:szCs w:val="21"/>
              </w:rPr>
              <w:t>专项评价</w:t>
            </w:r>
          </w:p>
          <w:p w14:paraId="1337ECC7">
            <w:pPr>
              <w:autoSpaceDE w:val="0"/>
              <w:autoSpaceDN w:val="0"/>
              <w:adjustRightInd w:val="0"/>
              <w:snapToGrid w:val="0"/>
              <w:jc w:val="center"/>
              <w:rPr>
                <w:rFonts w:cs="宋体"/>
                <w:color w:val="auto"/>
                <w:kern w:val="0"/>
                <w:szCs w:val="21"/>
              </w:rPr>
            </w:pPr>
            <w:r>
              <w:rPr>
                <w:rFonts w:hint="eastAsia" w:hAnsi="宋体" w:cs="宋体"/>
                <w:color w:val="auto"/>
                <w:kern w:val="0"/>
                <w:szCs w:val="21"/>
              </w:rPr>
              <w:t>设置情况</w:t>
            </w:r>
          </w:p>
        </w:tc>
        <w:tc>
          <w:tcPr>
            <w:tcW w:w="7156" w:type="dxa"/>
            <w:gridSpan w:val="3"/>
            <w:vAlign w:val="center"/>
          </w:tcPr>
          <w:p w14:paraId="654FCBB1">
            <w:pPr>
              <w:autoSpaceDE w:val="0"/>
              <w:autoSpaceDN w:val="0"/>
              <w:adjustRightInd w:val="0"/>
              <w:snapToGrid w:val="0"/>
              <w:jc w:val="center"/>
              <w:rPr>
                <w:rFonts w:cs="宋体"/>
                <w:color w:val="auto"/>
                <w:kern w:val="0"/>
                <w:szCs w:val="21"/>
              </w:rPr>
            </w:pPr>
            <w:r>
              <w:rPr>
                <w:rFonts w:cs="宋体"/>
                <w:color w:val="auto"/>
                <w:kern w:val="0"/>
                <w:szCs w:val="21"/>
              </w:rPr>
              <w:t>无</w:t>
            </w:r>
          </w:p>
        </w:tc>
      </w:tr>
      <w:tr w14:paraId="2465C4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714" w:type="dxa"/>
            <w:vAlign w:val="center"/>
          </w:tcPr>
          <w:p w14:paraId="732AA5F2">
            <w:pPr>
              <w:autoSpaceDE w:val="0"/>
              <w:autoSpaceDN w:val="0"/>
              <w:adjustRightInd w:val="0"/>
              <w:snapToGrid w:val="0"/>
              <w:jc w:val="center"/>
              <w:rPr>
                <w:rFonts w:cs="宋体"/>
                <w:color w:val="auto"/>
                <w:kern w:val="0"/>
                <w:szCs w:val="21"/>
              </w:rPr>
            </w:pPr>
            <w:r>
              <w:rPr>
                <w:rFonts w:hint="eastAsia" w:hAnsi="宋体" w:cs="宋体"/>
                <w:color w:val="auto"/>
                <w:szCs w:val="21"/>
              </w:rPr>
              <w:t>规划情况</w:t>
            </w:r>
          </w:p>
        </w:tc>
        <w:tc>
          <w:tcPr>
            <w:tcW w:w="7156" w:type="dxa"/>
            <w:gridSpan w:val="3"/>
            <w:vAlign w:val="center"/>
          </w:tcPr>
          <w:p w14:paraId="66B317F8">
            <w:pPr>
              <w:rPr>
                <w:color w:val="auto"/>
                <w:szCs w:val="21"/>
              </w:rPr>
            </w:pPr>
            <w:r>
              <w:rPr>
                <w:rFonts w:hint="eastAsia"/>
                <w:color w:val="auto"/>
                <w:szCs w:val="21"/>
              </w:rPr>
              <w:t>规划名称：《唐山高新技术产业开发区总体规划（2021-2035年）》</w:t>
            </w:r>
          </w:p>
        </w:tc>
      </w:tr>
      <w:tr w14:paraId="73574E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88" w:hRule="atLeast"/>
          <w:jc w:val="center"/>
        </w:trPr>
        <w:tc>
          <w:tcPr>
            <w:tcW w:w="1714" w:type="dxa"/>
            <w:vAlign w:val="center"/>
          </w:tcPr>
          <w:p w14:paraId="270835AF">
            <w:pPr>
              <w:adjustRightInd w:val="0"/>
              <w:snapToGrid w:val="0"/>
              <w:jc w:val="center"/>
              <w:rPr>
                <w:rFonts w:cs="宋体"/>
                <w:color w:val="auto"/>
                <w:szCs w:val="21"/>
              </w:rPr>
            </w:pPr>
            <w:r>
              <w:rPr>
                <w:rFonts w:hint="eastAsia" w:hAnsi="宋体" w:cs="宋体"/>
                <w:color w:val="auto"/>
                <w:szCs w:val="21"/>
              </w:rPr>
              <w:t>规划环境影响</w:t>
            </w:r>
          </w:p>
          <w:p w14:paraId="12818480">
            <w:pPr>
              <w:adjustRightInd w:val="0"/>
              <w:snapToGrid w:val="0"/>
              <w:jc w:val="center"/>
              <w:rPr>
                <w:rFonts w:cs="宋体"/>
                <w:color w:val="auto"/>
                <w:kern w:val="0"/>
                <w:szCs w:val="21"/>
              </w:rPr>
            </w:pPr>
            <w:r>
              <w:rPr>
                <w:rFonts w:hint="eastAsia" w:hAnsi="宋体" w:cs="宋体"/>
                <w:color w:val="auto"/>
                <w:szCs w:val="21"/>
              </w:rPr>
              <w:t>评价情况</w:t>
            </w:r>
          </w:p>
        </w:tc>
        <w:tc>
          <w:tcPr>
            <w:tcW w:w="7156" w:type="dxa"/>
            <w:gridSpan w:val="3"/>
            <w:vAlign w:val="center"/>
          </w:tcPr>
          <w:p w14:paraId="1F1CA2DE">
            <w:pPr>
              <w:autoSpaceDE w:val="0"/>
              <w:autoSpaceDN w:val="0"/>
              <w:adjustRightInd w:val="0"/>
              <w:snapToGrid w:val="0"/>
              <w:rPr>
                <w:color w:val="auto"/>
                <w:szCs w:val="21"/>
              </w:rPr>
            </w:pPr>
            <w:r>
              <w:rPr>
                <w:rFonts w:hint="eastAsia"/>
                <w:color w:val="auto"/>
                <w:szCs w:val="21"/>
              </w:rPr>
              <w:t>文件名称：《唐山高新技术产业开发区总体规划（2021-2035年）环境影响报告书》</w:t>
            </w:r>
          </w:p>
          <w:p w14:paraId="0489D44B">
            <w:pPr>
              <w:autoSpaceDE w:val="0"/>
              <w:autoSpaceDN w:val="0"/>
              <w:adjustRightInd w:val="0"/>
              <w:snapToGrid w:val="0"/>
              <w:rPr>
                <w:color w:val="auto"/>
                <w:szCs w:val="21"/>
              </w:rPr>
            </w:pPr>
            <w:r>
              <w:rPr>
                <w:rFonts w:hint="eastAsia"/>
                <w:color w:val="auto"/>
                <w:szCs w:val="21"/>
              </w:rPr>
              <w:t>召集审查机关：中华人民共和国生态环境部</w:t>
            </w:r>
          </w:p>
          <w:p w14:paraId="6DBEFA1D">
            <w:pPr>
              <w:autoSpaceDE w:val="0"/>
              <w:autoSpaceDN w:val="0"/>
              <w:adjustRightInd w:val="0"/>
              <w:snapToGrid w:val="0"/>
              <w:rPr>
                <w:color w:val="auto"/>
                <w:szCs w:val="21"/>
              </w:rPr>
            </w:pPr>
            <w:r>
              <w:rPr>
                <w:rFonts w:hint="eastAsia"/>
                <w:color w:val="auto"/>
                <w:szCs w:val="21"/>
              </w:rPr>
              <w:t>审查文件及文号：关于《唐山高新技术产业开发区总体规划(2021-2035年)环境影响报告书》的审查意见（环审〔2025〕28号）</w:t>
            </w:r>
          </w:p>
        </w:tc>
      </w:tr>
      <w:tr w14:paraId="1FE472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56" w:hRule="atLeast"/>
          <w:jc w:val="center"/>
        </w:trPr>
        <w:tc>
          <w:tcPr>
            <w:tcW w:w="1714" w:type="dxa"/>
            <w:vAlign w:val="center"/>
          </w:tcPr>
          <w:p w14:paraId="15D3894D">
            <w:pPr>
              <w:autoSpaceDE w:val="0"/>
              <w:autoSpaceDN w:val="0"/>
              <w:adjustRightInd w:val="0"/>
              <w:snapToGrid w:val="0"/>
              <w:jc w:val="center"/>
              <w:rPr>
                <w:rFonts w:cs="宋体"/>
                <w:color w:val="auto"/>
                <w:kern w:val="0"/>
                <w:szCs w:val="21"/>
              </w:rPr>
            </w:pPr>
            <w:r>
              <w:rPr>
                <w:rFonts w:hint="eastAsia" w:hAnsi="宋体" w:cs="宋体"/>
                <w:color w:val="auto"/>
                <w:kern w:val="0"/>
                <w:szCs w:val="21"/>
              </w:rPr>
              <w:t>规划及规划环境</w:t>
            </w:r>
          </w:p>
          <w:p w14:paraId="2EA5F768">
            <w:pPr>
              <w:autoSpaceDE w:val="0"/>
              <w:autoSpaceDN w:val="0"/>
              <w:adjustRightInd w:val="0"/>
              <w:snapToGrid w:val="0"/>
              <w:jc w:val="center"/>
              <w:rPr>
                <w:rFonts w:cs="宋体"/>
                <w:color w:val="auto"/>
                <w:kern w:val="0"/>
                <w:szCs w:val="21"/>
              </w:rPr>
            </w:pPr>
            <w:r>
              <w:rPr>
                <w:rFonts w:hint="eastAsia" w:hAnsi="宋体" w:cs="宋体"/>
                <w:color w:val="auto"/>
                <w:kern w:val="0"/>
                <w:szCs w:val="21"/>
              </w:rPr>
              <w:t>影响评价符合性分析</w:t>
            </w:r>
          </w:p>
        </w:tc>
        <w:tc>
          <w:tcPr>
            <w:tcW w:w="7156" w:type="dxa"/>
            <w:gridSpan w:val="3"/>
            <w:vAlign w:val="center"/>
          </w:tcPr>
          <w:p w14:paraId="2B33FB5B">
            <w:pPr>
              <w:pStyle w:val="122"/>
              <w:rPr>
                <w:color w:val="auto"/>
                <w:kern w:val="0"/>
              </w:rPr>
            </w:pPr>
            <w:r>
              <w:rPr>
                <w:rFonts w:hint="eastAsia"/>
                <w:color w:val="auto"/>
                <w:kern w:val="0"/>
              </w:rPr>
              <w:t>1、与园区规划的符合性分析</w:t>
            </w:r>
          </w:p>
          <w:p w14:paraId="45A2B979">
            <w:pPr>
              <w:pStyle w:val="116"/>
              <w:ind w:firstLine="420"/>
              <w:rPr>
                <w:color w:val="auto"/>
              </w:rPr>
            </w:pPr>
            <w:r>
              <w:rPr>
                <w:rFonts w:hint="eastAsia"/>
                <w:color w:val="auto"/>
              </w:rPr>
              <w:t>唐山高新技术产业开发区范围包括高新区本部、京唐智慧港和老庄子镇三个分区，规划总面积100.3 km</w:t>
            </w:r>
            <w:r>
              <w:rPr>
                <w:rFonts w:hint="eastAsia"/>
                <w:color w:val="auto"/>
                <w:vertAlign w:val="superscript"/>
              </w:rPr>
              <w:t>2</w:t>
            </w:r>
            <w:r>
              <w:rPr>
                <w:rFonts w:hint="eastAsia"/>
                <w:color w:val="auto"/>
              </w:rPr>
              <w:t>，其中高新区本部32.81 km</w:t>
            </w:r>
            <w:r>
              <w:rPr>
                <w:rFonts w:hint="eastAsia"/>
                <w:color w:val="auto"/>
                <w:vertAlign w:val="superscript"/>
              </w:rPr>
              <w:t>2</w:t>
            </w:r>
            <w:r>
              <w:rPr>
                <w:rFonts w:hint="eastAsia"/>
                <w:color w:val="auto"/>
              </w:rPr>
              <w:t>、京唐智慧港28.78 km</w:t>
            </w:r>
            <w:r>
              <w:rPr>
                <w:rFonts w:hint="eastAsia"/>
                <w:color w:val="auto"/>
                <w:vertAlign w:val="superscript"/>
              </w:rPr>
              <w:t>2</w:t>
            </w:r>
            <w:r>
              <w:rPr>
                <w:rFonts w:hint="eastAsia"/>
                <w:color w:val="auto"/>
              </w:rPr>
              <w:t>、老庄子镇38.71 km</w:t>
            </w:r>
            <w:r>
              <w:rPr>
                <w:rFonts w:hint="eastAsia"/>
                <w:color w:val="auto"/>
                <w:vertAlign w:val="superscript"/>
              </w:rPr>
              <w:t>2</w:t>
            </w:r>
            <w:r>
              <w:rPr>
                <w:rFonts w:hint="eastAsia"/>
                <w:color w:val="auto"/>
              </w:rPr>
              <w:t>。本项目位于高新区本部（南部区），以下分析项目与高新区本部规划的符合性。</w:t>
            </w:r>
          </w:p>
          <w:p w14:paraId="246C7EF3">
            <w:pPr>
              <w:pStyle w:val="119"/>
              <w:rPr>
                <w:color w:val="auto"/>
              </w:rPr>
            </w:pPr>
            <w:r>
              <w:rPr>
                <w:rFonts w:hint="eastAsia"/>
                <w:color w:val="auto"/>
              </w:rPr>
              <w:t>（1）与产业布局和用地布局符合性分析</w:t>
            </w:r>
          </w:p>
          <w:p w14:paraId="12479294">
            <w:pPr>
              <w:pStyle w:val="116"/>
              <w:ind w:firstLine="420"/>
              <w:rPr>
                <w:rFonts w:hint="default" w:eastAsia="宋体"/>
                <w:color w:val="auto"/>
                <w:lang w:val="en-US" w:eastAsia="zh-CN"/>
              </w:rPr>
            </w:pPr>
            <w:r>
              <w:rPr>
                <w:rFonts w:hint="eastAsia"/>
                <w:color w:val="auto"/>
              </w:rPr>
              <w:t>高新区本部发展定位：作为产城融合先行区、城市功能提质区，发展定位为</w:t>
            </w:r>
            <w:r>
              <w:rPr>
                <w:color w:val="auto"/>
              </w:rPr>
              <w:t>“</w:t>
            </w:r>
            <w:r>
              <w:rPr>
                <w:rFonts w:hint="eastAsia"/>
                <w:color w:val="auto"/>
              </w:rPr>
              <w:t>彰显活力的科创中心</w:t>
            </w:r>
            <w:r>
              <w:rPr>
                <w:color w:val="auto"/>
              </w:rPr>
              <w:t>”</w:t>
            </w:r>
            <w:r>
              <w:rPr>
                <w:rFonts w:hint="eastAsia"/>
                <w:color w:val="auto"/>
              </w:rPr>
              <w:t>。重点发展智能制造、新能源新材料、信息技术及生物医药产业。</w:t>
            </w:r>
          </w:p>
          <w:p w14:paraId="22D9FC42">
            <w:pPr>
              <w:pStyle w:val="116"/>
              <w:ind w:firstLine="420"/>
              <w:jc w:val="both"/>
              <w:rPr>
                <w:rFonts w:hint="eastAsia"/>
                <w:color w:val="auto"/>
                <w:lang w:val="en-US" w:eastAsia="zh-CN"/>
              </w:rPr>
            </w:pPr>
            <w:r>
              <w:rPr>
                <w:rFonts w:hint="eastAsia"/>
                <w:color w:val="auto"/>
                <w:lang w:val="en-US" w:eastAsia="zh-CN"/>
              </w:rPr>
              <w:t>本</w:t>
            </w:r>
            <w:r>
              <w:rPr>
                <w:rFonts w:hint="eastAsia"/>
                <w:color w:val="auto"/>
              </w:rPr>
              <w:t>项目位于唐山市高新区学院北路1700号</w:t>
            </w:r>
            <w:r>
              <w:rPr>
                <w:rFonts w:hint="eastAsia"/>
                <w:color w:val="auto"/>
                <w:lang w:eastAsia="zh-CN"/>
              </w:rPr>
              <w:t>，</w:t>
            </w:r>
            <w:r>
              <w:rPr>
                <w:rFonts w:hint="eastAsia"/>
                <w:color w:val="auto"/>
                <w:lang w:val="en-US" w:eastAsia="zh-CN"/>
              </w:rPr>
              <w:t>位于</w:t>
            </w:r>
            <w:r>
              <w:rPr>
                <w:rFonts w:hint="eastAsia"/>
                <w:color w:val="auto"/>
              </w:rPr>
              <w:t>科创组团，根据《唐山高新技术产业开发区总体规划2021-2035年）环境影响报告书》，科创组团主导产业为机器人、</w:t>
            </w:r>
            <w:r>
              <w:rPr>
                <w:rFonts w:hint="eastAsia"/>
                <w:color w:val="auto"/>
                <w:lang w:val="en-US" w:eastAsia="zh-CN"/>
              </w:rPr>
              <w:t>智能装备、</w:t>
            </w:r>
            <w:r>
              <w:rPr>
                <w:rFonts w:hint="eastAsia"/>
                <w:color w:val="auto"/>
              </w:rPr>
              <w:t>信息技术。</w:t>
            </w:r>
            <w:r>
              <w:rPr>
                <w:rFonts w:hint="eastAsia"/>
                <w:color w:val="auto"/>
                <w:lang w:val="en-US" w:eastAsia="zh-CN"/>
              </w:rPr>
              <w:t>本项目生产线采用全自动化控制，整条生产线融合自动化输送、智能温控、变频控制、在线检测与连续化热处理技术，装备运行数据可实时采集与监控，属于智能化装备生产线，符合智能装备制造产业定位，且本项目属于省重点项目，符合园区产业定位要求。</w:t>
            </w:r>
          </w:p>
          <w:p w14:paraId="49D321F7">
            <w:pPr>
              <w:pStyle w:val="116"/>
              <w:ind w:firstLine="420"/>
              <w:rPr>
                <w:color w:val="auto"/>
              </w:rPr>
            </w:pPr>
            <w:r>
              <w:rPr>
                <w:rFonts w:hint="eastAsia"/>
                <w:color w:val="auto"/>
              </w:rPr>
              <w:t>本项目</w:t>
            </w:r>
            <w:r>
              <w:rPr>
                <w:rFonts w:hint="eastAsia" w:cs="宋体"/>
                <w:color w:val="auto"/>
                <w:kern w:val="0"/>
                <w:lang w:eastAsia="zh-CN"/>
              </w:rPr>
              <w:t>利用厂区空地进行项目建设</w:t>
            </w:r>
            <w:r>
              <w:rPr>
                <w:rFonts w:hint="eastAsia" w:cs="宋体"/>
                <w:color w:val="auto"/>
                <w:kern w:val="0"/>
              </w:rPr>
              <w:t>，</w:t>
            </w:r>
            <w:r>
              <w:rPr>
                <w:rFonts w:hint="eastAsia"/>
                <w:color w:val="auto"/>
              </w:rPr>
              <w:t>项目占地土地类型为工业用地，符合园区用地布局。</w:t>
            </w:r>
          </w:p>
          <w:p w14:paraId="19D6F414">
            <w:pPr>
              <w:pStyle w:val="119"/>
              <w:rPr>
                <w:color w:val="auto"/>
              </w:rPr>
            </w:pPr>
            <w:r>
              <w:rPr>
                <w:rFonts w:hint="eastAsia"/>
                <w:color w:val="auto"/>
              </w:rPr>
              <w:t>（2）与公辅设施的符合性分析</w:t>
            </w:r>
          </w:p>
          <w:p w14:paraId="5ED02940">
            <w:pPr>
              <w:pStyle w:val="116"/>
              <w:ind w:firstLine="420"/>
              <w:rPr>
                <w:color w:val="auto"/>
              </w:rPr>
            </w:pPr>
            <w:r>
              <w:rPr>
                <w:rFonts w:hint="eastAsia"/>
                <w:color w:val="auto"/>
              </w:rPr>
              <w:t>①给水</w:t>
            </w:r>
          </w:p>
          <w:p w14:paraId="03DF704F">
            <w:pPr>
              <w:pStyle w:val="116"/>
              <w:ind w:firstLine="420"/>
              <w:rPr>
                <w:color w:val="auto"/>
              </w:rPr>
            </w:pPr>
            <w:r>
              <w:rPr>
                <w:rFonts w:hint="eastAsia"/>
                <w:color w:val="auto"/>
              </w:rPr>
              <w:t>园区规划近期以陡河水库和地下水为联合供水水源，远期以陡河水库为供水水源。高新区本部近、远期均由庆南水厂供水。</w:t>
            </w:r>
          </w:p>
          <w:p w14:paraId="4895C5D3">
            <w:pPr>
              <w:pStyle w:val="10"/>
              <w:rPr>
                <w:bCs/>
                <w:color w:val="auto"/>
              </w:rPr>
            </w:pPr>
            <w:r>
              <w:rPr>
                <w:rFonts w:hint="eastAsia"/>
                <w:color w:val="auto"/>
              </w:rPr>
              <w:t>表1</w:t>
            </w:r>
            <w:r>
              <w:rPr>
                <w:rFonts w:hint="eastAsia"/>
                <w:color w:val="auto"/>
                <w:lang w:eastAsia="zh-CN"/>
              </w:rPr>
              <w:t>-</w:t>
            </w:r>
            <w:r>
              <w:rPr>
                <w:color w:val="auto"/>
              </w:rPr>
              <w:fldChar w:fldCharType="begin"/>
            </w:r>
            <w:r>
              <w:rPr>
                <w:color w:val="auto"/>
              </w:rPr>
              <w:instrText xml:space="preserve"> </w:instrText>
            </w:r>
            <w:r>
              <w:rPr>
                <w:rFonts w:hint="eastAsia"/>
                <w:color w:val="auto"/>
              </w:rPr>
              <w:instrText xml:space="preserve">SEQ 表1- \* ARABIC</w:instrText>
            </w:r>
            <w:r>
              <w:rPr>
                <w:color w:val="auto"/>
              </w:rPr>
              <w:instrText xml:space="preserve"> </w:instrText>
            </w:r>
            <w:r>
              <w:rPr>
                <w:color w:val="auto"/>
              </w:rPr>
              <w:fldChar w:fldCharType="separate"/>
            </w:r>
            <w:r>
              <w:rPr>
                <w:color w:val="auto"/>
              </w:rPr>
              <w:t>1</w:t>
            </w:r>
            <w:r>
              <w:rPr>
                <w:color w:val="auto"/>
              </w:rPr>
              <w:fldChar w:fldCharType="end"/>
            </w:r>
            <w:r>
              <w:rPr>
                <w:rFonts w:hint="eastAsia"/>
                <w:bCs/>
                <w:color w:val="auto"/>
              </w:rPr>
              <w:t>所在区域供水情况一览表</w:t>
            </w:r>
          </w:p>
          <w:tbl>
            <w:tblPr>
              <w:tblStyle w:val="33"/>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3"/>
              <w:gridCol w:w="2410"/>
              <w:gridCol w:w="1275"/>
              <w:gridCol w:w="2410"/>
            </w:tblGrid>
            <w:tr w14:paraId="079291D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3" w:type="dxa"/>
                  <w:vAlign w:val="center"/>
                </w:tcPr>
                <w:p w14:paraId="27A36166">
                  <w:pPr>
                    <w:pStyle w:val="116"/>
                    <w:spacing w:line="240" w:lineRule="auto"/>
                    <w:ind w:firstLine="0" w:firstLineChars="0"/>
                    <w:jc w:val="center"/>
                    <w:rPr>
                      <w:color w:val="auto"/>
                    </w:rPr>
                  </w:pPr>
                  <w:r>
                    <w:rPr>
                      <w:rFonts w:hint="eastAsia"/>
                      <w:color w:val="auto"/>
                    </w:rPr>
                    <w:t>类型</w:t>
                  </w:r>
                </w:p>
              </w:tc>
              <w:tc>
                <w:tcPr>
                  <w:tcW w:w="2410" w:type="dxa"/>
                  <w:vAlign w:val="center"/>
                </w:tcPr>
                <w:p w14:paraId="32EA2AEC">
                  <w:pPr>
                    <w:pStyle w:val="116"/>
                    <w:spacing w:line="240" w:lineRule="auto"/>
                    <w:ind w:firstLine="0" w:firstLineChars="0"/>
                    <w:jc w:val="center"/>
                    <w:rPr>
                      <w:color w:val="auto"/>
                    </w:rPr>
                  </w:pPr>
                  <w:r>
                    <w:rPr>
                      <w:rFonts w:hint="eastAsia"/>
                      <w:color w:val="auto"/>
                    </w:rPr>
                    <w:t>水源</w:t>
                  </w:r>
                </w:p>
              </w:tc>
              <w:tc>
                <w:tcPr>
                  <w:tcW w:w="1275" w:type="dxa"/>
                  <w:vAlign w:val="center"/>
                </w:tcPr>
                <w:p w14:paraId="117C3D08">
                  <w:pPr>
                    <w:pStyle w:val="116"/>
                    <w:spacing w:line="240" w:lineRule="auto"/>
                    <w:ind w:firstLine="0" w:firstLineChars="0"/>
                    <w:jc w:val="center"/>
                    <w:rPr>
                      <w:color w:val="auto"/>
                    </w:rPr>
                  </w:pPr>
                  <w:r>
                    <w:rPr>
                      <w:rFonts w:hint="eastAsia"/>
                      <w:color w:val="auto"/>
                    </w:rPr>
                    <w:t>水厂</w:t>
                  </w:r>
                </w:p>
              </w:tc>
              <w:tc>
                <w:tcPr>
                  <w:tcW w:w="2410" w:type="dxa"/>
                  <w:vAlign w:val="center"/>
                </w:tcPr>
                <w:p w14:paraId="4414500D">
                  <w:pPr>
                    <w:pStyle w:val="116"/>
                    <w:spacing w:line="240" w:lineRule="auto"/>
                    <w:ind w:firstLine="0" w:firstLineChars="0"/>
                    <w:jc w:val="center"/>
                    <w:rPr>
                      <w:color w:val="auto"/>
                    </w:rPr>
                  </w:pPr>
                  <w:r>
                    <w:rPr>
                      <w:rFonts w:hint="eastAsia"/>
                      <w:color w:val="auto"/>
                    </w:rPr>
                    <w:t>规模</w:t>
                  </w:r>
                </w:p>
              </w:tc>
            </w:tr>
            <w:tr w14:paraId="31F4EF9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2" w:hRule="atLeast"/>
              </w:trPr>
              <w:tc>
                <w:tcPr>
                  <w:tcW w:w="743" w:type="dxa"/>
                  <w:vAlign w:val="center"/>
                </w:tcPr>
                <w:p w14:paraId="0CC60055">
                  <w:pPr>
                    <w:pStyle w:val="116"/>
                    <w:spacing w:line="240" w:lineRule="auto"/>
                    <w:ind w:firstLine="0" w:firstLineChars="0"/>
                    <w:jc w:val="center"/>
                    <w:rPr>
                      <w:color w:val="auto"/>
                    </w:rPr>
                  </w:pPr>
                  <w:r>
                    <w:rPr>
                      <w:rFonts w:hint="eastAsia"/>
                      <w:color w:val="auto"/>
                    </w:rPr>
                    <w:t>地表水</w:t>
                  </w:r>
                </w:p>
              </w:tc>
              <w:tc>
                <w:tcPr>
                  <w:tcW w:w="2410" w:type="dxa"/>
                  <w:vAlign w:val="center"/>
                </w:tcPr>
                <w:p w14:paraId="0E3F1B4F">
                  <w:pPr>
                    <w:pStyle w:val="116"/>
                    <w:spacing w:line="240" w:lineRule="auto"/>
                    <w:ind w:firstLine="0" w:firstLineChars="0"/>
                    <w:jc w:val="center"/>
                    <w:rPr>
                      <w:color w:val="auto"/>
                    </w:rPr>
                  </w:pPr>
                  <w:r>
                    <w:rPr>
                      <w:rFonts w:hint="eastAsia"/>
                      <w:color w:val="auto"/>
                    </w:rPr>
                    <w:t>引陡河水库市区供水工程地表水（分配唐山高新区水量为3700万m</w:t>
                  </w:r>
                  <w:r>
                    <w:rPr>
                      <w:rFonts w:hint="eastAsia"/>
                      <w:color w:val="auto"/>
                      <w:vertAlign w:val="superscript"/>
                    </w:rPr>
                    <w:t>3</w:t>
                  </w:r>
                  <w:r>
                    <w:rPr>
                      <w:rFonts w:hint="eastAsia"/>
                      <w:color w:val="auto"/>
                    </w:rPr>
                    <w:t>/a，折合10.14万m</w:t>
                  </w:r>
                  <w:r>
                    <w:rPr>
                      <w:rFonts w:hint="eastAsia"/>
                      <w:color w:val="auto"/>
                      <w:vertAlign w:val="superscript"/>
                    </w:rPr>
                    <w:t>3</w:t>
                  </w:r>
                  <w:r>
                    <w:rPr>
                      <w:rFonts w:hint="eastAsia"/>
                      <w:color w:val="auto"/>
                    </w:rPr>
                    <w:t>/d）</w:t>
                  </w:r>
                </w:p>
              </w:tc>
              <w:tc>
                <w:tcPr>
                  <w:tcW w:w="1275" w:type="dxa"/>
                  <w:vAlign w:val="center"/>
                </w:tcPr>
                <w:p w14:paraId="43D41C6C">
                  <w:pPr>
                    <w:pStyle w:val="116"/>
                    <w:spacing w:line="240" w:lineRule="auto"/>
                    <w:ind w:firstLine="0" w:firstLineChars="0"/>
                    <w:jc w:val="center"/>
                    <w:rPr>
                      <w:color w:val="auto"/>
                    </w:rPr>
                  </w:pPr>
                  <w:r>
                    <w:rPr>
                      <w:rFonts w:hint="eastAsia"/>
                      <w:color w:val="auto"/>
                    </w:rPr>
                    <w:t>庆南净水厂</w:t>
                  </w:r>
                </w:p>
              </w:tc>
              <w:tc>
                <w:tcPr>
                  <w:tcW w:w="2410" w:type="dxa"/>
                  <w:vAlign w:val="center"/>
                </w:tcPr>
                <w:p w14:paraId="56FB8B1E">
                  <w:pPr>
                    <w:pStyle w:val="116"/>
                    <w:spacing w:line="240" w:lineRule="auto"/>
                    <w:ind w:firstLine="0" w:firstLineChars="0"/>
                    <w:jc w:val="center"/>
                    <w:rPr>
                      <w:color w:val="auto"/>
                    </w:rPr>
                  </w:pPr>
                  <w:r>
                    <w:rPr>
                      <w:rFonts w:hint="eastAsia"/>
                      <w:color w:val="auto"/>
                    </w:rPr>
                    <w:t>输送能力30万m</w:t>
                  </w:r>
                  <w:r>
                    <w:rPr>
                      <w:rFonts w:hint="eastAsia"/>
                      <w:color w:val="auto"/>
                      <w:vertAlign w:val="superscript"/>
                    </w:rPr>
                    <w:t>3</w:t>
                  </w:r>
                  <w:r>
                    <w:rPr>
                      <w:rFonts w:hint="eastAsia"/>
                      <w:color w:val="auto"/>
                    </w:rPr>
                    <w:t>/d，现状供水量（2022年）为：工业</w:t>
                  </w:r>
                  <w:r>
                    <w:rPr>
                      <w:color w:val="auto"/>
                    </w:rPr>
                    <w:t>0.26</w:t>
                  </w:r>
                  <w:r>
                    <w:rPr>
                      <w:rFonts w:hint="eastAsia"/>
                      <w:color w:val="auto"/>
                    </w:rPr>
                    <w:t>万m</w:t>
                  </w:r>
                  <w:r>
                    <w:rPr>
                      <w:rFonts w:hint="eastAsia"/>
                      <w:color w:val="auto"/>
                      <w:vertAlign w:val="superscript"/>
                    </w:rPr>
                    <w:t>3</w:t>
                  </w:r>
                  <w:r>
                    <w:rPr>
                      <w:color w:val="auto"/>
                    </w:rPr>
                    <w:t>/d</w:t>
                  </w:r>
                  <w:r>
                    <w:rPr>
                      <w:rFonts w:hint="eastAsia"/>
                      <w:color w:val="auto"/>
                    </w:rPr>
                    <w:t>，</w:t>
                  </w:r>
                  <w:r>
                    <w:rPr>
                      <w:color w:val="auto"/>
                    </w:rPr>
                    <w:t>生活</w:t>
                  </w:r>
                  <w:r>
                    <w:rPr>
                      <w:rFonts w:hint="eastAsia"/>
                      <w:color w:val="auto"/>
                    </w:rPr>
                    <w:t>6.36万m</w:t>
                  </w:r>
                  <w:r>
                    <w:rPr>
                      <w:rFonts w:hint="eastAsia"/>
                      <w:color w:val="auto"/>
                      <w:vertAlign w:val="superscript"/>
                    </w:rPr>
                    <w:t>3</w:t>
                  </w:r>
                  <w:r>
                    <w:rPr>
                      <w:color w:val="auto"/>
                    </w:rPr>
                    <w:t>/d</w:t>
                  </w:r>
                </w:p>
              </w:tc>
            </w:tr>
            <w:tr w14:paraId="70FF895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3" w:type="dxa"/>
                  <w:vAlign w:val="center"/>
                </w:tcPr>
                <w:p w14:paraId="238B7395">
                  <w:pPr>
                    <w:pStyle w:val="116"/>
                    <w:spacing w:line="240" w:lineRule="auto"/>
                    <w:ind w:firstLine="0" w:firstLineChars="0"/>
                    <w:jc w:val="center"/>
                    <w:rPr>
                      <w:color w:val="auto"/>
                    </w:rPr>
                  </w:pPr>
                  <w:r>
                    <w:rPr>
                      <w:rFonts w:hint="eastAsia"/>
                      <w:color w:val="auto"/>
                    </w:rPr>
                    <w:t>再生水</w:t>
                  </w:r>
                </w:p>
              </w:tc>
              <w:tc>
                <w:tcPr>
                  <w:tcW w:w="2410" w:type="dxa"/>
                  <w:vAlign w:val="center"/>
                </w:tcPr>
                <w:p w14:paraId="1E99D384">
                  <w:pPr>
                    <w:pStyle w:val="116"/>
                    <w:spacing w:line="240" w:lineRule="auto"/>
                    <w:ind w:firstLine="0" w:firstLineChars="0"/>
                    <w:jc w:val="center"/>
                    <w:rPr>
                      <w:color w:val="auto"/>
                    </w:rPr>
                  </w:pPr>
                  <w:r>
                    <w:rPr>
                      <w:rFonts w:hint="eastAsia"/>
                      <w:color w:val="auto"/>
                    </w:rPr>
                    <w:t>北郊污水处理厂再生水工程供给</w:t>
                  </w:r>
                </w:p>
              </w:tc>
              <w:tc>
                <w:tcPr>
                  <w:tcW w:w="1275" w:type="dxa"/>
                  <w:vAlign w:val="center"/>
                </w:tcPr>
                <w:p w14:paraId="1684D24C">
                  <w:pPr>
                    <w:pStyle w:val="116"/>
                    <w:spacing w:line="240" w:lineRule="auto"/>
                    <w:ind w:firstLine="0" w:firstLineChars="0"/>
                    <w:jc w:val="center"/>
                    <w:rPr>
                      <w:color w:val="auto"/>
                    </w:rPr>
                  </w:pPr>
                  <w:r>
                    <w:rPr>
                      <w:rFonts w:hint="eastAsia"/>
                      <w:color w:val="auto"/>
                    </w:rPr>
                    <w:t>再生水工程</w:t>
                  </w:r>
                </w:p>
              </w:tc>
              <w:tc>
                <w:tcPr>
                  <w:tcW w:w="2410" w:type="dxa"/>
                  <w:vAlign w:val="center"/>
                </w:tcPr>
                <w:p w14:paraId="5AA5B81C">
                  <w:pPr>
                    <w:pStyle w:val="116"/>
                    <w:spacing w:line="240" w:lineRule="auto"/>
                    <w:ind w:firstLine="0" w:firstLineChars="0"/>
                    <w:jc w:val="center"/>
                    <w:rPr>
                      <w:color w:val="auto"/>
                    </w:rPr>
                  </w:pPr>
                  <w:r>
                    <w:rPr>
                      <w:rFonts w:hint="eastAsia"/>
                      <w:color w:val="auto"/>
                    </w:rPr>
                    <w:t>输送能力为：5万m</w:t>
                  </w:r>
                  <w:r>
                    <w:rPr>
                      <w:rFonts w:hint="eastAsia"/>
                      <w:color w:val="auto"/>
                      <w:vertAlign w:val="superscript"/>
                    </w:rPr>
                    <w:t>3</w:t>
                  </w:r>
                  <w:r>
                    <w:rPr>
                      <w:rFonts w:hint="eastAsia"/>
                      <w:color w:val="auto"/>
                    </w:rPr>
                    <w:t>/d，现状供水量（2022年）为：生活</w:t>
                  </w:r>
                  <w:r>
                    <w:rPr>
                      <w:color w:val="auto"/>
                    </w:rPr>
                    <w:t>0.2</w:t>
                  </w:r>
                  <w:r>
                    <w:rPr>
                      <w:rFonts w:hint="eastAsia"/>
                      <w:color w:val="auto"/>
                    </w:rPr>
                    <w:t>7万m</w:t>
                  </w:r>
                  <w:r>
                    <w:rPr>
                      <w:rFonts w:hint="eastAsia"/>
                      <w:color w:val="auto"/>
                      <w:vertAlign w:val="superscript"/>
                    </w:rPr>
                    <w:t>3</w:t>
                  </w:r>
                  <w:r>
                    <w:rPr>
                      <w:color w:val="auto"/>
                    </w:rPr>
                    <w:t>/d</w:t>
                  </w:r>
                  <w:r>
                    <w:rPr>
                      <w:rFonts w:hint="eastAsia"/>
                      <w:color w:val="auto"/>
                    </w:rPr>
                    <w:t>，</w:t>
                  </w:r>
                  <w:r>
                    <w:rPr>
                      <w:color w:val="auto"/>
                    </w:rPr>
                    <w:t>生</w:t>
                  </w:r>
                  <w:r>
                    <w:rPr>
                      <w:rFonts w:hint="eastAsia"/>
                      <w:color w:val="auto"/>
                    </w:rPr>
                    <w:t>态0.27万m</w:t>
                  </w:r>
                  <w:r>
                    <w:rPr>
                      <w:rFonts w:hint="eastAsia"/>
                      <w:color w:val="auto"/>
                      <w:vertAlign w:val="superscript"/>
                    </w:rPr>
                    <w:t>3</w:t>
                  </w:r>
                  <w:r>
                    <w:rPr>
                      <w:color w:val="auto"/>
                    </w:rPr>
                    <w:t>/d</w:t>
                  </w:r>
                </w:p>
              </w:tc>
            </w:tr>
          </w:tbl>
          <w:p w14:paraId="79683B2D">
            <w:pPr>
              <w:pStyle w:val="116"/>
              <w:ind w:firstLine="420"/>
              <w:rPr>
                <w:color w:val="auto"/>
              </w:rPr>
            </w:pPr>
            <w:r>
              <w:rPr>
                <w:rFonts w:hint="eastAsia"/>
                <w:color w:val="auto"/>
              </w:rPr>
              <w:t>本项目</w:t>
            </w:r>
            <w:r>
              <w:rPr>
                <w:rFonts w:hint="eastAsia"/>
                <w:color w:val="auto"/>
                <w:highlight w:val="none"/>
              </w:rPr>
              <w:t>生产用水主要为设备循环冷却用水，不新增劳动定员，无生活用水，企业现有工程用水</w:t>
            </w:r>
            <w:r>
              <w:rPr>
                <w:color w:val="auto"/>
              </w:rPr>
              <w:t>来自市政管网供水</w:t>
            </w:r>
            <w:r>
              <w:rPr>
                <w:rFonts w:hint="eastAsia"/>
                <w:color w:val="auto"/>
                <w:lang w:eastAsia="zh-CN"/>
              </w:rPr>
              <w:t>，</w:t>
            </w:r>
            <w:r>
              <w:rPr>
                <w:rFonts w:hint="eastAsia"/>
                <w:color w:val="auto"/>
                <w:highlight w:val="none"/>
              </w:rPr>
              <w:t>由庆南净水厂提供，</w:t>
            </w:r>
            <w:r>
              <w:rPr>
                <w:rFonts w:hint="eastAsia"/>
                <w:color w:val="auto"/>
              </w:rPr>
              <w:t>满足现状生产生活用水需求。</w:t>
            </w:r>
          </w:p>
          <w:p w14:paraId="5A3BBDB0">
            <w:pPr>
              <w:pStyle w:val="116"/>
              <w:ind w:firstLine="420"/>
              <w:rPr>
                <w:color w:val="auto"/>
              </w:rPr>
            </w:pPr>
            <w:r>
              <w:rPr>
                <w:rFonts w:hint="eastAsia"/>
                <w:color w:val="auto"/>
              </w:rPr>
              <w:t>②排水</w:t>
            </w:r>
          </w:p>
          <w:p w14:paraId="74C7B063">
            <w:pPr>
              <w:pStyle w:val="116"/>
              <w:ind w:firstLine="420"/>
              <w:rPr>
                <w:color w:val="auto"/>
              </w:rPr>
            </w:pPr>
            <w:r>
              <w:rPr>
                <w:rFonts w:hint="eastAsia"/>
                <w:color w:val="auto"/>
              </w:rPr>
              <w:t>唐山高新区排水体系为雨污分流制，污水分区收集处理排放。其中，高新区本部城镇纳入市中心城区污水收集处理体系，现状污水依托区外东北郊污水处理厂和西郊污水处理厂</w:t>
            </w:r>
            <w:r>
              <w:rPr>
                <w:color w:val="auto"/>
              </w:rPr>
              <w:t>2</w:t>
            </w:r>
            <w:r>
              <w:rPr>
                <w:rFonts w:hint="eastAsia"/>
                <w:color w:val="auto"/>
              </w:rPr>
              <w:t>座污水处理厂进行收集处理，本项目位于大庆道以南，学院北路以西，企业污水排入东北郊污水处理厂。东北郊污水处理厂是将东郊污水处理厂和北郊污水处理厂合并迁建形成的一个污水处理厂，污水处理工艺采用“格栅</w:t>
            </w:r>
            <w:r>
              <w:rPr>
                <w:color w:val="auto"/>
              </w:rPr>
              <w:t>+</w:t>
            </w:r>
            <w:r>
              <w:rPr>
                <w:rFonts w:hint="eastAsia"/>
                <w:color w:val="auto"/>
              </w:rPr>
              <w:t>曝气沉砂池</w:t>
            </w:r>
            <w:r>
              <w:rPr>
                <w:color w:val="auto"/>
              </w:rPr>
              <w:t>+</w:t>
            </w:r>
            <w:r>
              <w:rPr>
                <w:rFonts w:hint="eastAsia"/>
                <w:color w:val="auto"/>
              </w:rPr>
              <w:t>初沉池</w:t>
            </w:r>
            <w:r>
              <w:rPr>
                <w:color w:val="auto"/>
              </w:rPr>
              <w:t>+</w:t>
            </w:r>
            <w:r>
              <w:rPr>
                <w:rFonts w:hint="eastAsia"/>
                <w:color w:val="auto"/>
              </w:rPr>
              <w:t>多点进水多段</w:t>
            </w:r>
            <w:r>
              <w:rPr>
                <w:color w:val="auto"/>
              </w:rPr>
              <w:t>A2O</w:t>
            </w:r>
            <w:r>
              <w:rPr>
                <w:rFonts w:hint="eastAsia"/>
                <w:color w:val="auto"/>
              </w:rPr>
              <w:t>生反池</w:t>
            </w:r>
            <w:r>
              <w:rPr>
                <w:color w:val="auto"/>
              </w:rPr>
              <w:t>+</w:t>
            </w:r>
            <w:r>
              <w:rPr>
                <w:rFonts w:hint="eastAsia"/>
                <w:color w:val="auto"/>
              </w:rPr>
              <w:t>圆形周进周出二沉池</w:t>
            </w:r>
            <w:r>
              <w:rPr>
                <w:color w:val="auto"/>
              </w:rPr>
              <w:t>+</w:t>
            </w:r>
            <w:r>
              <w:rPr>
                <w:rFonts w:hint="eastAsia"/>
                <w:color w:val="auto"/>
              </w:rPr>
              <w:t>高效沉淀池</w:t>
            </w:r>
            <w:r>
              <w:rPr>
                <w:color w:val="auto"/>
              </w:rPr>
              <w:t>+</w:t>
            </w:r>
            <w:r>
              <w:rPr>
                <w:rFonts w:hint="eastAsia"/>
                <w:color w:val="auto"/>
              </w:rPr>
              <w:t>深床滤池</w:t>
            </w:r>
            <w:r>
              <w:rPr>
                <w:color w:val="auto"/>
              </w:rPr>
              <w:t>+</w:t>
            </w:r>
            <w:r>
              <w:rPr>
                <w:rFonts w:hint="eastAsia"/>
                <w:color w:val="auto"/>
              </w:rPr>
              <w:t>多级臭氧高级氧化”，污泥处理工艺采用“重力浓缩</w:t>
            </w:r>
            <w:r>
              <w:rPr>
                <w:color w:val="auto"/>
              </w:rPr>
              <w:t>+</w:t>
            </w:r>
            <w:r>
              <w:rPr>
                <w:rFonts w:hint="eastAsia"/>
                <w:color w:val="auto"/>
              </w:rPr>
              <w:t>板框脱水”，消毒工艺采用“次氯酸钠”消毒工艺。废水经处理达到北京市地方标准《城镇污水处理厂水污染物排放标准》（</w:t>
            </w:r>
            <w:r>
              <w:rPr>
                <w:color w:val="auto"/>
              </w:rPr>
              <w:t>DB11/890-2012</w:t>
            </w:r>
            <w:r>
              <w:rPr>
                <w:rFonts w:hint="eastAsia"/>
                <w:color w:val="auto"/>
              </w:rPr>
              <w:t>）表</w:t>
            </w:r>
            <w:r>
              <w:rPr>
                <w:color w:val="auto"/>
              </w:rPr>
              <w:t>1</w:t>
            </w:r>
            <w:r>
              <w:rPr>
                <w:rFonts w:hint="eastAsia"/>
                <w:color w:val="auto"/>
              </w:rPr>
              <w:t>中</w:t>
            </w:r>
            <w:r>
              <w:rPr>
                <w:color w:val="auto"/>
              </w:rPr>
              <w:t>B</w:t>
            </w:r>
            <w:r>
              <w:rPr>
                <w:rFonts w:hint="eastAsia"/>
                <w:color w:val="auto"/>
              </w:rPr>
              <w:t>标准，东北郊污水处理厂设计处理规模50万t/d，目前实际水量约</w:t>
            </w:r>
            <w:r>
              <w:rPr>
                <w:color w:val="auto"/>
              </w:rPr>
              <w:t>20</w:t>
            </w:r>
            <w:r>
              <w:rPr>
                <w:rFonts w:hint="eastAsia"/>
                <w:color w:val="auto"/>
              </w:rPr>
              <w:t>万t/d。</w:t>
            </w:r>
          </w:p>
          <w:p w14:paraId="40183477">
            <w:pPr>
              <w:pStyle w:val="116"/>
              <w:ind w:firstLine="420"/>
              <w:rPr>
                <w:color w:val="auto"/>
              </w:rPr>
            </w:pPr>
            <w:r>
              <w:rPr>
                <w:rFonts w:hint="eastAsia"/>
                <w:color w:val="auto"/>
              </w:rPr>
              <w:t>园区规划污水由区内京唐智慧港污水处理厂和区外迁建西郊污水处理厂、迁建东北郊污水处理厂收集处理。</w:t>
            </w:r>
            <w:r>
              <w:rPr>
                <w:color w:val="auto"/>
              </w:rPr>
              <w:t>规划近期、远期污水处理能力分别为51.026</w:t>
            </w:r>
            <w:r>
              <w:rPr>
                <w:rFonts w:hint="eastAsia"/>
                <w:color w:val="auto"/>
              </w:rPr>
              <w:t>万</w:t>
            </w:r>
            <w:r>
              <w:rPr>
                <w:color w:val="auto"/>
              </w:rPr>
              <w:t>t/d</w:t>
            </w:r>
            <w:r>
              <w:rPr>
                <w:rFonts w:hint="eastAsia"/>
                <w:color w:val="auto"/>
              </w:rPr>
              <w:t>、</w:t>
            </w:r>
            <w:r>
              <w:rPr>
                <w:color w:val="auto"/>
              </w:rPr>
              <w:t>85</w:t>
            </w:r>
            <w:r>
              <w:rPr>
                <w:rFonts w:hint="eastAsia"/>
                <w:color w:val="auto"/>
              </w:rPr>
              <w:t>万</w:t>
            </w:r>
            <w:r>
              <w:rPr>
                <w:color w:val="auto"/>
              </w:rPr>
              <w:t>t/d</w:t>
            </w:r>
            <w:r>
              <w:rPr>
                <w:rFonts w:hint="eastAsia"/>
                <w:color w:val="auto"/>
              </w:rPr>
              <w:t>。</w:t>
            </w:r>
          </w:p>
          <w:p w14:paraId="47AECC5E">
            <w:pPr>
              <w:pStyle w:val="116"/>
              <w:ind w:firstLine="420"/>
              <w:rPr>
                <w:color w:val="auto"/>
                <w:highlight w:val="none"/>
              </w:rPr>
            </w:pPr>
            <w:r>
              <w:rPr>
                <w:rFonts w:hint="eastAsia"/>
                <w:color w:val="auto"/>
                <w:highlight w:val="none"/>
              </w:rPr>
              <w:t>生产废水循环使用，</w:t>
            </w:r>
            <w:r>
              <w:rPr>
                <w:rFonts w:hint="eastAsia"/>
                <w:color w:val="auto"/>
                <w:highlight w:val="none"/>
                <w:lang w:val="en-US" w:eastAsia="zh-CN"/>
              </w:rPr>
              <w:t>不新增</w:t>
            </w:r>
            <w:r>
              <w:rPr>
                <w:rFonts w:hint="eastAsia"/>
                <w:color w:val="auto"/>
                <w:highlight w:val="none"/>
              </w:rPr>
              <w:t>生活污水，</w:t>
            </w:r>
            <w:r>
              <w:rPr>
                <w:rFonts w:hint="eastAsia"/>
                <w:color w:val="auto"/>
                <w:highlight w:val="none"/>
                <w:lang w:val="en-US" w:eastAsia="zh-CN"/>
              </w:rPr>
              <w:t>现有</w:t>
            </w:r>
            <w:r>
              <w:rPr>
                <w:rFonts w:hint="eastAsia"/>
                <w:color w:val="auto"/>
                <w:highlight w:val="none"/>
              </w:rPr>
              <w:t>生活污水经污水管网排入唐山市东北郊污水处理厂处理，满足污水处理要求。</w:t>
            </w:r>
          </w:p>
          <w:p w14:paraId="0B7CD504">
            <w:pPr>
              <w:pStyle w:val="116"/>
              <w:ind w:firstLine="420"/>
              <w:rPr>
                <w:color w:val="auto"/>
              </w:rPr>
            </w:pPr>
            <w:r>
              <w:rPr>
                <w:rFonts w:hint="eastAsia"/>
                <w:color w:val="auto"/>
              </w:rPr>
              <w:t>③供热</w:t>
            </w:r>
          </w:p>
          <w:p w14:paraId="0CAB3AEE">
            <w:pPr>
              <w:pStyle w:val="116"/>
              <w:ind w:firstLine="420"/>
              <w:rPr>
                <w:color w:val="auto"/>
              </w:rPr>
            </w:pPr>
            <w:r>
              <w:rPr>
                <w:rFonts w:hint="eastAsia"/>
                <w:color w:val="auto"/>
              </w:rPr>
              <w:t>高新区构建集中供热为主、多能源互补的清洁能源供热格局。</w:t>
            </w:r>
          </w:p>
          <w:p w14:paraId="5192BF5F">
            <w:pPr>
              <w:pStyle w:val="116"/>
              <w:ind w:firstLine="420"/>
              <w:rPr>
                <w:color w:val="auto"/>
              </w:rPr>
            </w:pPr>
            <w:r>
              <w:rPr>
                <w:rFonts w:hint="eastAsia"/>
                <w:color w:val="auto"/>
              </w:rPr>
              <w:t>规划高新区本部、老庄子镇依托中心城区</w:t>
            </w:r>
            <w:r>
              <w:rPr>
                <w:color w:val="auto"/>
              </w:rPr>
              <w:t>2</w:t>
            </w:r>
            <w:r>
              <w:rPr>
                <w:rFonts w:hint="eastAsia"/>
                <w:color w:val="auto"/>
              </w:rPr>
              <w:t>座热源，分别为北郊热电厂、大唐丰润热电厂供热。其中，高新区本部、老庄子镇南区由北郊热电厂供热，规划远期北郊热电厂进行背压式机组改造，扩容北郊热电厂，使其供热能力达到</w:t>
            </w:r>
            <w:r>
              <w:rPr>
                <w:color w:val="auto"/>
              </w:rPr>
              <w:t>1050</w:t>
            </w:r>
            <w:r>
              <w:rPr>
                <w:rFonts w:hint="eastAsia"/>
                <w:color w:val="auto"/>
              </w:rPr>
              <w:t>兆瓦。现状项目所在高新区本部依托区外陡河热电厂供热，目前已实现集中供热，部分企业供热由自备燃气锅炉解决。</w:t>
            </w:r>
            <w:r>
              <w:rPr>
                <w:color w:val="auto"/>
              </w:rPr>
              <w:t xml:space="preserve"> </w:t>
            </w:r>
          </w:p>
          <w:p w14:paraId="480526CA">
            <w:pPr>
              <w:pStyle w:val="116"/>
              <w:ind w:firstLine="420"/>
              <w:rPr>
                <w:color w:val="auto"/>
                <w:highlight w:val="none"/>
              </w:rPr>
            </w:pPr>
            <w:r>
              <w:rPr>
                <w:rFonts w:hint="eastAsia"/>
                <w:color w:val="auto"/>
                <w:highlight w:val="none"/>
              </w:rPr>
              <w:t>本项目生产用热采用</w:t>
            </w:r>
            <w:r>
              <w:rPr>
                <w:rFonts w:hint="eastAsia"/>
                <w:color w:val="auto"/>
                <w:highlight w:val="none"/>
                <w:lang w:val="en-US" w:eastAsia="zh-CN"/>
              </w:rPr>
              <w:t>燃气炉加热和</w:t>
            </w:r>
            <w:r>
              <w:rPr>
                <w:rFonts w:hint="eastAsia"/>
                <w:color w:val="auto"/>
                <w:highlight w:val="none"/>
              </w:rPr>
              <w:t>电能，</w:t>
            </w:r>
            <w:r>
              <w:rPr>
                <w:rFonts w:hint="eastAsia"/>
                <w:color w:val="auto"/>
                <w:highlight w:val="none"/>
                <w:lang w:val="en-US" w:eastAsia="zh-CN"/>
              </w:rPr>
              <w:t>办公室</w:t>
            </w:r>
            <w:r>
              <w:rPr>
                <w:rFonts w:hint="eastAsia"/>
                <w:color w:val="auto"/>
                <w:highlight w:val="none"/>
              </w:rPr>
              <w:t>采暖由高新区集中供热系统提供，满足用热需求。</w:t>
            </w:r>
          </w:p>
          <w:p w14:paraId="29BC9D66">
            <w:pPr>
              <w:pStyle w:val="116"/>
              <w:ind w:firstLine="420"/>
              <w:rPr>
                <w:color w:val="auto"/>
              </w:rPr>
            </w:pPr>
            <w:r>
              <w:rPr>
                <w:rFonts w:hint="eastAsia"/>
                <w:color w:val="auto"/>
              </w:rPr>
              <w:t>④供气</w:t>
            </w:r>
          </w:p>
          <w:p w14:paraId="023C9476">
            <w:pPr>
              <w:pStyle w:val="116"/>
              <w:ind w:firstLine="420"/>
              <w:rPr>
                <w:color w:val="auto"/>
              </w:rPr>
            </w:pPr>
            <w:r>
              <w:rPr>
                <w:rFonts w:hint="eastAsia"/>
                <w:color w:val="auto"/>
              </w:rPr>
              <w:t>目前大庆道两侧已建成</w:t>
            </w:r>
            <w:r>
              <w:rPr>
                <w:color w:val="auto"/>
              </w:rPr>
              <w:t>2</w:t>
            </w:r>
            <w:r>
              <w:rPr>
                <w:rFonts w:hint="eastAsia"/>
                <w:color w:val="auto"/>
              </w:rPr>
              <w:t>座高中压调压站，供气能力均为</w:t>
            </w:r>
            <w:r>
              <w:rPr>
                <w:color w:val="auto"/>
              </w:rPr>
              <w:t>20</w:t>
            </w:r>
            <w:r>
              <w:rPr>
                <w:rFonts w:hint="eastAsia"/>
                <w:color w:val="auto"/>
              </w:rPr>
              <w:t>万</w:t>
            </w:r>
            <w:r>
              <w:rPr>
                <w:color w:val="auto"/>
              </w:rPr>
              <w:t>m</w:t>
            </w:r>
            <w:r>
              <w:rPr>
                <w:color w:val="auto"/>
                <w:vertAlign w:val="superscript"/>
              </w:rPr>
              <w:t>3</w:t>
            </w:r>
            <w:r>
              <w:rPr>
                <w:color w:val="auto"/>
              </w:rPr>
              <w:t>/d</w:t>
            </w:r>
            <w:r>
              <w:rPr>
                <w:rFonts w:hint="eastAsia"/>
                <w:color w:val="auto"/>
              </w:rPr>
              <w:t>，能够满足现有用气需求。区内燃气管线已全覆盖，管线沿主要交通干线分布。</w:t>
            </w:r>
          </w:p>
          <w:p w14:paraId="5F141DD0">
            <w:pPr>
              <w:pStyle w:val="116"/>
              <w:ind w:firstLine="420"/>
              <w:rPr>
                <w:color w:val="auto"/>
              </w:rPr>
            </w:pPr>
            <w:r>
              <w:rPr>
                <w:rFonts w:hint="eastAsia"/>
                <w:color w:val="auto"/>
              </w:rPr>
              <w:t>高新区规划气源以中石油永唐秦管道天然气、中俄东线管道天然气、冀东油田石油伴生气为主，液化石油气为补充。规划期末，高新区由空港门站、丰润区门站现状</w:t>
            </w:r>
            <w:r>
              <w:rPr>
                <w:color w:val="auto"/>
              </w:rPr>
              <w:t>2</w:t>
            </w:r>
            <w:r>
              <w:rPr>
                <w:rFonts w:hint="eastAsia"/>
                <w:color w:val="auto"/>
              </w:rPr>
              <w:t>座场站同时供气。</w:t>
            </w:r>
          </w:p>
          <w:p w14:paraId="5C8753F2">
            <w:pPr>
              <w:pStyle w:val="116"/>
              <w:ind w:firstLine="420"/>
              <w:rPr>
                <w:color w:val="auto"/>
                <w:highlight w:val="none"/>
              </w:rPr>
            </w:pPr>
            <w:r>
              <w:rPr>
                <w:rFonts w:hint="eastAsia"/>
                <w:color w:val="auto"/>
                <w:highlight w:val="none"/>
              </w:rPr>
              <w:t>本项目用气由园区供气管网提供，满足用气需求。</w:t>
            </w:r>
          </w:p>
          <w:p w14:paraId="4793469E">
            <w:pPr>
              <w:pStyle w:val="116"/>
              <w:ind w:firstLine="420"/>
              <w:rPr>
                <w:color w:val="auto"/>
              </w:rPr>
            </w:pPr>
            <w:r>
              <w:rPr>
                <w:rFonts w:hint="eastAsia"/>
                <w:color w:val="auto"/>
              </w:rPr>
              <w:t>⑤供电</w:t>
            </w:r>
          </w:p>
          <w:p w14:paraId="216B88DE">
            <w:pPr>
              <w:pStyle w:val="116"/>
              <w:ind w:firstLine="420"/>
              <w:rPr>
                <w:color w:val="auto"/>
              </w:rPr>
            </w:pPr>
            <w:r>
              <w:rPr>
                <w:rFonts w:hint="eastAsia"/>
                <w:color w:val="auto"/>
              </w:rPr>
              <w:t>项目所在高新区本部由西北郊热电厂（300MW）供电。园区规划新增</w:t>
            </w:r>
            <w:r>
              <w:rPr>
                <w:color w:val="auto"/>
              </w:rPr>
              <w:t>1</w:t>
            </w:r>
            <w:r>
              <w:rPr>
                <w:rFonts w:hint="eastAsia"/>
                <w:color w:val="auto"/>
              </w:rPr>
              <w:t>座高新区</w:t>
            </w:r>
            <w:r>
              <w:rPr>
                <w:color w:val="auto"/>
              </w:rPr>
              <w:t>220</w:t>
            </w:r>
            <w:r>
              <w:rPr>
                <w:rFonts w:hint="eastAsia"/>
                <w:color w:val="auto"/>
              </w:rPr>
              <w:t>千伏变电站，北安道、宋各庄、京唐智慧港、老庄子等</w:t>
            </w:r>
            <w:r>
              <w:rPr>
                <w:color w:val="auto"/>
              </w:rPr>
              <w:t>4</w:t>
            </w:r>
            <w:r>
              <w:rPr>
                <w:rFonts w:hint="eastAsia"/>
                <w:color w:val="auto"/>
              </w:rPr>
              <w:t>座</w:t>
            </w:r>
            <w:r>
              <w:rPr>
                <w:color w:val="auto"/>
              </w:rPr>
              <w:t>110</w:t>
            </w:r>
            <w:r>
              <w:rPr>
                <w:rFonts w:hint="eastAsia"/>
                <w:color w:val="auto"/>
              </w:rPr>
              <w:t>千伏变电站；推动高新区、北环、龙王庙、荣华道</w:t>
            </w:r>
            <w:r>
              <w:rPr>
                <w:color w:val="auto"/>
              </w:rPr>
              <w:t>110</w:t>
            </w:r>
            <w:r>
              <w:rPr>
                <w:rFonts w:hint="eastAsia"/>
                <w:color w:val="auto"/>
              </w:rPr>
              <w:t>千伏变电站主变扩容，对现状老庄子</w:t>
            </w:r>
            <w:r>
              <w:rPr>
                <w:color w:val="auto"/>
              </w:rPr>
              <w:t>35</w:t>
            </w:r>
            <w:r>
              <w:rPr>
                <w:rFonts w:hint="eastAsia"/>
                <w:color w:val="auto"/>
              </w:rPr>
              <w:t>千伏变电站改造为</w:t>
            </w:r>
            <w:r>
              <w:rPr>
                <w:color w:val="auto"/>
              </w:rPr>
              <w:t>10</w:t>
            </w:r>
            <w:r>
              <w:rPr>
                <w:rFonts w:hint="eastAsia"/>
                <w:color w:val="auto"/>
              </w:rPr>
              <w:t>千伏开关站。优化农村配电网架构，提高线路联络率和绝缘率，提升农村供电质量。</w:t>
            </w:r>
          </w:p>
          <w:p w14:paraId="70FDE1DD">
            <w:pPr>
              <w:pStyle w:val="116"/>
              <w:ind w:firstLine="420"/>
              <w:rPr>
                <w:color w:val="auto"/>
              </w:rPr>
            </w:pPr>
            <w:r>
              <w:rPr>
                <w:rFonts w:hint="eastAsia"/>
                <w:color w:val="auto"/>
              </w:rPr>
              <w:t>本项目用电由园区供电电网提供，满足用电需求。</w:t>
            </w:r>
          </w:p>
          <w:p w14:paraId="20ABCD11">
            <w:pPr>
              <w:pStyle w:val="122"/>
              <w:rPr>
                <w:color w:val="auto"/>
                <w:kern w:val="0"/>
              </w:rPr>
            </w:pPr>
            <w:r>
              <w:rPr>
                <w:rFonts w:hint="eastAsia"/>
                <w:color w:val="auto"/>
                <w:kern w:val="0"/>
              </w:rPr>
              <w:t>2、与规划环评结论的符合性分析</w:t>
            </w:r>
          </w:p>
          <w:p w14:paraId="250A277C">
            <w:pPr>
              <w:pStyle w:val="116"/>
              <w:ind w:firstLine="420"/>
              <w:rPr>
                <w:color w:val="auto"/>
              </w:rPr>
            </w:pPr>
            <w:r>
              <w:rPr>
                <w:rFonts w:hint="eastAsia"/>
                <w:color w:val="auto"/>
                <w:highlight w:val="none"/>
              </w:rPr>
              <w:t>本项目属于</w:t>
            </w:r>
            <w:r>
              <w:rPr>
                <w:rFonts w:hint="eastAsia"/>
                <w:color w:val="auto"/>
                <w:highlight w:val="none"/>
                <w:lang w:eastAsia="zh-CN"/>
              </w:rPr>
              <w:t>锻件及粉末冶金制品制造</w:t>
            </w:r>
            <w:r>
              <w:rPr>
                <w:rFonts w:hint="eastAsia"/>
                <w:color w:val="auto"/>
                <w:highlight w:val="none"/>
              </w:rPr>
              <w:t>业，</w:t>
            </w:r>
            <w:r>
              <w:rPr>
                <w:rFonts w:hint="eastAsia"/>
                <w:color w:val="auto"/>
              </w:rPr>
              <w:t>符合规划环评结论中大气环境影响预测评价结论：“推荐规划情景二的模式进行发展，更符合大气减排要求，有助于实现区域环境质量改善的目标。”情景二为“优化调整情景。为满足环境质量改善目标，对产业规模及布局进行优化调整，全区重点发展主导产业中污染排放相对较小的机器人产业，此外高新区本部配套发展智能装备制造业和新能源新材料产业，同时考虑到高新区本部居住人口聚集，取消生物医药产业；京唐智慧港以机器人产业为主，配套发展智能装备制造业和新能源新材料产业；老庄子镇医养健康组团以智能医疗设备和健康食品产业为主，控制生物医药产业规模。”。</w:t>
            </w:r>
          </w:p>
          <w:p w14:paraId="251403DA">
            <w:pPr>
              <w:pStyle w:val="116"/>
              <w:ind w:firstLine="420"/>
              <w:rPr>
                <w:color w:val="auto"/>
              </w:rPr>
            </w:pPr>
            <w:r>
              <w:rPr>
                <w:rFonts w:hint="eastAsia"/>
                <w:color w:val="auto"/>
              </w:rPr>
              <w:t>本项目设备采用低噪声设备，设备合理布局，加装基础减震，厂界噪声满足排放标准要求，符合规划环评结论中声环境影响评价结论“</w:t>
            </w:r>
            <w:r>
              <w:rPr>
                <w:color w:val="auto"/>
              </w:rPr>
              <w:t>工业企业噪声需同时控制噪声源强和合理布局以满足厂界噪声3</w:t>
            </w:r>
            <w:r>
              <w:rPr>
                <w:rFonts w:hint="eastAsia"/>
                <w:color w:val="auto"/>
              </w:rPr>
              <w:t>类标准要求”。</w:t>
            </w:r>
          </w:p>
          <w:p w14:paraId="31226A93">
            <w:pPr>
              <w:pStyle w:val="116"/>
              <w:ind w:firstLine="420"/>
              <w:rPr>
                <w:color w:val="auto"/>
              </w:rPr>
            </w:pPr>
            <w:r>
              <w:rPr>
                <w:rFonts w:hint="eastAsia"/>
                <w:color w:val="auto"/>
              </w:rPr>
              <w:t>本项目产生的一般固体废物收集后外售综合利用，危险废物收集后，依托现有危废间暂存，</w:t>
            </w:r>
            <w:r>
              <w:rPr>
                <w:rFonts w:hint="eastAsia"/>
                <w:color w:val="auto"/>
                <w:spacing w:val="-10"/>
              </w:rPr>
              <w:t>定期交由有资质的单位处置，</w:t>
            </w:r>
            <w:r>
              <w:rPr>
                <w:rFonts w:hint="eastAsia"/>
                <w:color w:val="auto"/>
              </w:rPr>
              <w:t>危险废物的转移依法办理相关手续，并严格按照《危险废物转移管理办法》及其它有关规定，填写危险废物转移联单。本项目固体废物处置符合规划环评结论中固体废物影响评价结论“高新区的一般工业固废优先用于综合利用，能够充分体现循环经济的理念且减少对环境的污染；对于产生危险废物的每个单位，都要根据《中华人民共和国固体废物污染环境防治法》中的特别规定，按照《国家危险废物名录》对危废进行鉴别，对确认属于危险废物的废弃物，需到环境主管部门进行申报登记，落实危险固废处置协议，并按照国家有关规定填写危险废物转移联单，委托有资质的单位进行处置，并对危险废物进行全过程的管理”的要求。</w:t>
            </w:r>
          </w:p>
          <w:p w14:paraId="4A24644F">
            <w:pPr>
              <w:pStyle w:val="116"/>
              <w:ind w:firstLine="420"/>
              <w:rPr>
                <w:color w:val="auto"/>
              </w:rPr>
            </w:pPr>
            <w:r>
              <w:rPr>
                <w:rFonts w:hint="eastAsia"/>
                <w:color w:val="auto"/>
              </w:rPr>
              <w:t>综上所述，本项目符合规划环评结论的相关要求。</w:t>
            </w:r>
          </w:p>
          <w:p w14:paraId="4E6EC81A">
            <w:pPr>
              <w:pStyle w:val="122"/>
              <w:rPr>
                <w:color w:val="auto"/>
                <w:kern w:val="0"/>
              </w:rPr>
            </w:pPr>
            <w:r>
              <w:rPr>
                <w:rFonts w:hint="eastAsia"/>
                <w:color w:val="auto"/>
                <w:kern w:val="0"/>
              </w:rPr>
              <w:t>3、与规划环评审查意见的符合性分析</w:t>
            </w:r>
          </w:p>
          <w:p w14:paraId="47895EDE">
            <w:pPr>
              <w:pStyle w:val="116"/>
              <w:ind w:firstLine="420"/>
              <w:rPr>
                <w:color w:val="auto"/>
              </w:rPr>
            </w:pPr>
            <w:r>
              <w:rPr>
                <w:rFonts w:hint="eastAsia" w:cs="宋体"/>
                <w:color w:val="auto"/>
                <w:kern w:val="0"/>
              </w:rPr>
              <w:t>本项目与</w:t>
            </w:r>
            <w:r>
              <w:rPr>
                <w:rFonts w:cs="宋体"/>
                <w:color w:val="auto"/>
                <w:kern w:val="0"/>
              </w:rPr>
              <w:t>《中华人民共和国生态环境部</w:t>
            </w:r>
            <w:r>
              <w:rPr>
                <w:rFonts w:hint="eastAsia" w:cs="宋体"/>
                <w:color w:val="auto"/>
                <w:kern w:val="0"/>
              </w:rPr>
              <w:t>关于&lt;唐山高新技术产业开发区总体规划（2021-2035年）环境影响报告书&gt;的审查意见</w:t>
            </w:r>
            <w:r>
              <w:rPr>
                <w:rFonts w:cs="宋体"/>
                <w:color w:val="auto"/>
                <w:kern w:val="0"/>
              </w:rPr>
              <w:t>》（</w:t>
            </w:r>
            <w:r>
              <w:rPr>
                <w:rFonts w:hint="eastAsia"/>
                <w:color w:val="auto"/>
              </w:rPr>
              <w:t>环审〔2025〕28号</w:t>
            </w:r>
            <w:r>
              <w:rPr>
                <w:rFonts w:hint="eastAsia" w:cs="宋体"/>
                <w:color w:val="auto"/>
                <w:kern w:val="0"/>
              </w:rPr>
              <w:t>）的符合性分析，见</w:t>
            </w:r>
            <w:r>
              <w:rPr>
                <w:color w:val="auto"/>
              </w:rPr>
              <w:t>下表</w:t>
            </w:r>
            <w:r>
              <w:rPr>
                <w:rFonts w:hint="eastAsia"/>
                <w:color w:val="auto"/>
              </w:rPr>
              <w:t>。</w:t>
            </w:r>
          </w:p>
          <w:p w14:paraId="3E34F1A2">
            <w:pPr>
              <w:pStyle w:val="10"/>
              <w:rPr>
                <w:bCs/>
                <w:color w:val="auto"/>
              </w:rPr>
            </w:pPr>
            <w:r>
              <w:rPr>
                <w:rFonts w:hint="eastAsia"/>
                <w:color w:val="auto"/>
              </w:rPr>
              <w:t>表1</w:t>
            </w:r>
            <w:r>
              <w:rPr>
                <w:rFonts w:hint="eastAsia"/>
                <w:color w:val="auto"/>
                <w:lang w:eastAsia="zh-CN"/>
              </w:rPr>
              <w:t>-</w:t>
            </w:r>
            <w:r>
              <w:rPr>
                <w:color w:val="auto"/>
              </w:rPr>
              <w:fldChar w:fldCharType="begin"/>
            </w:r>
            <w:r>
              <w:rPr>
                <w:color w:val="auto"/>
              </w:rPr>
              <w:instrText xml:space="preserve"> </w:instrText>
            </w:r>
            <w:r>
              <w:rPr>
                <w:rFonts w:hint="eastAsia"/>
                <w:color w:val="auto"/>
              </w:rPr>
              <w:instrText xml:space="preserve">SEQ 表1- \* ARABIC</w:instrText>
            </w:r>
            <w:r>
              <w:rPr>
                <w:color w:val="auto"/>
              </w:rPr>
              <w:instrText xml:space="preserve"> </w:instrText>
            </w:r>
            <w:r>
              <w:rPr>
                <w:color w:val="auto"/>
              </w:rPr>
              <w:fldChar w:fldCharType="separate"/>
            </w:r>
            <w:r>
              <w:rPr>
                <w:color w:val="auto"/>
              </w:rPr>
              <w:t>2</w:t>
            </w:r>
            <w:r>
              <w:rPr>
                <w:color w:val="auto"/>
              </w:rPr>
              <w:fldChar w:fldCharType="end"/>
            </w:r>
            <w:r>
              <w:rPr>
                <w:rFonts w:hint="eastAsia"/>
                <w:bCs/>
                <w:color w:val="auto"/>
              </w:rPr>
              <w:t>与规划环评审查意见的符合性分析</w:t>
            </w:r>
          </w:p>
          <w:tbl>
            <w:tblPr>
              <w:tblStyle w:val="33"/>
              <w:tblW w:w="6838"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96"/>
              <w:gridCol w:w="3549"/>
              <w:gridCol w:w="1843"/>
              <w:gridCol w:w="850"/>
            </w:tblGrid>
            <w:tr w14:paraId="376E7D1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596" w:type="dxa"/>
                  <w:vAlign w:val="center"/>
                </w:tcPr>
                <w:p w14:paraId="16271477">
                  <w:pPr>
                    <w:pStyle w:val="116"/>
                    <w:spacing w:line="240" w:lineRule="auto"/>
                    <w:ind w:firstLine="0" w:firstLineChars="0"/>
                    <w:jc w:val="center"/>
                    <w:rPr>
                      <w:rFonts w:cs="宋体"/>
                      <w:color w:val="auto"/>
                      <w:kern w:val="0"/>
                    </w:rPr>
                  </w:pPr>
                  <w:r>
                    <w:rPr>
                      <w:rFonts w:hint="eastAsia" w:cs="宋体"/>
                      <w:color w:val="auto"/>
                      <w:kern w:val="0"/>
                    </w:rPr>
                    <w:t>序号</w:t>
                  </w:r>
                </w:p>
              </w:tc>
              <w:tc>
                <w:tcPr>
                  <w:tcW w:w="3549" w:type="dxa"/>
                  <w:vAlign w:val="center"/>
                </w:tcPr>
                <w:p w14:paraId="5C7FAD6A">
                  <w:pPr>
                    <w:widowControl/>
                    <w:spacing w:line="240" w:lineRule="auto"/>
                    <w:jc w:val="center"/>
                    <w:textAlignment w:val="center"/>
                    <w:rPr>
                      <w:color w:val="auto"/>
                      <w:szCs w:val="21"/>
                    </w:rPr>
                  </w:pPr>
                  <w:r>
                    <w:rPr>
                      <w:rFonts w:hint="eastAsia"/>
                      <w:color w:val="auto"/>
                      <w:szCs w:val="21"/>
                    </w:rPr>
                    <w:t>规划环评审查意见</w:t>
                  </w:r>
                </w:p>
              </w:tc>
              <w:tc>
                <w:tcPr>
                  <w:tcW w:w="1843" w:type="dxa"/>
                  <w:vAlign w:val="center"/>
                </w:tcPr>
                <w:p w14:paraId="5B186780">
                  <w:pPr>
                    <w:widowControl/>
                    <w:spacing w:line="240" w:lineRule="auto"/>
                    <w:jc w:val="center"/>
                    <w:textAlignment w:val="center"/>
                    <w:rPr>
                      <w:color w:val="auto"/>
                      <w:szCs w:val="21"/>
                    </w:rPr>
                  </w:pPr>
                  <w:r>
                    <w:rPr>
                      <w:color w:val="auto"/>
                      <w:szCs w:val="21"/>
                    </w:rPr>
                    <w:t>本项目情况</w:t>
                  </w:r>
                </w:p>
              </w:tc>
              <w:tc>
                <w:tcPr>
                  <w:tcW w:w="850" w:type="dxa"/>
                  <w:vAlign w:val="center"/>
                </w:tcPr>
                <w:p w14:paraId="7BB9A930">
                  <w:pPr>
                    <w:pStyle w:val="116"/>
                    <w:spacing w:line="240" w:lineRule="auto"/>
                    <w:ind w:firstLine="0" w:firstLineChars="0"/>
                    <w:jc w:val="center"/>
                    <w:rPr>
                      <w:rFonts w:cs="宋体"/>
                      <w:color w:val="auto"/>
                      <w:kern w:val="0"/>
                    </w:rPr>
                  </w:pPr>
                  <w:r>
                    <w:rPr>
                      <w:rFonts w:hint="eastAsia" w:cs="宋体"/>
                      <w:color w:val="auto"/>
                      <w:kern w:val="0"/>
                    </w:rPr>
                    <w:t>符合性</w:t>
                  </w:r>
                </w:p>
              </w:tc>
            </w:tr>
            <w:tr w14:paraId="489A8C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6" w:type="dxa"/>
                  <w:vAlign w:val="center"/>
                </w:tcPr>
                <w:p w14:paraId="34931E91">
                  <w:pPr>
                    <w:pStyle w:val="116"/>
                    <w:spacing w:line="240" w:lineRule="auto"/>
                    <w:ind w:firstLine="0" w:firstLineChars="0"/>
                    <w:jc w:val="center"/>
                    <w:rPr>
                      <w:rFonts w:cs="宋体"/>
                      <w:color w:val="auto"/>
                      <w:kern w:val="0"/>
                    </w:rPr>
                  </w:pPr>
                  <w:r>
                    <w:rPr>
                      <w:rFonts w:hint="eastAsia" w:cs="宋体"/>
                      <w:color w:val="auto"/>
                      <w:kern w:val="0"/>
                    </w:rPr>
                    <w:t>1</w:t>
                  </w:r>
                </w:p>
              </w:tc>
              <w:tc>
                <w:tcPr>
                  <w:tcW w:w="3549" w:type="dxa"/>
                  <w:vAlign w:val="center"/>
                </w:tcPr>
                <w:p w14:paraId="36588D7D">
                  <w:pPr>
                    <w:widowControl/>
                    <w:spacing w:line="240" w:lineRule="auto"/>
                    <w:textAlignment w:val="center"/>
                    <w:rPr>
                      <w:color w:val="auto"/>
                      <w:szCs w:val="21"/>
                    </w:rPr>
                  </w:pPr>
                  <w:r>
                    <w:rPr>
                      <w:rFonts w:hint="eastAsia"/>
                      <w:color w:val="auto"/>
                      <w:szCs w:val="21"/>
                    </w:rPr>
                    <w:t>坚持绿色发展和区域协同发展理念。落实京津冀协同发展战略以及国家对该区域发展和保护要求，坚持生态优先、绿色发展、高效集约，以改善生态环境质量为核心，落实生态环境分区管控，进一步优化《规划》布局和产业发展规模，做好与国土空间规划的衔接。</w:t>
                  </w:r>
                </w:p>
              </w:tc>
              <w:tc>
                <w:tcPr>
                  <w:tcW w:w="1843" w:type="dxa"/>
                  <w:vAlign w:val="center"/>
                </w:tcPr>
                <w:p w14:paraId="5BBCB081">
                  <w:pPr>
                    <w:widowControl/>
                    <w:spacing w:line="240" w:lineRule="auto"/>
                    <w:textAlignment w:val="center"/>
                    <w:rPr>
                      <w:color w:val="auto"/>
                      <w:szCs w:val="21"/>
                    </w:rPr>
                  </w:pPr>
                  <w:r>
                    <w:rPr>
                      <w:rFonts w:hint="eastAsia"/>
                      <w:color w:val="auto"/>
                      <w:szCs w:val="21"/>
                    </w:rPr>
                    <w:t>本项目属于</w:t>
                  </w:r>
                  <w:r>
                    <w:rPr>
                      <w:rFonts w:hint="eastAsia"/>
                      <w:color w:val="auto"/>
                      <w:szCs w:val="21"/>
                      <w:lang w:eastAsia="zh-CN"/>
                    </w:rPr>
                    <w:t>锻件及粉末冶金制品制造</w:t>
                  </w:r>
                  <w:r>
                    <w:rPr>
                      <w:rFonts w:hint="eastAsia"/>
                      <w:color w:val="auto"/>
                      <w:szCs w:val="21"/>
                    </w:rPr>
                    <w:t>业，占地类型为工业用地，符合园区发展规划和国土空间区划。</w:t>
                  </w:r>
                </w:p>
              </w:tc>
              <w:tc>
                <w:tcPr>
                  <w:tcW w:w="850" w:type="dxa"/>
                  <w:vAlign w:val="center"/>
                </w:tcPr>
                <w:p w14:paraId="7D9B7ECC">
                  <w:pPr>
                    <w:pStyle w:val="116"/>
                    <w:spacing w:line="240" w:lineRule="auto"/>
                    <w:ind w:firstLine="0" w:firstLineChars="0"/>
                    <w:jc w:val="center"/>
                    <w:rPr>
                      <w:rFonts w:cs="宋体"/>
                      <w:color w:val="auto"/>
                      <w:kern w:val="0"/>
                    </w:rPr>
                  </w:pPr>
                  <w:r>
                    <w:rPr>
                      <w:rFonts w:hint="eastAsia" w:cs="宋体"/>
                      <w:color w:val="auto"/>
                      <w:kern w:val="0"/>
                    </w:rPr>
                    <w:t>符合</w:t>
                  </w:r>
                </w:p>
              </w:tc>
            </w:tr>
            <w:tr w14:paraId="51A49D6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6" w:type="dxa"/>
                  <w:vAlign w:val="center"/>
                </w:tcPr>
                <w:p w14:paraId="1917764A">
                  <w:pPr>
                    <w:pStyle w:val="116"/>
                    <w:spacing w:line="240" w:lineRule="auto"/>
                    <w:ind w:firstLine="0" w:firstLineChars="0"/>
                    <w:jc w:val="center"/>
                    <w:rPr>
                      <w:rFonts w:cs="宋体"/>
                      <w:color w:val="auto"/>
                      <w:kern w:val="0"/>
                    </w:rPr>
                  </w:pPr>
                  <w:r>
                    <w:rPr>
                      <w:rFonts w:hint="eastAsia" w:cs="宋体"/>
                      <w:color w:val="auto"/>
                      <w:kern w:val="0"/>
                    </w:rPr>
                    <w:t>2</w:t>
                  </w:r>
                </w:p>
              </w:tc>
              <w:tc>
                <w:tcPr>
                  <w:tcW w:w="3549" w:type="dxa"/>
                  <w:vAlign w:val="center"/>
                </w:tcPr>
                <w:p w14:paraId="24A6EEEB">
                  <w:pPr>
                    <w:adjustRightInd w:val="0"/>
                    <w:snapToGrid w:val="0"/>
                    <w:spacing w:line="240" w:lineRule="auto"/>
                    <w:ind w:left="-84" w:leftChars="-40" w:right="-84" w:rightChars="-40"/>
                    <w:jc w:val="center"/>
                    <w:rPr>
                      <w:color w:val="auto"/>
                      <w:szCs w:val="21"/>
                    </w:rPr>
                  </w:pPr>
                  <w:r>
                    <w:rPr>
                      <w:rFonts w:hint="eastAsia"/>
                      <w:color w:val="auto"/>
                      <w:szCs w:val="21"/>
                    </w:rPr>
                    <w:t>深化减污降碳协同，推动绿色低碳发展。根据国家和地方碳达峰行动方案、应对气候变化“十四五”规划和节能减排工作要求，优化产业、能源、土地利用和交通运输等《规划》内容，提高高新区绿电消费比重、清洁能源使用比例，全面系统促进减污降碳协同增效。</w:t>
                  </w:r>
                </w:p>
              </w:tc>
              <w:tc>
                <w:tcPr>
                  <w:tcW w:w="1843" w:type="dxa"/>
                  <w:vAlign w:val="center"/>
                </w:tcPr>
                <w:p w14:paraId="03165236">
                  <w:pPr>
                    <w:widowControl/>
                    <w:spacing w:line="240" w:lineRule="auto"/>
                    <w:textAlignment w:val="center"/>
                    <w:rPr>
                      <w:color w:val="auto"/>
                      <w:szCs w:val="21"/>
                    </w:rPr>
                  </w:pPr>
                  <w:r>
                    <w:rPr>
                      <w:rFonts w:hint="eastAsia"/>
                      <w:color w:val="auto"/>
                      <w:szCs w:val="21"/>
                    </w:rPr>
                    <w:t>本项目采用节能型设备，</w:t>
                  </w:r>
                  <w:r>
                    <w:rPr>
                      <w:color w:val="auto"/>
                      <w:szCs w:val="21"/>
                    </w:rPr>
                    <w:t>本项目不涉及燃煤</w:t>
                  </w:r>
                  <w:r>
                    <w:rPr>
                      <w:rFonts w:hint="eastAsia"/>
                      <w:color w:val="auto"/>
                      <w:szCs w:val="21"/>
                    </w:rPr>
                    <w:t>，</w:t>
                  </w:r>
                  <w:r>
                    <w:rPr>
                      <w:color w:val="auto"/>
                      <w:szCs w:val="21"/>
                    </w:rPr>
                    <w:t>生产用热采用</w:t>
                  </w:r>
                  <w:r>
                    <w:rPr>
                      <w:rFonts w:hint="eastAsia"/>
                      <w:color w:val="auto"/>
                      <w:szCs w:val="21"/>
                      <w:lang w:val="en-US" w:eastAsia="zh-CN"/>
                    </w:rPr>
                    <w:t>燃气加热及</w:t>
                  </w:r>
                  <w:r>
                    <w:rPr>
                      <w:color w:val="auto"/>
                      <w:szCs w:val="21"/>
                    </w:rPr>
                    <w:t>电加热</w:t>
                  </w:r>
                  <w:r>
                    <w:rPr>
                      <w:rFonts w:hint="eastAsia"/>
                      <w:color w:val="auto"/>
                      <w:szCs w:val="21"/>
                    </w:rPr>
                    <w:t>。</w:t>
                  </w:r>
                </w:p>
              </w:tc>
              <w:tc>
                <w:tcPr>
                  <w:tcW w:w="850" w:type="dxa"/>
                  <w:vAlign w:val="center"/>
                </w:tcPr>
                <w:p w14:paraId="45501CB4">
                  <w:pPr>
                    <w:pStyle w:val="116"/>
                    <w:spacing w:line="240" w:lineRule="auto"/>
                    <w:ind w:firstLine="0" w:firstLineChars="0"/>
                    <w:jc w:val="center"/>
                    <w:rPr>
                      <w:rFonts w:cs="宋体"/>
                      <w:color w:val="auto"/>
                      <w:kern w:val="0"/>
                    </w:rPr>
                  </w:pPr>
                  <w:r>
                    <w:rPr>
                      <w:rFonts w:hint="eastAsia" w:cs="宋体"/>
                      <w:color w:val="auto"/>
                      <w:kern w:val="0"/>
                    </w:rPr>
                    <w:t>符合</w:t>
                  </w:r>
                </w:p>
              </w:tc>
            </w:tr>
            <w:tr w14:paraId="2FC30F1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6" w:type="dxa"/>
                  <w:vAlign w:val="center"/>
                </w:tcPr>
                <w:p w14:paraId="199D38E4">
                  <w:pPr>
                    <w:pStyle w:val="116"/>
                    <w:spacing w:line="240" w:lineRule="auto"/>
                    <w:ind w:firstLine="0" w:firstLineChars="0"/>
                    <w:jc w:val="center"/>
                    <w:rPr>
                      <w:rFonts w:cs="宋体"/>
                      <w:color w:val="auto"/>
                      <w:kern w:val="0"/>
                    </w:rPr>
                  </w:pPr>
                  <w:r>
                    <w:rPr>
                      <w:rFonts w:hint="eastAsia" w:cs="宋体"/>
                      <w:color w:val="auto"/>
                      <w:kern w:val="0"/>
                    </w:rPr>
                    <w:t>3</w:t>
                  </w:r>
                </w:p>
              </w:tc>
              <w:tc>
                <w:tcPr>
                  <w:tcW w:w="3549" w:type="dxa"/>
                  <w:vAlign w:val="center"/>
                </w:tcPr>
                <w:p w14:paraId="4BE50176">
                  <w:pPr>
                    <w:adjustRightInd w:val="0"/>
                    <w:snapToGrid w:val="0"/>
                    <w:spacing w:line="240" w:lineRule="auto"/>
                    <w:ind w:left="-84" w:leftChars="-40" w:right="-84" w:rightChars="-40"/>
                    <w:jc w:val="center"/>
                    <w:rPr>
                      <w:color w:val="auto"/>
                      <w:szCs w:val="21"/>
                    </w:rPr>
                  </w:pPr>
                  <w:r>
                    <w:rPr>
                      <w:rFonts w:hint="eastAsia"/>
                      <w:color w:val="auto"/>
                      <w:szCs w:val="21"/>
                    </w:rPr>
                    <w:t>严格空间管控，优化功能布局。进一步优化高新区各片区产业布局，本部科创组团重点发展与机器人相关的研发、孵化、创意、无污染生产等科创产业；医养健康组团重点发展智能医疗设备制造和健康食品产业。落实《报告书》提出的空间布局引导和管控要求，优化工业、居住等各类用地的空间和产业布局，强化企业异味及噪声污染防控，严格涉风险源企业管理，确保人居环境安全。</w:t>
                  </w:r>
                </w:p>
              </w:tc>
              <w:tc>
                <w:tcPr>
                  <w:tcW w:w="1843" w:type="dxa"/>
                  <w:vAlign w:val="center"/>
                </w:tcPr>
                <w:p w14:paraId="6248D6B8">
                  <w:pPr>
                    <w:widowControl/>
                    <w:spacing w:line="240" w:lineRule="auto"/>
                    <w:textAlignment w:val="center"/>
                    <w:rPr>
                      <w:color w:val="auto"/>
                      <w:szCs w:val="21"/>
                    </w:rPr>
                  </w:pPr>
                  <w:r>
                    <w:rPr>
                      <w:rFonts w:hint="eastAsia"/>
                      <w:color w:val="auto"/>
                      <w:szCs w:val="21"/>
                    </w:rPr>
                    <w:t>本项目属于</w:t>
                  </w:r>
                  <w:r>
                    <w:rPr>
                      <w:rFonts w:hint="eastAsia"/>
                      <w:color w:val="auto"/>
                      <w:szCs w:val="21"/>
                      <w:lang w:eastAsia="zh-CN"/>
                    </w:rPr>
                    <w:t>锻件及粉末冶金制品制造</w:t>
                  </w:r>
                  <w:r>
                    <w:rPr>
                      <w:rFonts w:hint="eastAsia"/>
                      <w:color w:val="auto"/>
                      <w:szCs w:val="21"/>
                    </w:rPr>
                    <w:t>业，符合园区产业布局。项目产生的污染物均采取了合理的污染防治措施。</w:t>
                  </w:r>
                </w:p>
              </w:tc>
              <w:tc>
                <w:tcPr>
                  <w:tcW w:w="850" w:type="dxa"/>
                  <w:vAlign w:val="center"/>
                </w:tcPr>
                <w:p w14:paraId="10FAC201">
                  <w:pPr>
                    <w:pStyle w:val="116"/>
                    <w:spacing w:line="240" w:lineRule="auto"/>
                    <w:ind w:firstLine="0" w:firstLineChars="0"/>
                    <w:jc w:val="center"/>
                    <w:rPr>
                      <w:rFonts w:cs="宋体"/>
                      <w:color w:val="auto"/>
                      <w:kern w:val="0"/>
                    </w:rPr>
                  </w:pPr>
                  <w:r>
                    <w:rPr>
                      <w:rFonts w:hint="eastAsia" w:cs="宋体"/>
                      <w:color w:val="auto"/>
                      <w:kern w:val="0"/>
                    </w:rPr>
                    <w:t>符合</w:t>
                  </w:r>
                </w:p>
              </w:tc>
            </w:tr>
            <w:tr w14:paraId="0ABEAE5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6" w:type="dxa"/>
                  <w:vAlign w:val="center"/>
                </w:tcPr>
                <w:p w14:paraId="5D9F95E9">
                  <w:pPr>
                    <w:pStyle w:val="116"/>
                    <w:spacing w:line="240" w:lineRule="auto"/>
                    <w:ind w:firstLine="0" w:firstLineChars="0"/>
                    <w:jc w:val="center"/>
                    <w:rPr>
                      <w:rFonts w:cs="宋体"/>
                      <w:color w:val="auto"/>
                      <w:kern w:val="0"/>
                    </w:rPr>
                  </w:pPr>
                  <w:r>
                    <w:rPr>
                      <w:rFonts w:hint="eastAsia" w:cs="宋体"/>
                      <w:color w:val="auto"/>
                      <w:kern w:val="0"/>
                    </w:rPr>
                    <w:t>4</w:t>
                  </w:r>
                </w:p>
              </w:tc>
              <w:tc>
                <w:tcPr>
                  <w:tcW w:w="3549" w:type="dxa"/>
                  <w:vAlign w:val="center"/>
                </w:tcPr>
                <w:p w14:paraId="69A97295">
                  <w:pPr>
                    <w:adjustRightInd w:val="0"/>
                    <w:snapToGrid w:val="0"/>
                    <w:spacing w:line="240" w:lineRule="auto"/>
                    <w:ind w:left="-84" w:leftChars="-40" w:right="-84" w:rightChars="-40"/>
                    <w:jc w:val="center"/>
                    <w:rPr>
                      <w:color w:val="auto"/>
                      <w:szCs w:val="21"/>
                    </w:rPr>
                  </w:pPr>
                  <w:r>
                    <w:rPr>
                      <w:rFonts w:hint="eastAsia"/>
                      <w:color w:val="auto"/>
                      <w:szCs w:val="21"/>
                    </w:rPr>
                    <w:t>严守环境质量底线，强化污染物排放管控。根据国家和河北省大气、水、土壤污染防治及河北省、唐山市生态环境分区管控方案要求，完善并落实《报告书》提出的大气、水环境污染物削减方案。</w:t>
                  </w:r>
                </w:p>
              </w:tc>
              <w:tc>
                <w:tcPr>
                  <w:tcW w:w="1843" w:type="dxa"/>
                  <w:vAlign w:val="center"/>
                </w:tcPr>
                <w:p w14:paraId="70993B6D">
                  <w:pPr>
                    <w:widowControl/>
                    <w:spacing w:line="240" w:lineRule="auto"/>
                    <w:textAlignment w:val="center"/>
                    <w:rPr>
                      <w:color w:val="auto"/>
                      <w:szCs w:val="21"/>
                    </w:rPr>
                  </w:pPr>
                  <w:r>
                    <w:rPr>
                      <w:rFonts w:hint="eastAsia"/>
                      <w:color w:val="auto"/>
                      <w:szCs w:val="21"/>
                    </w:rPr>
                    <w:t>本项目</w:t>
                  </w:r>
                  <w:r>
                    <w:rPr>
                      <w:rFonts w:hint="eastAsia"/>
                      <w:color w:val="auto"/>
                      <w:szCs w:val="21"/>
                      <w:lang w:eastAsia="zh-CN"/>
                    </w:rPr>
                    <w:t>无废水外排</w:t>
                  </w:r>
                  <w:r>
                    <w:rPr>
                      <w:rFonts w:hint="eastAsia"/>
                      <w:color w:val="auto"/>
                      <w:szCs w:val="21"/>
                    </w:rPr>
                    <w:t>，项目产生的废气、固体废物均采取了合理的污染防治措施，不会对周围环境产生明显不利影响。</w:t>
                  </w:r>
                </w:p>
              </w:tc>
              <w:tc>
                <w:tcPr>
                  <w:tcW w:w="850" w:type="dxa"/>
                  <w:vAlign w:val="center"/>
                </w:tcPr>
                <w:p w14:paraId="4507EC73">
                  <w:pPr>
                    <w:pStyle w:val="116"/>
                    <w:spacing w:line="240" w:lineRule="auto"/>
                    <w:ind w:firstLine="0" w:firstLineChars="0"/>
                    <w:jc w:val="center"/>
                    <w:rPr>
                      <w:rFonts w:cs="宋体"/>
                      <w:color w:val="auto"/>
                      <w:kern w:val="0"/>
                    </w:rPr>
                  </w:pPr>
                  <w:r>
                    <w:rPr>
                      <w:rFonts w:hint="eastAsia" w:cs="宋体"/>
                      <w:color w:val="auto"/>
                      <w:kern w:val="0"/>
                    </w:rPr>
                    <w:t>符合</w:t>
                  </w:r>
                </w:p>
              </w:tc>
            </w:tr>
            <w:tr w14:paraId="04C07B7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6" w:type="dxa"/>
                  <w:vAlign w:val="center"/>
                </w:tcPr>
                <w:p w14:paraId="72A48BE2">
                  <w:pPr>
                    <w:pStyle w:val="116"/>
                    <w:spacing w:line="240" w:lineRule="auto"/>
                    <w:ind w:firstLine="0" w:firstLineChars="0"/>
                    <w:jc w:val="center"/>
                    <w:rPr>
                      <w:rFonts w:cs="宋体"/>
                      <w:color w:val="auto"/>
                      <w:kern w:val="0"/>
                    </w:rPr>
                  </w:pPr>
                  <w:r>
                    <w:rPr>
                      <w:rFonts w:hint="eastAsia" w:cs="宋体"/>
                      <w:color w:val="auto"/>
                      <w:kern w:val="0"/>
                    </w:rPr>
                    <w:t>5</w:t>
                  </w:r>
                </w:p>
              </w:tc>
              <w:tc>
                <w:tcPr>
                  <w:tcW w:w="3549" w:type="dxa"/>
                  <w:vAlign w:val="center"/>
                </w:tcPr>
                <w:p w14:paraId="40B3C21C">
                  <w:pPr>
                    <w:adjustRightInd w:val="0"/>
                    <w:snapToGrid w:val="0"/>
                    <w:spacing w:line="240" w:lineRule="auto"/>
                    <w:ind w:left="-84" w:leftChars="-40" w:right="-84" w:rightChars="-40"/>
                    <w:jc w:val="center"/>
                    <w:rPr>
                      <w:color w:val="auto"/>
                      <w:szCs w:val="21"/>
                    </w:rPr>
                  </w:pPr>
                  <w:r>
                    <w:rPr>
                      <w:rFonts w:hint="eastAsia"/>
                      <w:color w:val="auto"/>
                      <w:szCs w:val="21"/>
                    </w:rPr>
                    <w:t>严格入区建设项目生态环境准入。严格落实《报告书》提出的生态环境准入要求，强化区内企业污染物排放控制，大幅提高水资源节约集约利用水平、清洁生产水平和污染治理水平，严格落实排污许可制度和废水、废气等污染物排放控制要求，依法依规落实区域取用地下水管理规定。入区项目的生产工艺和设备、资源能源利用效率、污染治理等均需达到同行业国际先进水平。</w:t>
                  </w:r>
                </w:p>
              </w:tc>
              <w:tc>
                <w:tcPr>
                  <w:tcW w:w="1843" w:type="dxa"/>
                  <w:vAlign w:val="center"/>
                </w:tcPr>
                <w:p w14:paraId="4C3151D0">
                  <w:pPr>
                    <w:widowControl/>
                    <w:spacing w:line="240" w:lineRule="auto"/>
                    <w:textAlignment w:val="center"/>
                    <w:rPr>
                      <w:color w:val="auto"/>
                      <w:szCs w:val="21"/>
                    </w:rPr>
                  </w:pPr>
                  <w:r>
                    <w:rPr>
                      <w:rFonts w:hint="eastAsia"/>
                      <w:color w:val="auto"/>
                      <w:szCs w:val="21"/>
                    </w:rPr>
                    <w:t>本项目</w:t>
                  </w:r>
                  <w:r>
                    <w:rPr>
                      <w:rFonts w:hint="eastAsia"/>
                      <w:color w:val="auto"/>
                      <w:highlight w:val="none"/>
                    </w:rPr>
                    <w:t>生产废水循环使用，</w:t>
                  </w:r>
                  <w:r>
                    <w:rPr>
                      <w:rFonts w:hint="eastAsia"/>
                      <w:color w:val="auto"/>
                      <w:highlight w:val="none"/>
                      <w:lang w:val="en-US" w:eastAsia="zh-CN"/>
                    </w:rPr>
                    <w:t>不新增</w:t>
                  </w:r>
                  <w:r>
                    <w:rPr>
                      <w:rFonts w:hint="eastAsia"/>
                      <w:color w:val="auto"/>
                      <w:highlight w:val="none"/>
                    </w:rPr>
                    <w:t>生活污水</w:t>
                  </w:r>
                  <w:r>
                    <w:rPr>
                      <w:rFonts w:hint="eastAsia"/>
                      <w:color w:val="auto"/>
                      <w:szCs w:val="21"/>
                      <w:highlight w:val="none"/>
                    </w:rPr>
                    <w:t>，</w:t>
                  </w:r>
                  <w:r>
                    <w:rPr>
                      <w:rFonts w:hint="eastAsia"/>
                      <w:color w:val="auto"/>
                      <w:szCs w:val="21"/>
                    </w:rPr>
                    <w:t>本项目采用先进的生产设备，项目产生的废气污染物经治理后可达标排放，项目严格落实排污许可制度。</w:t>
                  </w:r>
                </w:p>
              </w:tc>
              <w:tc>
                <w:tcPr>
                  <w:tcW w:w="850" w:type="dxa"/>
                  <w:vAlign w:val="center"/>
                </w:tcPr>
                <w:p w14:paraId="6382C107">
                  <w:pPr>
                    <w:pStyle w:val="116"/>
                    <w:spacing w:line="240" w:lineRule="auto"/>
                    <w:ind w:firstLine="0" w:firstLineChars="0"/>
                    <w:jc w:val="center"/>
                    <w:rPr>
                      <w:rFonts w:cs="宋体"/>
                      <w:color w:val="auto"/>
                      <w:kern w:val="0"/>
                    </w:rPr>
                  </w:pPr>
                  <w:r>
                    <w:rPr>
                      <w:rFonts w:hint="eastAsia" w:cs="宋体"/>
                      <w:color w:val="auto"/>
                      <w:kern w:val="0"/>
                    </w:rPr>
                    <w:t>符合</w:t>
                  </w:r>
                </w:p>
              </w:tc>
            </w:tr>
            <w:tr w14:paraId="4FB2D4F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6" w:type="dxa"/>
                  <w:vAlign w:val="center"/>
                </w:tcPr>
                <w:p w14:paraId="4B6C5DE8">
                  <w:pPr>
                    <w:pStyle w:val="116"/>
                    <w:spacing w:line="240" w:lineRule="auto"/>
                    <w:ind w:firstLine="0" w:firstLineChars="0"/>
                    <w:jc w:val="center"/>
                    <w:rPr>
                      <w:rFonts w:cs="宋体"/>
                      <w:color w:val="auto"/>
                      <w:kern w:val="0"/>
                    </w:rPr>
                  </w:pPr>
                  <w:r>
                    <w:rPr>
                      <w:rFonts w:hint="eastAsia" w:cs="宋体"/>
                      <w:color w:val="auto"/>
                      <w:kern w:val="0"/>
                    </w:rPr>
                    <w:t>6</w:t>
                  </w:r>
                </w:p>
              </w:tc>
              <w:tc>
                <w:tcPr>
                  <w:tcW w:w="3549" w:type="dxa"/>
                  <w:vAlign w:val="center"/>
                </w:tcPr>
                <w:p w14:paraId="78169D3E">
                  <w:pPr>
                    <w:adjustRightInd w:val="0"/>
                    <w:snapToGrid w:val="0"/>
                    <w:spacing w:line="240" w:lineRule="auto"/>
                    <w:ind w:left="-84" w:leftChars="-40" w:right="-84" w:rightChars="-40"/>
                    <w:jc w:val="center"/>
                    <w:rPr>
                      <w:color w:val="auto"/>
                      <w:szCs w:val="21"/>
                    </w:rPr>
                  </w:pPr>
                  <w:r>
                    <w:rPr>
                      <w:rFonts w:hint="eastAsia"/>
                      <w:color w:val="auto"/>
                      <w:szCs w:val="21"/>
                    </w:rPr>
                    <w:t>健全环境监测体系，强化环境风险防范。结合高新区功能分区、产业布局、重点企业分布、污染物排放、环境保护目标分布等，建立环境空气、地下水、土壤等环境要素监测体系，实施长期跟踪监测。园区内企业应按照排污许可证要求依法开展自行监测，如实公开污染物排放信息。完善高新区环境风险防控体系建设，确保事故废水妥善收集处理。健全区域环境风险联防联控机制和突发环境事件应急预案，定期开展环境应急演练，提升环境风险防控和应急响应能力，保障区域环境安全。</w:t>
                  </w:r>
                </w:p>
              </w:tc>
              <w:tc>
                <w:tcPr>
                  <w:tcW w:w="1843" w:type="dxa"/>
                  <w:vAlign w:val="center"/>
                </w:tcPr>
                <w:p w14:paraId="7A05B386">
                  <w:pPr>
                    <w:widowControl/>
                    <w:spacing w:line="240" w:lineRule="auto"/>
                    <w:textAlignment w:val="center"/>
                    <w:rPr>
                      <w:color w:val="auto"/>
                      <w:szCs w:val="21"/>
                    </w:rPr>
                  </w:pPr>
                  <w:r>
                    <w:rPr>
                      <w:rFonts w:hint="eastAsia"/>
                      <w:color w:val="auto"/>
                      <w:szCs w:val="21"/>
                    </w:rPr>
                    <w:t>本项目按照相关要求制定了废气监测计划，企业按要求制定了突发环境事件应急预案并备案。</w:t>
                  </w:r>
                </w:p>
              </w:tc>
              <w:tc>
                <w:tcPr>
                  <w:tcW w:w="850" w:type="dxa"/>
                  <w:vAlign w:val="center"/>
                </w:tcPr>
                <w:p w14:paraId="3C9A7571">
                  <w:pPr>
                    <w:pStyle w:val="116"/>
                    <w:spacing w:line="240" w:lineRule="auto"/>
                    <w:ind w:firstLine="0" w:firstLineChars="0"/>
                    <w:jc w:val="center"/>
                    <w:rPr>
                      <w:rFonts w:cs="宋体"/>
                      <w:color w:val="auto"/>
                      <w:kern w:val="0"/>
                    </w:rPr>
                  </w:pPr>
                  <w:r>
                    <w:rPr>
                      <w:rFonts w:hint="eastAsia" w:cs="宋体"/>
                      <w:color w:val="auto"/>
                      <w:kern w:val="0"/>
                    </w:rPr>
                    <w:t>符合</w:t>
                  </w:r>
                </w:p>
              </w:tc>
            </w:tr>
          </w:tbl>
          <w:p w14:paraId="6EF1251E">
            <w:pPr>
              <w:pStyle w:val="126"/>
              <w:rPr>
                <w:color w:val="auto"/>
              </w:rPr>
            </w:pPr>
            <w:r>
              <w:rPr>
                <w:rFonts w:hint="eastAsia"/>
                <w:color w:val="auto"/>
              </w:rPr>
              <w:t>综上所述，本项目符合规划环评审查意见的要求。</w:t>
            </w:r>
          </w:p>
        </w:tc>
      </w:tr>
      <w:tr w14:paraId="7ADCF9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714" w:type="dxa"/>
            <w:vAlign w:val="center"/>
          </w:tcPr>
          <w:p w14:paraId="2A225613">
            <w:pPr>
              <w:autoSpaceDE w:val="0"/>
              <w:autoSpaceDN w:val="0"/>
              <w:adjustRightInd w:val="0"/>
              <w:snapToGrid w:val="0"/>
              <w:jc w:val="center"/>
              <w:rPr>
                <w:rFonts w:cs="宋体"/>
                <w:color w:val="auto"/>
                <w:kern w:val="0"/>
                <w:szCs w:val="21"/>
              </w:rPr>
            </w:pPr>
            <w:r>
              <w:rPr>
                <w:rFonts w:hint="eastAsia" w:hAnsi="宋体" w:cs="宋体"/>
                <w:color w:val="auto"/>
                <w:kern w:val="0"/>
                <w:szCs w:val="21"/>
              </w:rPr>
              <w:t>其他符合性分析</w:t>
            </w:r>
          </w:p>
        </w:tc>
        <w:tc>
          <w:tcPr>
            <w:tcW w:w="7156" w:type="dxa"/>
            <w:gridSpan w:val="3"/>
            <w:vAlign w:val="center"/>
          </w:tcPr>
          <w:p w14:paraId="5B8D0382">
            <w:pPr>
              <w:pStyle w:val="122"/>
              <w:rPr>
                <w:rFonts w:cs="宋体"/>
                <w:color w:val="auto"/>
              </w:rPr>
            </w:pPr>
            <w:r>
              <w:rPr>
                <w:rFonts w:hint="eastAsia" w:cs="宋体"/>
                <w:color w:val="auto"/>
              </w:rPr>
              <w:t>1、产业政策符合性分析</w:t>
            </w:r>
          </w:p>
          <w:p w14:paraId="5171F015">
            <w:pPr>
              <w:pStyle w:val="116"/>
              <w:spacing w:line="400" w:lineRule="exact"/>
              <w:ind w:firstLine="420"/>
              <w:rPr>
                <w:rFonts w:hint="eastAsia" w:cs="宋体"/>
                <w:color w:val="auto"/>
                <w:kern w:val="0"/>
              </w:rPr>
            </w:pPr>
            <w:r>
              <w:rPr>
                <w:rFonts w:hint="eastAsia" w:cs="宋体"/>
                <w:color w:val="auto"/>
                <w:kern w:val="0"/>
              </w:rPr>
              <w:t>本项目属于《产业结构调整指导目录（2024年本）》中“鼓励类——十四、机械——11、关键铸件、锻件：高精度、高压、大流量液压铸件，汽车、能源装备、轨道交通装备、航空航天、军工、海洋工程装备领域用高性能关键铸件、锻件”。本项目31.5MN自由锻液压机，为3000吨级设备，不属于《产业结构调整指导目录（2024年本）》中“限制类——十一、机械——45．万吨级以上自由锻造液压机项目”，符合国家政策。</w:t>
            </w:r>
          </w:p>
          <w:p w14:paraId="7D89F41D">
            <w:pPr>
              <w:pStyle w:val="116"/>
              <w:spacing w:line="400" w:lineRule="exact"/>
              <w:ind w:firstLine="420"/>
              <w:rPr>
                <w:rFonts w:cs="宋体"/>
                <w:color w:val="auto"/>
              </w:rPr>
            </w:pPr>
            <w:r>
              <w:rPr>
                <w:rFonts w:hint="eastAsia" w:cs="宋体"/>
                <w:color w:val="auto"/>
                <w:kern w:val="0"/>
              </w:rPr>
              <w:t>本项目不属于《市场准入负面清单（2025年版）》中禁止准入类项目</w:t>
            </w:r>
            <w:r>
              <w:rPr>
                <w:rFonts w:hint="eastAsia" w:cs="宋体"/>
                <w:color w:val="auto"/>
              </w:rPr>
              <w:t>。</w:t>
            </w:r>
          </w:p>
          <w:p w14:paraId="18245F1D">
            <w:pPr>
              <w:pStyle w:val="116"/>
              <w:spacing w:line="400" w:lineRule="exact"/>
              <w:ind w:firstLine="420"/>
              <w:rPr>
                <w:rFonts w:cs="宋体"/>
                <w:color w:val="auto"/>
              </w:rPr>
            </w:pPr>
            <w:r>
              <w:rPr>
                <w:rFonts w:hint="eastAsia" w:cs="宋体"/>
                <w:color w:val="auto"/>
              </w:rPr>
              <w:t>本项目已取得</w:t>
            </w:r>
            <w:r>
              <w:rPr>
                <w:rFonts w:hint="eastAsia"/>
                <w:color w:val="auto"/>
              </w:rPr>
              <w:t>唐山高新技术产业开发区行政审批局</w:t>
            </w:r>
            <w:r>
              <w:rPr>
                <w:rFonts w:hint="eastAsia" w:cs="宋体"/>
                <w:color w:val="auto"/>
              </w:rPr>
              <w:t>出具的备案信息，备案编号为：</w:t>
            </w:r>
            <w:r>
              <w:rPr>
                <w:rFonts w:hint="eastAsia"/>
                <w:color w:val="auto"/>
                <w:lang w:eastAsia="zh-CN"/>
              </w:rPr>
              <w:t>唐高备字[2025]185号</w:t>
            </w:r>
            <w:r>
              <w:rPr>
                <w:rFonts w:hint="eastAsia" w:cs="宋体"/>
                <w:color w:val="auto"/>
              </w:rPr>
              <w:t>，符合</w:t>
            </w:r>
            <w:r>
              <w:rPr>
                <w:rFonts w:hint="eastAsia"/>
                <w:color w:val="auto"/>
              </w:rPr>
              <w:t>唐山高新技术产业开发区</w:t>
            </w:r>
            <w:r>
              <w:rPr>
                <w:rFonts w:hint="eastAsia" w:cs="宋体"/>
                <w:color w:val="auto"/>
              </w:rPr>
              <w:t>产业政策要求。</w:t>
            </w:r>
          </w:p>
          <w:p w14:paraId="15CAFCC8">
            <w:pPr>
              <w:pStyle w:val="116"/>
              <w:spacing w:line="400" w:lineRule="exact"/>
              <w:ind w:firstLine="420"/>
              <w:rPr>
                <w:rFonts w:cs="宋体"/>
                <w:color w:val="auto"/>
              </w:rPr>
            </w:pPr>
            <w:r>
              <w:rPr>
                <w:rFonts w:hint="eastAsia" w:cs="宋体"/>
                <w:color w:val="auto"/>
              </w:rPr>
              <w:t>综上所述，本项目符合国家和地方产业政策要求。</w:t>
            </w:r>
          </w:p>
          <w:p w14:paraId="2866ADEC">
            <w:pPr>
              <w:pStyle w:val="122"/>
              <w:rPr>
                <w:rFonts w:cs="宋体"/>
                <w:color w:val="auto"/>
              </w:rPr>
            </w:pPr>
            <w:r>
              <w:rPr>
                <w:rFonts w:hint="eastAsia" w:cs="宋体"/>
                <w:color w:val="auto"/>
              </w:rPr>
              <w:t>2、厂址选择合理性分析</w:t>
            </w:r>
          </w:p>
          <w:p w14:paraId="3AFED8A7">
            <w:pPr>
              <w:pStyle w:val="106"/>
              <w:ind w:firstLine="420"/>
              <w:rPr>
                <w:color w:val="auto"/>
                <w:kern w:val="2"/>
                <w:sz w:val="21"/>
                <w:szCs w:val="21"/>
              </w:rPr>
            </w:pPr>
            <w:r>
              <w:rPr>
                <w:color w:val="auto"/>
                <w:kern w:val="2"/>
                <w:sz w:val="21"/>
                <w:szCs w:val="21"/>
              </w:rPr>
              <w:t>本项目位于</w:t>
            </w:r>
            <w:r>
              <w:rPr>
                <w:rFonts w:hint="eastAsia"/>
                <w:color w:val="auto"/>
                <w:kern w:val="2"/>
                <w:sz w:val="21"/>
                <w:szCs w:val="21"/>
              </w:rPr>
              <w:t>唐山市高新区学院北路1700号，中冶重工（唐山）有限公司</w:t>
            </w:r>
            <w:r>
              <w:rPr>
                <w:color w:val="auto"/>
                <w:kern w:val="2"/>
                <w:sz w:val="21"/>
                <w:szCs w:val="21"/>
              </w:rPr>
              <w:t>院内，项目所在地中心坐标为：经度118°</w:t>
            </w:r>
            <w:r>
              <w:rPr>
                <w:rFonts w:hint="eastAsia"/>
                <w:color w:val="auto"/>
                <w:kern w:val="2"/>
                <w:sz w:val="21"/>
                <w:szCs w:val="21"/>
              </w:rPr>
              <w:t>8</w:t>
            </w:r>
            <w:r>
              <w:rPr>
                <w:color w:val="auto"/>
                <w:kern w:val="2"/>
                <w:sz w:val="21"/>
                <w:szCs w:val="21"/>
              </w:rPr>
              <w:t>′</w:t>
            </w:r>
            <w:r>
              <w:rPr>
                <w:rFonts w:hint="eastAsia"/>
                <w:color w:val="auto"/>
                <w:kern w:val="2"/>
                <w:sz w:val="21"/>
                <w:szCs w:val="21"/>
              </w:rPr>
              <w:t>57.088</w:t>
            </w:r>
            <w:r>
              <w:rPr>
                <w:color w:val="auto"/>
                <w:kern w:val="2"/>
                <w:sz w:val="21"/>
                <w:szCs w:val="21"/>
              </w:rPr>
              <w:t>″、纬度39°</w:t>
            </w:r>
            <w:r>
              <w:rPr>
                <w:rFonts w:hint="eastAsia"/>
                <w:color w:val="auto"/>
                <w:kern w:val="2"/>
                <w:sz w:val="21"/>
                <w:szCs w:val="21"/>
              </w:rPr>
              <w:t>41</w:t>
            </w:r>
            <w:r>
              <w:rPr>
                <w:color w:val="auto"/>
                <w:kern w:val="2"/>
                <w:sz w:val="21"/>
                <w:szCs w:val="21"/>
              </w:rPr>
              <w:t>′</w:t>
            </w:r>
            <w:r>
              <w:rPr>
                <w:rFonts w:hint="eastAsia"/>
                <w:color w:val="auto"/>
                <w:kern w:val="2"/>
                <w:sz w:val="21"/>
                <w:szCs w:val="21"/>
              </w:rPr>
              <w:t>33.192</w:t>
            </w:r>
            <w:r>
              <w:rPr>
                <w:color w:val="auto"/>
                <w:kern w:val="2"/>
                <w:sz w:val="21"/>
                <w:szCs w:val="21"/>
              </w:rPr>
              <w:t>″</w:t>
            </w:r>
            <w:r>
              <w:rPr>
                <w:rFonts w:hint="eastAsia"/>
                <w:color w:val="auto"/>
                <w:kern w:val="2"/>
                <w:sz w:val="21"/>
                <w:szCs w:val="21"/>
              </w:rPr>
              <w:t>。项目地理位置见附图1，本项目厂区东侧为学院北路，</w:t>
            </w:r>
            <w:r>
              <w:rPr>
                <w:rFonts w:hint="eastAsia"/>
                <w:color w:val="auto"/>
                <w:kern w:val="2"/>
                <w:sz w:val="21"/>
                <w:szCs w:val="21"/>
                <w:lang w:val="en-US" w:eastAsia="zh-CN"/>
              </w:rPr>
              <w:t>隔路为唐山智能产业园，</w:t>
            </w:r>
            <w:r>
              <w:rPr>
                <w:rFonts w:hint="eastAsia"/>
                <w:color w:val="auto"/>
                <w:kern w:val="2"/>
                <w:sz w:val="21"/>
                <w:szCs w:val="21"/>
              </w:rPr>
              <w:t>南侧为空地及在建通信枢纽企业，西侧为其他企业废弃房屋，北侧为大庆西道，</w:t>
            </w:r>
            <w:r>
              <w:rPr>
                <w:rFonts w:hint="eastAsia"/>
                <w:color w:val="auto"/>
                <w:kern w:val="2"/>
                <w:sz w:val="21"/>
                <w:szCs w:val="21"/>
                <w:lang w:val="en-US" w:eastAsia="zh-CN"/>
              </w:rPr>
              <w:t>隔路为</w:t>
            </w:r>
            <w:r>
              <w:rPr>
                <w:rFonts w:hint="eastAsia"/>
                <w:color w:val="auto"/>
                <w:kern w:val="2"/>
                <w:sz w:val="21"/>
                <w:szCs w:val="21"/>
              </w:rPr>
              <w:t>唐山仁爱手外科医院</w:t>
            </w:r>
            <w:r>
              <w:rPr>
                <w:rFonts w:hint="eastAsia"/>
                <w:color w:val="auto"/>
                <w:kern w:val="2"/>
                <w:sz w:val="21"/>
                <w:szCs w:val="21"/>
                <w:lang w:val="en-US" w:eastAsia="zh-CN"/>
              </w:rPr>
              <w:t>，</w:t>
            </w:r>
            <w:r>
              <w:rPr>
                <w:rFonts w:hint="eastAsia"/>
                <w:color w:val="auto"/>
                <w:kern w:val="2"/>
                <w:sz w:val="21"/>
                <w:szCs w:val="21"/>
              </w:rPr>
              <w:t>厂区西北侧、大庆西道南侧分布有小型商贸、汽修等商业门店，距项目最近的敏感目标为大庆西道北侧的唐山仁爱手外科医院，其距本项目厂区最近距离为100m，项目周边关系见附图2。</w:t>
            </w:r>
          </w:p>
          <w:p w14:paraId="5867F14C">
            <w:pPr>
              <w:pStyle w:val="116"/>
              <w:ind w:firstLine="420"/>
              <w:rPr>
                <w:rFonts w:cs="宋体"/>
                <w:color w:val="auto"/>
              </w:rPr>
            </w:pPr>
            <w:r>
              <w:rPr>
                <w:rFonts w:hint="eastAsia" w:cs="宋体"/>
                <w:color w:val="auto"/>
                <w:kern w:val="0"/>
              </w:rPr>
              <w:t>本项目利用厂区空地进行项目建设，根据</w:t>
            </w:r>
            <w:r>
              <w:rPr>
                <w:rFonts w:hint="eastAsia"/>
                <w:color w:val="auto"/>
              </w:rPr>
              <w:t>唐山市自然资源和规划局出具的不动产权证书，本项目占地土地类型为工业用地。</w:t>
            </w:r>
          </w:p>
          <w:p w14:paraId="4D8B0986">
            <w:pPr>
              <w:pStyle w:val="116"/>
              <w:ind w:firstLine="420"/>
              <w:rPr>
                <w:rFonts w:cs="宋体"/>
                <w:color w:val="auto"/>
                <w:kern w:val="0"/>
              </w:rPr>
            </w:pPr>
            <w:r>
              <w:rPr>
                <w:rFonts w:hint="eastAsia" w:cs="宋体"/>
                <w:color w:val="auto"/>
                <w:kern w:val="0"/>
              </w:rPr>
              <w:t>本项目不在集中式饮用水水源保护区内，</w:t>
            </w:r>
            <w:r>
              <w:rPr>
                <w:rFonts w:hint="eastAsia"/>
                <w:color w:val="auto"/>
              </w:rPr>
              <w:t>距最近的陡河水源保护区的距离为13.4km，</w:t>
            </w:r>
            <w:r>
              <w:rPr>
                <w:rFonts w:hint="eastAsia" w:cs="宋体"/>
                <w:color w:val="auto"/>
                <w:kern w:val="0"/>
              </w:rPr>
              <w:t>不在河北省生态保护红线区范围内，项目厂址周围无自然保护区、风景名胜区和其它特别需要保护的敏感目标。</w:t>
            </w:r>
          </w:p>
          <w:p w14:paraId="265649B5">
            <w:pPr>
              <w:pStyle w:val="116"/>
              <w:ind w:firstLine="420"/>
              <w:rPr>
                <w:rFonts w:cs="宋体"/>
                <w:color w:val="auto"/>
                <w:kern w:val="0"/>
              </w:rPr>
            </w:pPr>
            <w:r>
              <w:rPr>
                <w:rFonts w:hint="eastAsia" w:cs="宋体"/>
                <w:color w:val="auto"/>
                <w:kern w:val="0"/>
              </w:rPr>
              <w:t>本项目运营期各工序污染源采取相应的污染防治措施后，污染物均可实现达标排放，不会对区域环境产生明显影响。</w:t>
            </w:r>
          </w:p>
          <w:p w14:paraId="638E7323">
            <w:pPr>
              <w:pStyle w:val="116"/>
              <w:ind w:firstLine="420"/>
              <w:rPr>
                <w:rFonts w:cs="宋体"/>
                <w:color w:val="auto"/>
                <w:kern w:val="0"/>
              </w:rPr>
            </w:pPr>
            <w:r>
              <w:rPr>
                <w:rFonts w:hint="eastAsia" w:cs="宋体"/>
                <w:color w:val="auto"/>
                <w:kern w:val="0"/>
              </w:rPr>
              <w:t>综上所述，本评价从环保角度考查，选址可行。</w:t>
            </w:r>
          </w:p>
          <w:p w14:paraId="379DC8FE">
            <w:pPr>
              <w:pStyle w:val="122"/>
              <w:rPr>
                <w:color w:val="auto"/>
              </w:rPr>
            </w:pPr>
            <w:r>
              <w:rPr>
                <w:rFonts w:hint="eastAsia"/>
                <w:color w:val="auto"/>
              </w:rPr>
              <w:t>3</w:t>
            </w:r>
            <w:r>
              <w:rPr>
                <w:color w:val="auto"/>
              </w:rPr>
              <w:t>、三线一单符合性分析</w:t>
            </w:r>
          </w:p>
          <w:p w14:paraId="4FC541D7">
            <w:pPr>
              <w:pStyle w:val="119"/>
              <w:rPr>
                <w:color w:val="auto"/>
                <w:kern w:val="0"/>
              </w:rPr>
            </w:pPr>
            <w:r>
              <w:rPr>
                <w:rFonts w:hint="eastAsia"/>
                <w:color w:val="auto"/>
                <w:kern w:val="0"/>
              </w:rPr>
              <w:t>（1）项目与“三线一单”总体符合性分析</w:t>
            </w:r>
          </w:p>
          <w:p w14:paraId="3212263F">
            <w:pPr>
              <w:pStyle w:val="116"/>
              <w:ind w:firstLine="420"/>
              <w:rPr>
                <w:color w:val="auto"/>
                <w:kern w:val="0"/>
              </w:rPr>
            </w:pPr>
            <w:r>
              <w:rPr>
                <w:rFonts w:hint="eastAsia"/>
                <w:color w:val="auto"/>
                <w:kern w:val="0"/>
              </w:rPr>
              <w:t>①生态保护红线符合性分析</w:t>
            </w:r>
          </w:p>
          <w:p w14:paraId="15E6E96C">
            <w:pPr>
              <w:pStyle w:val="116"/>
              <w:ind w:firstLine="420"/>
              <w:rPr>
                <w:rFonts w:hint="eastAsia" w:cs="宋体"/>
                <w:color w:val="auto"/>
                <w:kern w:val="0"/>
              </w:rPr>
            </w:pPr>
            <w:r>
              <w:rPr>
                <w:rFonts w:hint="eastAsia" w:cs="宋体"/>
                <w:color w:val="auto"/>
                <w:kern w:val="0"/>
              </w:rPr>
              <w:t>根据《河北省生态保护红线》(冀政字〔2018〕23号)、《唐山市生态保护红线划定方案》，唐山市生态保护红线总面积为1383.02km</w:t>
            </w:r>
            <w:r>
              <w:rPr>
                <w:rFonts w:hint="eastAsia" w:cs="宋体"/>
                <w:color w:val="auto"/>
                <w:kern w:val="0"/>
                <w:vertAlign w:val="superscript"/>
              </w:rPr>
              <w:t>2</w:t>
            </w:r>
            <w:r>
              <w:rPr>
                <w:rFonts w:hint="eastAsia" w:cs="宋体"/>
                <w:color w:val="auto"/>
                <w:kern w:val="0"/>
              </w:rPr>
              <w:t>（剔除重叠面积）。红线区分布在开平区、丰南区、丰润区、滦县、滦南县、乐亭县、玉田县、遵化市、迁西县、迁安市、曹妃甸区，包括重点生态功能区（主要为水源涵养、土壤保持、洪水调蓄和生物多样性保护区）、生态敏感脆弱区（主要为河湖滨岸带）和禁止开发区（自然保护区、饮用水水源保护区、森林公园、湿地公园、地质公园、水产种质资源保护区、风景名胜区）。本项目位于</w:t>
            </w:r>
            <w:r>
              <w:rPr>
                <w:rFonts w:hint="eastAsia" w:cs="宋体"/>
                <w:color w:val="auto"/>
              </w:rPr>
              <w:t>唐山市</w:t>
            </w:r>
            <w:r>
              <w:rPr>
                <w:rFonts w:hint="eastAsia"/>
                <w:color w:val="auto"/>
              </w:rPr>
              <w:t>路北区</w:t>
            </w:r>
            <w:r>
              <w:rPr>
                <w:rFonts w:hint="eastAsia" w:cs="宋体"/>
                <w:color w:val="auto"/>
                <w:kern w:val="0"/>
              </w:rPr>
              <w:t>，距本项目最近的生态保护红线区为项目东北侧的</w:t>
            </w:r>
            <w:r>
              <w:rPr>
                <w:rFonts w:hint="eastAsia" w:cs="宋体"/>
                <w:color w:val="auto"/>
              </w:rPr>
              <w:t>河湖</w:t>
            </w:r>
            <w:r>
              <w:rPr>
                <w:rFonts w:cs="宋体"/>
                <w:color w:val="auto"/>
              </w:rPr>
              <w:t>滨岸带生态保护红线</w:t>
            </w:r>
            <w:r>
              <w:rPr>
                <w:rFonts w:hint="eastAsia" w:cs="宋体"/>
                <w:color w:val="auto"/>
              </w:rPr>
              <w:t>（陡河水源保护区）</w:t>
            </w:r>
            <w:r>
              <w:rPr>
                <w:rFonts w:hint="eastAsia" w:cs="宋体"/>
                <w:color w:val="auto"/>
                <w:kern w:val="0"/>
              </w:rPr>
              <w:t>，本项目距该生态保护红线最近处为13.4km，见</w:t>
            </w:r>
            <w:r>
              <w:rPr>
                <w:color w:val="auto"/>
              </w:rPr>
              <w:fldChar w:fldCharType="begin"/>
            </w:r>
            <w:r>
              <w:rPr>
                <w:color w:val="auto"/>
              </w:rPr>
              <w:instrText xml:space="preserve"> REF _Ref133396624 \h  \* MERGEFORMAT </w:instrText>
            </w:r>
            <w:r>
              <w:rPr>
                <w:color w:val="auto"/>
              </w:rPr>
              <w:fldChar w:fldCharType="separate"/>
            </w:r>
            <w:r>
              <w:rPr>
                <w:rFonts w:hint="eastAsia"/>
                <w:color w:val="auto"/>
              </w:rPr>
              <w:t>图1</w:t>
            </w:r>
            <w:r>
              <w:rPr>
                <w:rFonts w:hint="eastAsia"/>
                <w:color w:val="auto"/>
                <w:lang w:eastAsia="zh-CN"/>
              </w:rPr>
              <w:t>-</w:t>
            </w:r>
            <w:r>
              <w:rPr>
                <w:color w:val="auto"/>
              </w:rPr>
              <w:t>1</w:t>
            </w:r>
            <w:r>
              <w:rPr>
                <w:color w:val="auto"/>
              </w:rPr>
              <w:fldChar w:fldCharType="end"/>
            </w:r>
            <w:r>
              <w:rPr>
                <w:rFonts w:hint="eastAsia" w:cs="宋体"/>
                <w:color w:val="auto"/>
                <w:kern w:val="0"/>
              </w:rPr>
              <w:t>。</w:t>
            </w:r>
          </w:p>
          <w:p w14:paraId="5E90DBF9">
            <w:pPr>
              <w:pStyle w:val="116"/>
              <w:keepNext/>
              <w:ind w:firstLine="0" w:firstLineChars="0"/>
              <w:jc w:val="center"/>
              <w:rPr>
                <w:color w:val="auto"/>
              </w:rPr>
            </w:pPr>
            <w:r>
              <w:rPr>
                <w:color w:val="auto"/>
              </w:rPr>
              <w:drawing>
                <wp:inline distT="0" distB="0" distL="0" distR="0">
                  <wp:extent cx="4209415" cy="2743200"/>
                  <wp:effectExtent l="19050" t="19050" r="19685" b="19050"/>
                  <wp:docPr id="1" name="图片 1" descr="与生态保护红线的关系  处理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与生态保护红线的关系  处理后 "/>
                          <pic:cNvPicPr>
                            <a:picLocks noChangeAspect="1" noChangeArrowheads="1"/>
                          </pic:cNvPicPr>
                        </pic:nvPicPr>
                        <pic:blipFill>
                          <a:blip r:embed="rId8" cstate="print"/>
                          <a:srcRect/>
                          <a:stretch>
                            <a:fillRect/>
                          </a:stretch>
                        </pic:blipFill>
                        <pic:spPr>
                          <a:xfrm>
                            <a:off x="0" y="0"/>
                            <a:ext cx="4209415" cy="2743200"/>
                          </a:xfrm>
                          <a:prstGeom prst="rect">
                            <a:avLst/>
                          </a:prstGeom>
                          <a:noFill/>
                          <a:ln w="6350" cmpd="sng">
                            <a:solidFill>
                              <a:srgbClr val="000000"/>
                            </a:solidFill>
                            <a:miter lim="800000"/>
                            <a:headEnd/>
                            <a:tailEnd/>
                          </a:ln>
                          <a:effectLst/>
                        </pic:spPr>
                      </pic:pic>
                    </a:graphicData>
                  </a:graphic>
                </wp:inline>
              </w:drawing>
            </w:r>
          </w:p>
          <w:p w14:paraId="722945A1">
            <w:pPr>
              <w:pStyle w:val="10"/>
              <w:rPr>
                <w:color w:val="auto"/>
              </w:rPr>
            </w:pPr>
            <w:bookmarkStart w:id="3" w:name="_Ref133396624"/>
            <w:r>
              <w:rPr>
                <w:rFonts w:hint="eastAsia"/>
                <w:color w:val="auto"/>
              </w:rPr>
              <w:t>图1</w:t>
            </w:r>
            <w:r>
              <w:rPr>
                <w:rFonts w:hint="eastAsia"/>
                <w:color w:val="auto"/>
                <w:lang w:eastAsia="zh-CN"/>
              </w:rPr>
              <w:t>-</w:t>
            </w:r>
            <w:r>
              <w:rPr>
                <w:color w:val="auto"/>
              </w:rPr>
              <w:fldChar w:fldCharType="begin"/>
            </w:r>
            <w:r>
              <w:rPr>
                <w:color w:val="auto"/>
              </w:rPr>
              <w:instrText xml:space="preserve"> </w:instrText>
            </w:r>
            <w:r>
              <w:rPr>
                <w:rFonts w:hint="eastAsia"/>
                <w:color w:val="auto"/>
              </w:rPr>
              <w:instrText xml:space="preserve">SEQ 图1- \* ARABIC</w:instrText>
            </w:r>
            <w:r>
              <w:rPr>
                <w:color w:val="auto"/>
              </w:rPr>
              <w:instrText xml:space="preserve"> </w:instrText>
            </w:r>
            <w:r>
              <w:rPr>
                <w:color w:val="auto"/>
              </w:rPr>
              <w:fldChar w:fldCharType="separate"/>
            </w:r>
            <w:r>
              <w:rPr>
                <w:color w:val="auto"/>
              </w:rPr>
              <w:t>1</w:t>
            </w:r>
            <w:r>
              <w:rPr>
                <w:color w:val="auto"/>
              </w:rPr>
              <w:fldChar w:fldCharType="end"/>
            </w:r>
            <w:bookmarkEnd w:id="3"/>
            <w:r>
              <w:rPr>
                <w:rFonts w:hint="eastAsia"/>
                <w:color w:val="auto"/>
              </w:rPr>
              <w:t xml:space="preserve"> 本项目与附近生态保护红线位置关系示意图</w:t>
            </w:r>
          </w:p>
          <w:p w14:paraId="34281412">
            <w:pPr>
              <w:pStyle w:val="116"/>
              <w:spacing w:beforeLines="50"/>
              <w:ind w:firstLine="420"/>
              <w:rPr>
                <w:rFonts w:cs="宋体"/>
                <w:color w:val="auto"/>
                <w:kern w:val="0"/>
              </w:rPr>
            </w:pPr>
            <w:r>
              <w:rPr>
                <w:rFonts w:hint="eastAsia" w:cs="宋体"/>
                <w:color w:val="auto"/>
                <w:kern w:val="0"/>
              </w:rPr>
              <w:t>本项目不在自然保护区、风景名胜区、森林公园、湿地公园、地质公园、水产种质资源保护区、自然文化遗产、湿地空间等重要生态功能区、生态敏感区和脆弱区以及其他要求禁止建设的环境敏感区内。</w:t>
            </w:r>
          </w:p>
          <w:p w14:paraId="0B375004">
            <w:pPr>
              <w:pStyle w:val="116"/>
              <w:ind w:firstLine="420"/>
              <w:rPr>
                <w:rFonts w:cs="宋体"/>
                <w:color w:val="auto"/>
                <w:kern w:val="0"/>
              </w:rPr>
            </w:pPr>
            <w:r>
              <w:rPr>
                <w:rFonts w:hint="eastAsia" w:cs="宋体"/>
                <w:color w:val="auto"/>
                <w:kern w:val="0"/>
              </w:rPr>
              <w:t xml:space="preserve">因此，本项目不在生态保护红线范围内，项目符合生态保护红线要求。 </w:t>
            </w:r>
          </w:p>
          <w:p w14:paraId="7694361D">
            <w:pPr>
              <w:pStyle w:val="116"/>
              <w:ind w:firstLine="420"/>
              <w:rPr>
                <w:color w:val="auto"/>
                <w:kern w:val="0"/>
              </w:rPr>
            </w:pPr>
            <w:r>
              <w:rPr>
                <w:rFonts w:hint="eastAsia"/>
                <w:color w:val="auto"/>
                <w:kern w:val="0"/>
              </w:rPr>
              <w:t>②环境质量底线符合性分析</w:t>
            </w:r>
          </w:p>
          <w:p w14:paraId="1536F340">
            <w:pPr>
              <w:pStyle w:val="116"/>
              <w:ind w:firstLine="420"/>
              <w:rPr>
                <w:rFonts w:cs="宋体"/>
                <w:color w:val="auto"/>
                <w:kern w:val="0"/>
              </w:rPr>
            </w:pPr>
            <w:r>
              <w:rPr>
                <w:rFonts w:hint="eastAsia" w:cs="宋体"/>
                <w:color w:val="auto"/>
                <w:kern w:val="0"/>
              </w:rPr>
              <w:t>环境质量底线是国家和地方设置的大气、水和土壤环境质量目标，也是改善环境质量的基准线。项目所在区域的环境质量底线分别为：大气环境质量执行《环境空气质量标准》（</w:t>
            </w:r>
            <w:r>
              <w:rPr>
                <w:rFonts w:hint="eastAsia" w:cs="宋体"/>
                <w:color w:val="auto"/>
                <w:kern w:val="0"/>
                <w:lang w:eastAsia="zh-CN"/>
              </w:rPr>
              <w:t>GB3095-2026</w:t>
            </w:r>
            <w:r>
              <w:rPr>
                <w:rFonts w:hint="eastAsia" w:cs="宋体"/>
                <w:color w:val="auto"/>
                <w:kern w:val="0"/>
              </w:rPr>
              <w:t>）中过渡阶段二级标准的要求，地下水环境质量执行《地下水质量标准》（GB/T14848-2017）中</w:t>
            </w:r>
            <w:r>
              <w:rPr>
                <w:color w:val="auto"/>
                <w:kern w:val="0"/>
              </w:rPr>
              <w:t>Ⅲ</w:t>
            </w:r>
            <w:r>
              <w:rPr>
                <w:rFonts w:hint="eastAsia" w:cs="宋体"/>
                <w:color w:val="auto"/>
                <w:kern w:val="0"/>
              </w:rPr>
              <w:t>类标准要求，声环境质量执行《声环境质量标准》（GB3096-2008）3类、4类区标准要求，土壤环境质量执行《土壤环境质量 建设用地土壤污染风险管控标准（试行）》（GB36600-2018）、《建设用地土壤污染风险筛选值》（DB13/T5216-2022）中第二类用地筛选值标准要求。</w:t>
            </w:r>
          </w:p>
          <w:p w14:paraId="79B65223">
            <w:pPr>
              <w:pStyle w:val="116"/>
              <w:ind w:firstLine="420"/>
              <w:rPr>
                <w:rFonts w:cs="宋体"/>
                <w:color w:val="auto"/>
                <w:kern w:val="0"/>
              </w:rPr>
            </w:pPr>
            <w:r>
              <w:rPr>
                <w:rFonts w:hint="eastAsia" w:cs="宋体"/>
                <w:color w:val="auto"/>
                <w:kern w:val="0"/>
              </w:rPr>
              <w:t>a）大气环境：根据《2024年</w:t>
            </w:r>
            <w:r>
              <w:rPr>
                <w:rFonts w:hint="eastAsia" w:ascii="宋体" w:cs="宋体"/>
                <w:color w:val="auto"/>
                <w:kern w:val="0"/>
              </w:rPr>
              <w:t>唐山市生态环境状况</w:t>
            </w:r>
            <w:r>
              <w:rPr>
                <w:rFonts w:hint="eastAsia" w:cs="宋体"/>
                <w:color w:val="auto"/>
                <w:kern w:val="0"/>
              </w:rPr>
              <w:t>公报》可知，项目所在区域内SO</w:t>
            </w:r>
            <w:r>
              <w:rPr>
                <w:rFonts w:hint="eastAsia" w:cs="宋体"/>
                <w:color w:val="auto"/>
                <w:kern w:val="0"/>
                <w:vertAlign w:val="subscript"/>
              </w:rPr>
              <w:t>2</w:t>
            </w:r>
            <w:r>
              <w:rPr>
                <w:rFonts w:hint="eastAsia" w:cs="宋体"/>
                <w:color w:val="auto"/>
                <w:kern w:val="0"/>
              </w:rPr>
              <w:t>、NO</w:t>
            </w:r>
            <w:r>
              <w:rPr>
                <w:rFonts w:hint="eastAsia" w:cs="宋体"/>
                <w:color w:val="auto"/>
                <w:kern w:val="0"/>
                <w:vertAlign w:val="subscript"/>
              </w:rPr>
              <w:t>2</w:t>
            </w:r>
            <w:r>
              <w:rPr>
                <w:rFonts w:hint="eastAsia" w:cs="宋体"/>
                <w:color w:val="auto"/>
                <w:kern w:val="0"/>
              </w:rPr>
              <w:t>、CO、PM</w:t>
            </w:r>
            <w:r>
              <w:rPr>
                <w:rFonts w:hint="eastAsia" w:cs="宋体"/>
                <w:color w:val="auto"/>
                <w:kern w:val="0"/>
                <w:vertAlign w:val="subscript"/>
              </w:rPr>
              <w:t>2.5</w:t>
            </w:r>
            <w:r>
              <w:rPr>
                <w:rFonts w:hint="eastAsia" w:cs="宋体"/>
                <w:color w:val="auto"/>
                <w:kern w:val="0"/>
              </w:rPr>
              <w:t>、PM</w:t>
            </w:r>
            <w:r>
              <w:rPr>
                <w:rFonts w:hint="eastAsia" w:cs="宋体"/>
                <w:color w:val="auto"/>
                <w:kern w:val="0"/>
                <w:vertAlign w:val="subscript"/>
              </w:rPr>
              <w:t>10</w:t>
            </w:r>
            <w:r>
              <w:rPr>
                <w:rFonts w:hint="eastAsia" w:cs="宋体"/>
                <w:color w:val="auto"/>
                <w:kern w:val="0"/>
              </w:rPr>
              <w:t>达到《环境空气质量标准》（GB3095-</w:t>
            </w:r>
            <w:r>
              <w:rPr>
                <w:rFonts w:hint="eastAsia" w:cs="宋体"/>
                <w:color w:val="auto"/>
                <w:kern w:val="0"/>
                <w:lang w:eastAsia="zh-CN"/>
              </w:rPr>
              <w:t>2026</w:t>
            </w:r>
            <w:r>
              <w:rPr>
                <w:rFonts w:hint="eastAsia" w:cs="宋体"/>
                <w:color w:val="auto"/>
                <w:kern w:val="0"/>
              </w:rPr>
              <w:t>）中过渡阶段二级标准的要求，O</w:t>
            </w:r>
            <w:r>
              <w:rPr>
                <w:rFonts w:hint="eastAsia" w:cs="宋体"/>
                <w:color w:val="auto"/>
                <w:kern w:val="0"/>
                <w:vertAlign w:val="subscript"/>
              </w:rPr>
              <w:t>3</w:t>
            </w:r>
            <w:r>
              <w:rPr>
                <w:rFonts w:hint="eastAsia" w:cs="宋体"/>
                <w:color w:val="auto"/>
                <w:kern w:val="0"/>
              </w:rPr>
              <w:t>超过《环境空气质量标准》（GB3095-</w:t>
            </w:r>
            <w:r>
              <w:rPr>
                <w:rFonts w:hint="eastAsia" w:cs="宋体"/>
                <w:color w:val="auto"/>
                <w:kern w:val="0"/>
                <w:lang w:eastAsia="zh-CN"/>
              </w:rPr>
              <w:t>2026</w:t>
            </w:r>
            <w:r>
              <w:rPr>
                <w:rFonts w:hint="eastAsia" w:cs="宋体"/>
                <w:color w:val="auto"/>
                <w:kern w:val="0"/>
              </w:rPr>
              <w:t>）中过渡阶段二级标准的要求。唐山市狠抓大气污染防治，大气环境恶化态势得到了有效的遏制，环境空气质量正在逐渐改善。</w:t>
            </w:r>
          </w:p>
          <w:p w14:paraId="133F2198">
            <w:pPr>
              <w:pStyle w:val="116"/>
              <w:ind w:firstLine="420"/>
              <w:rPr>
                <w:rFonts w:cs="宋体"/>
                <w:color w:val="auto"/>
                <w:kern w:val="0"/>
              </w:rPr>
            </w:pPr>
            <w:r>
              <w:rPr>
                <w:rFonts w:hint="eastAsia" w:cs="宋体"/>
                <w:color w:val="auto"/>
                <w:kern w:val="0"/>
              </w:rPr>
              <w:t>本项目生产过程产生的废气污染物主要为颗粒物</w:t>
            </w:r>
            <w:r>
              <w:rPr>
                <w:rFonts w:hint="eastAsia" w:cs="宋体"/>
                <w:color w:val="auto"/>
                <w:kern w:val="0"/>
                <w:lang w:eastAsia="zh-CN"/>
              </w:rPr>
              <w:t>、</w:t>
            </w:r>
            <w:r>
              <w:rPr>
                <w:rFonts w:hint="eastAsia" w:cs="宋体"/>
                <w:color w:val="auto"/>
                <w:kern w:val="0"/>
              </w:rPr>
              <w:t>SO</w:t>
            </w:r>
            <w:r>
              <w:rPr>
                <w:rFonts w:hint="eastAsia" w:cs="宋体"/>
                <w:color w:val="auto"/>
                <w:kern w:val="0"/>
                <w:vertAlign w:val="subscript"/>
              </w:rPr>
              <w:t>2</w:t>
            </w:r>
            <w:r>
              <w:rPr>
                <w:rFonts w:hint="eastAsia" w:cs="宋体"/>
                <w:color w:val="auto"/>
                <w:kern w:val="0"/>
              </w:rPr>
              <w:t>、NO</w:t>
            </w:r>
            <w:r>
              <w:rPr>
                <w:rFonts w:hint="eastAsia" w:cs="宋体"/>
                <w:color w:val="auto"/>
                <w:kern w:val="0"/>
                <w:vertAlign w:val="subscript"/>
                <w:lang w:val="en-US" w:eastAsia="zh-CN"/>
              </w:rPr>
              <w:t>x</w:t>
            </w:r>
            <w:r>
              <w:rPr>
                <w:rFonts w:hint="eastAsia" w:cs="宋体"/>
                <w:color w:val="auto"/>
                <w:kern w:val="0"/>
              </w:rPr>
              <w:t>，在采取相应治理措施的前提下，可稳定达标排放，项目对大气环境质量造成的影响可以接受，不会对大气环境产生明显的影响。</w:t>
            </w:r>
          </w:p>
          <w:p w14:paraId="4A50B144">
            <w:pPr>
              <w:pStyle w:val="116"/>
              <w:ind w:firstLine="420"/>
              <w:rPr>
                <w:rFonts w:cs="宋体"/>
                <w:color w:val="auto"/>
                <w:kern w:val="0"/>
              </w:rPr>
            </w:pPr>
            <w:r>
              <w:rPr>
                <w:rFonts w:hint="eastAsia" w:cs="宋体"/>
                <w:color w:val="auto"/>
                <w:kern w:val="0"/>
              </w:rPr>
              <w:t>b）水环境：</w:t>
            </w:r>
            <w:r>
              <w:rPr>
                <w:rFonts w:hint="eastAsia" w:cs="宋体"/>
                <w:color w:val="auto"/>
                <w:kern w:val="0"/>
                <w:highlight w:val="none"/>
              </w:rPr>
              <w:t>项目</w:t>
            </w:r>
            <w:r>
              <w:rPr>
                <w:rFonts w:hint="eastAsia"/>
                <w:color w:val="auto"/>
                <w:highlight w:val="none"/>
              </w:rPr>
              <w:t>生产用水主要为设备循环冷却用水</w:t>
            </w:r>
            <w:r>
              <w:rPr>
                <w:rFonts w:hint="eastAsia" w:cs="宋体"/>
                <w:color w:val="auto"/>
                <w:kern w:val="0"/>
              </w:rPr>
              <w:t>，</w:t>
            </w:r>
            <w:r>
              <w:rPr>
                <w:rFonts w:hint="eastAsia"/>
                <w:color w:val="auto"/>
                <w:highlight w:val="none"/>
              </w:rPr>
              <w:t>生产废水循环使用，</w:t>
            </w:r>
            <w:r>
              <w:rPr>
                <w:rFonts w:hint="eastAsia" w:cs="宋体"/>
                <w:color w:val="auto"/>
                <w:kern w:val="0"/>
              </w:rPr>
              <w:t>不新增劳动定员，不新增生活污水，因此，本项目废水</w:t>
            </w:r>
            <w:r>
              <w:rPr>
                <w:rFonts w:hint="eastAsia" w:cs="宋体"/>
                <w:color w:val="auto"/>
                <w:kern w:val="0"/>
                <w:lang w:val="en-US" w:eastAsia="zh-CN"/>
              </w:rPr>
              <w:t>外排</w:t>
            </w:r>
            <w:r>
              <w:rPr>
                <w:rFonts w:hint="eastAsia" w:cs="宋体"/>
                <w:color w:val="auto"/>
                <w:kern w:val="0"/>
              </w:rPr>
              <w:t>，不会对地表水环境产生影响；项目采取相应的防渗措施后，可以有效地阻止对地下水的污染，不会突破地下水环境质量底线。</w:t>
            </w:r>
          </w:p>
          <w:p w14:paraId="6D9ADAD7">
            <w:pPr>
              <w:pStyle w:val="116"/>
              <w:ind w:firstLine="420"/>
              <w:rPr>
                <w:rFonts w:cs="宋体"/>
                <w:color w:val="auto"/>
                <w:kern w:val="0"/>
              </w:rPr>
            </w:pPr>
            <w:r>
              <w:rPr>
                <w:rFonts w:hint="eastAsia" w:cs="宋体"/>
                <w:color w:val="auto"/>
                <w:kern w:val="0"/>
              </w:rPr>
              <w:t>c）声环境：项目采取设备基础减震、合理布局、厂房隔声等降噪措施后，不会突破声环境质量底线。</w:t>
            </w:r>
          </w:p>
          <w:p w14:paraId="725A117E">
            <w:pPr>
              <w:pStyle w:val="116"/>
              <w:ind w:firstLine="420"/>
              <w:rPr>
                <w:rFonts w:cs="宋体"/>
                <w:color w:val="auto"/>
                <w:kern w:val="0"/>
              </w:rPr>
            </w:pPr>
            <w:r>
              <w:rPr>
                <w:rFonts w:hint="eastAsia" w:cs="宋体"/>
                <w:color w:val="auto"/>
                <w:kern w:val="0"/>
              </w:rPr>
              <w:t>d）土壤环境：项目在采取防渗措施后，不会对土壤环境产生明显影响，不会突破土壤环境质量底线。</w:t>
            </w:r>
          </w:p>
          <w:p w14:paraId="3E5B5C24">
            <w:pPr>
              <w:pStyle w:val="116"/>
              <w:ind w:firstLine="420"/>
              <w:rPr>
                <w:color w:val="auto"/>
                <w:kern w:val="0"/>
              </w:rPr>
            </w:pPr>
            <w:r>
              <w:rPr>
                <w:rFonts w:hint="eastAsia"/>
                <w:color w:val="auto"/>
                <w:kern w:val="0"/>
              </w:rPr>
              <w:t>因此，本项目在采取相应的治理措施后，各污染物均可达标排放，不会对区域环境造成明显的影响，不会突破环境质量底线。</w:t>
            </w:r>
          </w:p>
          <w:p w14:paraId="58DF0DF8">
            <w:pPr>
              <w:pStyle w:val="116"/>
              <w:ind w:firstLine="420"/>
              <w:rPr>
                <w:color w:val="auto"/>
                <w:kern w:val="0"/>
              </w:rPr>
            </w:pPr>
            <w:r>
              <w:rPr>
                <w:rFonts w:hint="eastAsia"/>
                <w:color w:val="auto"/>
                <w:kern w:val="0"/>
              </w:rPr>
              <w:t>③资源利用上线符合性分析</w:t>
            </w:r>
          </w:p>
          <w:p w14:paraId="5C3EE3A5">
            <w:pPr>
              <w:pStyle w:val="116"/>
              <w:ind w:firstLine="420"/>
              <w:rPr>
                <w:color w:val="auto"/>
                <w:kern w:val="0"/>
              </w:rPr>
            </w:pPr>
            <w:r>
              <w:rPr>
                <w:rFonts w:hint="eastAsia"/>
                <w:color w:val="auto"/>
                <w:kern w:val="0"/>
              </w:rPr>
              <w:t>本项目</w:t>
            </w:r>
            <w:r>
              <w:rPr>
                <w:rFonts w:hint="eastAsia" w:cs="宋体"/>
                <w:color w:val="auto"/>
                <w:kern w:val="0"/>
              </w:rPr>
              <w:t>利用厂区空地进行项目建设</w:t>
            </w:r>
            <w:r>
              <w:rPr>
                <w:rFonts w:hint="eastAsia"/>
                <w:color w:val="auto"/>
                <w:kern w:val="0"/>
              </w:rPr>
              <w:t>，现有厂区用地为工业用地，符合土地利用政策要求；本项目不属于高耗水行业，</w:t>
            </w:r>
            <w:r>
              <w:rPr>
                <w:rFonts w:hint="eastAsia" w:cs="宋体"/>
                <w:color w:val="auto"/>
                <w:kern w:val="0"/>
                <w:highlight w:val="none"/>
              </w:rPr>
              <w:t>项目</w:t>
            </w:r>
            <w:r>
              <w:rPr>
                <w:rFonts w:hint="eastAsia"/>
                <w:color w:val="auto"/>
                <w:highlight w:val="none"/>
              </w:rPr>
              <w:t>生产用水主要为设备循环冷却用水</w:t>
            </w:r>
            <w:r>
              <w:rPr>
                <w:rFonts w:hint="eastAsia"/>
                <w:color w:val="auto"/>
                <w:kern w:val="0"/>
              </w:rPr>
              <w:t>；项目使用电力</w:t>
            </w:r>
            <w:r>
              <w:rPr>
                <w:rFonts w:hint="eastAsia"/>
                <w:color w:val="auto"/>
                <w:kern w:val="0"/>
                <w:lang w:eastAsia="zh-CN"/>
              </w:rPr>
              <w:t>、</w:t>
            </w:r>
            <w:r>
              <w:rPr>
                <w:rFonts w:hint="eastAsia"/>
                <w:color w:val="auto"/>
                <w:kern w:val="0"/>
                <w:lang w:val="en-US" w:eastAsia="zh-CN"/>
              </w:rPr>
              <w:t>天然气</w:t>
            </w:r>
            <w:r>
              <w:rPr>
                <w:rFonts w:hint="eastAsia"/>
                <w:color w:val="auto"/>
                <w:kern w:val="0"/>
              </w:rPr>
              <w:t>作为能源，不使用煤炭，项目通过加强节能管理、使用节能设备，可进一步降低能源消耗，本项目用电由开发区供电电网提供，电力供应有保障。</w:t>
            </w:r>
          </w:p>
          <w:p w14:paraId="67E8D862">
            <w:pPr>
              <w:pStyle w:val="116"/>
              <w:ind w:firstLine="420"/>
              <w:rPr>
                <w:color w:val="auto"/>
                <w:kern w:val="0"/>
              </w:rPr>
            </w:pPr>
            <w:r>
              <w:rPr>
                <w:rFonts w:hint="eastAsia"/>
                <w:color w:val="auto"/>
                <w:kern w:val="0"/>
              </w:rPr>
              <w:t>因此，本项目的建设符合资源利用上线要求。</w:t>
            </w:r>
          </w:p>
          <w:p w14:paraId="12F37DF1">
            <w:pPr>
              <w:pStyle w:val="116"/>
              <w:ind w:firstLine="420"/>
              <w:rPr>
                <w:color w:val="auto"/>
                <w:kern w:val="0"/>
              </w:rPr>
            </w:pPr>
            <w:r>
              <w:rPr>
                <w:rFonts w:hint="eastAsia"/>
                <w:color w:val="auto"/>
                <w:kern w:val="0"/>
              </w:rPr>
              <w:t>④环境准入负面清单</w:t>
            </w:r>
          </w:p>
          <w:p w14:paraId="327DD886">
            <w:pPr>
              <w:pStyle w:val="116"/>
              <w:ind w:firstLine="420"/>
              <w:rPr>
                <w:color w:val="auto"/>
              </w:rPr>
            </w:pPr>
            <w:r>
              <w:rPr>
                <w:rFonts w:hint="eastAsia"/>
                <w:color w:val="auto"/>
                <w:kern w:val="0"/>
              </w:rPr>
              <w:t>本项目属于</w:t>
            </w:r>
            <w:r>
              <w:rPr>
                <w:rFonts w:hint="eastAsia"/>
                <w:color w:val="auto"/>
                <w:kern w:val="0"/>
                <w:lang w:eastAsia="zh-CN"/>
              </w:rPr>
              <w:t>锻件及粉末冶金制品制造</w:t>
            </w:r>
            <w:r>
              <w:rPr>
                <w:rFonts w:hint="eastAsia"/>
                <w:color w:val="auto"/>
                <w:kern w:val="0"/>
              </w:rPr>
              <w:t>业，不属于《河北省禁止投资的产业目录（2014年版）》中禁止投资的产业项目；不属于《市场准入负面清单（2025年版）》中禁止类和需要许可准入类项目；本项目已通过</w:t>
            </w:r>
            <w:r>
              <w:rPr>
                <w:rFonts w:hint="eastAsia"/>
                <w:color w:val="auto"/>
              </w:rPr>
              <w:t>唐山高新技术产业开发区行政审批局出具的备案证（备案编号：</w:t>
            </w:r>
            <w:r>
              <w:rPr>
                <w:rFonts w:hint="eastAsia"/>
                <w:color w:val="auto"/>
                <w:lang w:eastAsia="zh-CN"/>
              </w:rPr>
              <w:t>唐高备字[2025]185号</w:t>
            </w:r>
            <w:r>
              <w:rPr>
                <w:rFonts w:hint="eastAsia"/>
                <w:color w:val="auto"/>
              </w:rPr>
              <w:t>），因此，本项目符合国家及地方产业政策的要求，不在环境准入负面清单之内。</w:t>
            </w:r>
          </w:p>
          <w:p w14:paraId="34F84B8F">
            <w:pPr>
              <w:pStyle w:val="116"/>
              <w:ind w:firstLine="420"/>
              <w:rPr>
                <w:color w:val="auto"/>
              </w:rPr>
            </w:pPr>
            <w:r>
              <w:rPr>
                <w:rFonts w:hint="eastAsia"/>
                <w:color w:val="auto"/>
              </w:rPr>
              <w:t>综上所述，本项目符合“三线一单”的总体要求。</w:t>
            </w:r>
          </w:p>
          <w:p w14:paraId="4CE12587">
            <w:pPr>
              <w:pStyle w:val="119"/>
              <w:rPr>
                <w:color w:val="auto"/>
              </w:rPr>
            </w:pPr>
            <w:r>
              <w:rPr>
                <w:rFonts w:hint="eastAsia"/>
                <w:color w:val="auto"/>
              </w:rPr>
              <w:t>（2）项目与唐山市“三线一单”符合性分析</w:t>
            </w:r>
          </w:p>
          <w:p w14:paraId="596EC4EB">
            <w:pPr>
              <w:pStyle w:val="116"/>
              <w:ind w:firstLine="420"/>
              <w:rPr>
                <w:rFonts w:cs="宋体"/>
                <w:color w:val="auto"/>
              </w:rPr>
            </w:pPr>
            <w:r>
              <w:rPr>
                <w:rFonts w:hint="eastAsia" w:cs="宋体"/>
                <w:color w:val="auto"/>
              </w:rPr>
              <w:t>根据《唐山市人民政府关于实施“三线一单”生态环境分区管控的意见》(唐政字[2021]48号)及《唐山市生态环境准入清单》（2023年版），本项目开展“三线一单”符合性分析。</w:t>
            </w:r>
          </w:p>
          <w:p w14:paraId="223FC6EA">
            <w:pPr>
              <w:pStyle w:val="116"/>
              <w:ind w:firstLine="420"/>
              <w:rPr>
                <w:color w:val="auto"/>
              </w:rPr>
            </w:pPr>
            <w:r>
              <w:rPr>
                <w:rFonts w:hint="eastAsia"/>
                <w:color w:val="auto"/>
              </w:rPr>
              <w:t>①与唐山市“三线一单”总体符合性分析</w:t>
            </w:r>
          </w:p>
          <w:p w14:paraId="38506B2E">
            <w:pPr>
              <w:pStyle w:val="116"/>
              <w:ind w:firstLine="420"/>
              <w:rPr>
                <w:color w:val="auto"/>
              </w:rPr>
            </w:pPr>
            <w:r>
              <w:rPr>
                <w:rFonts w:hint="eastAsia"/>
                <w:color w:val="auto"/>
                <w:kern w:val="0"/>
              </w:rPr>
              <w:t>本项目与唐山市生态环境总体管控要求的符合性分析，见</w:t>
            </w:r>
            <w:r>
              <w:rPr>
                <w:color w:val="auto"/>
              </w:rPr>
              <w:t>下表</w:t>
            </w:r>
            <w:r>
              <w:rPr>
                <w:rFonts w:hint="eastAsia"/>
                <w:color w:val="auto"/>
              </w:rPr>
              <w:t>。</w:t>
            </w:r>
          </w:p>
          <w:p w14:paraId="7E364DAB">
            <w:pPr>
              <w:pStyle w:val="10"/>
              <w:rPr>
                <w:color w:val="auto"/>
              </w:rPr>
            </w:pPr>
            <w:r>
              <w:rPr>
                <w:rFonts w:hint="eastAsia"/>
                <w:color w:val="auto"/>
              </w:rPr>
              <w:t>表1</w:t>
            </w:r>
            <w:r>
              <w:rPr>
                <w:rFonts w:hint="eastAsia"/>
                <w:color w:val="auto"/>
                <w:lang w:eastAsia="zh-CN"/>
              </w:rPr>
              <w:t>-</w:t>
            </w:r>
            <w:r>
              <w:rPr>
                <w:color w:val="auto"/>
              </w:rPr>
              <w:fldChar w:fldCharType="begin"/>
            </w:r>
            <w:r>
              <w:rPr>
                <w:color w:val="auto"/>
              </w:rPr>
              <w:instrText xml:space="preserve"> </w:instrText>
            </w:r>
            <w:r>
              <w:rPr>
                <w:rFonts w:hint="eastAsia"/>
                <w:color w:val="auto"/>
              </w:rPr>
              <w:instrText xml:space="preserve">SEQ 表1- \* ARABIC</w:instrText>
            </w:r>
            <w:r>
              <w:rPr>
                <w:color w:val="auto"/>
              </w:rPr>
              <w:instrText xml:space="preserve"> </w:instrText>
            </w:r>
            <w:r>
              <w:rPr>
                <w:color w:val="auto"/>
              </w:rPr>
              <w:fldChar w:fldCharType="separate"/>
            </w:r>
            <w:r>
              <w:rPr>
                <w:color w:val="auto"/>
              </w:rPr>
              <w:t>3</w:t>
            </w:r>
            <w:r>
              <w:rPr>
                <w:color w:val="auto"/>
              </w:rPr>
              <w:fldChar w:fldCharType="end"/>
            </w:r>
            <w:r>
              <w:rPr>
                <w:rFonts w:hint="eastAsia"/>
                <w:color w:val="auto"/>
              </w:rPr>
              <w:t>本项目与唐山市生态环境总体管控要求的符合性分析一览表</w:t>
            </w:r>
          </w:p>
          <w:tbl>
            <w:tblPr>
              <w:tblStyle w:val="33"/>
              <w:tblW w:w="6910"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57"/>
              <w:gridCol w:w="373"/>
              <w:gridCol w:w="375"/>
              <w:gridCol w:w="3405"/>
              <w:gridCol w:w="1844"/>
              <w:gridCol w:w="456"/>
            </w:tblGrid>
            <w:tr w14:paraId="21AE4AA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1" w:type="pct"/>
                  <w:noWrap/>
                  <w:vAlign w:val="center"/>
                </w:tcPr>
                <w:p w14:paraId="2FCEC85D">
                  <w:pPr>
                    <w:pStyle w:val="116"/>
                    <w:spacing w:line="240" w:lineRule="auto"/>
                    <w:ind w:firstLine="0" w:firstLineChars="0"/>
                    <w:jc w:val="center"/>
                    <w:rPr>
                      <w:rFonts w:cs="宋体"/>
                      <w:color w:val="auto"/>
                      <w:kern w:val="0"/>
                    </w:rPr>
                  </w:pPr>
                  <w:r>
                    <w:rPr>
                      <w:rFonts w:cs="宋体"/>
                      <w:color w:val="auto"/>
                      <w:kern w:val="0"/>
                    </w:rPr>
                    <w:t>要素</w:t>
                  </w:r>
                </w:p>
                <w:p w14:paraId="644FA4D7">
                  <w:pPr>
                    <w:pStyle w:val="116"/>
                    <w:spacing w:line="240" w:lineRule="auto"/>
                    <w:ind w:firstLine="0" w:firstLineChars="0"/>
                    <w:jc w:val="center"/>
                    <w:rPr>
                      <w:rFonts w:cs="宋体"/>
                      <w:color w:val="auto"/>
                      <w:kern w:val="0"/>
                    </w:rPr>
                  </w:pPr>
                  <w:r>
                    <w:rPr>
                      <w:rFonts w:cs="宋体"/>
                      <w:color w:val="auto"/>
                      <w:kern w:val="0"/>
                    </w:rPr>
                    <w:t>属性</w:t>
                  </w:r>
                </w:p>
              </w:tc>
              <w:tc>
                <w:tcPr>
                  <w:tcW w:w="541" w:type="pct"/>
                  <w:gridSpan w:val="2"/>
                  <w:noWrap/>
                  <w:vAlign w:val="center"/>
                </w:tcPr>
                <w:p w14:paraId="45149D47">
                  <w:pPr>
                    <w:pStyle w:val="116"/>
                    <w:spacing w:line="240" w:lineRule="auto"/>
                    <w:ind w:firstLine="0" w:firstLineChars="0"/>
                    <w:jc w:val="center"/>
                    <w:rPr>
                      <w:rFonts w:cs="宋体"/>
                      <w:color w:val="auto"/>
                      <w:kern w:val="0"/>
                    </w:rPr>
                  </w:pPr>
                  <w:r>
                    <w:rPr>
                      <w:rFonts w:cs="宋体"/>
                      <w:color w:val="auto"/>
                      <w:kern w:val="0"/>
                    </w:rPr>
                    <w:t>管控</w:t>
                  </w:r>
                </w:p>
                <w:p w14:paraId="60646818">
                  <w:pPr>
                    <w:pStyle w:val="116"/>
                    <w:spacing w:line="240" w:lineRule="auto"/>
                    <w:ind w:firstLine="0" w:firstLineChars="0"/>
                    <w:jc w:val="center"/>
                    <w:rPr>
                      <w:rFonts w:cs="宋体"/>
                      <w:color w:val="auto"/>
                      <w:kern w:val="0"/>
                    </w:rPr>
                  </w:pPr>
                  <w:r>
                    <w:rPr>
                      <w:rFonts w:cs="宋体"/>
                      <w:color w:val="auto"/>
                      <w:kern w:val="0"/>
                    </w:rPr>
                    <w:t>类别</w:t>
                  </w:r>
                </w:p>
              </w:tc>
              <w:tc>
                <w:tcPr>
                  <w:tcW w:w="2464" w:type="pct"/>
                  <w:noWrap/>
                  <w:vAlign w:val="center"/>
                </w:tcPr>
                <w:p w14:paraId="1FFB22E0">
                  <w:pPr>
                    <w:pStyle w:val="116"/>
                    <w:spacing w:line="240" w:lineRule="auto"/>
                    <w:ind w:firstLine="0" w:firstLineChars="0"/>
                    <w:jc w:val="center"/>
                    <w:rPr>
                      <w:rFonts w:cs="宋体"/>
                      <w:color w:val="auto"/>
                      <w:kern w:val="0"/>
                    </w:rPr>
                  </w:pPr>
                  <w:r>
                    <w:rPr>
                      <w:rFonts w:cs="宋体"/>
                      <w:color w:val="auto"/>
                      <w:kern w:val="0"/>
                    </w:rPr>
                    <w:t>管控要求</w:t>
                  </w:r>
                </w:p>
              </w:tc>
              <w:tc>
                <w:tcPr>
                  <w:tcW w:w="1334" w:type="pct"/>
                  <w:noWrap/>
                  <w:vAlign w:val="center"/>
                </w:tcPr>
                <w:p w14:paraId="5EF0486A">
                  <w:pPr>
                    <w:pStyle w:val="116"/>
                    <w:spacing w:line="240" w:lineRule="auto"/>
                    <w:ind w:firstLine="0" w:firstLineChars="0"/>
                    <w:jc w:val="center"/>
                    <w:rPr>
                      <w:rFonts w:cs="宋体"/>
                      <w:color w:val="auto"/>
                      <w:kern w:val="0"/>
                    </w:rPr>
                  </w:pPr>
                  <w:r>
                    <w:rPr>
                      <w:rFonts w:cs="宋体"/>
                      <w:color w:val="auto"/>
                      <w:kern w:val="0"/>
                    </w:rPr>
                    <w:t>本项目</w:t>
                  </w:r>
                </w:p>
              </w:tc>
              <w:tc>
                <w:tcPr>
                  <w:tcW w:w="330" w:type="pct"/>
                  <w:noWrap/>
                  <w:vAlign w:val="center"/>
                </w:tcPr>
                <w:p w14:paraId="4CF26488">
                  <w:pPr>
                    <w:pStyle w:val="116"/>
                    <w:spacing w:line="240" w:lineRule="auto"/>
                    <w:ind w:firstLine="0" w:firstLineChars="0"/>
                    <w:jc w:val="center"/>
                    <w:rPr>
                      <w:rFonts w:cs="宋体"/>
                      <w:color w:val="auto"/>
                      <w:kern w:val="0"/>
                    </w:rPr>
                  </w:pPr>
                  <w:r>
                    <w:rPr>
                      <w:rFonts w:hint="eastAsia" w:cs="宋体"/>
                      <w:color w:val="auto"/>
                      <w:kern w:val="0"/>
                    </w:rPr>
                    <w:t>符合性</w:t>
                  </w:r>
                </w:p>
              </w:tc>
            </w:tr>
            <w:tr w14:paraId="71C44E6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331" w:type="pct"/>
                  <w:vMerge w:val="restart"/>
                  <w:noWrap/>
                  <w:vAlign w:val="center"/>
                </w:tcPr>
                <w:p w14:paraId="284F61EC">
                  <w:pPr>
                    <w:pStyle w:val="116"/>
                    <w:spacing w:line="240" w:lineRule="auto"/>
                    <w:ind w:firstLine="0" w:firstLineChars="0"/>
                    <w:jc w:val="center"/>
                    <w:rPr>
                      <w:rFonts w:cs="宋体"/>
                      <w:color w:val="auto"/>
                      <w:kern w:val="0"/>
                    </w:rPr>
                  </w:pPr>
                  <w:r>
                    <w:rPr>
                      <w:rFonts w:cs="宋体"/>
                      <w:color w:val="auto"/>
                      <w:kern w:val="0"/>
                    </w:rPr>
                    <w:t>大气</w:t>
                  </w:r>
                </w:p>
                <w:p w14:paraId="1AD67E44">
                  <w:pPr>
                    <w:pStyle w:val="116"/>
                    <w:spacing w:line="240" w:lineRule="auto"/>
                    <w:ind w:firstLine="0" w:firstLineChars="0"/>
                    <w:jc w:val="center"/>
                    <w:rPr>
                      <w:rFonts w:cs="宋体"/>
                      <w:color w:val="auto"/>
                      <w:kern w:val="0"/>
                    </w:rPr>
                  </w:pPr>
                  <w:r>
                    <w:rPr>
                      <w:rFonts w:cs="宋体"/>
                      <w:color w:val="auto"/>
                      <w:kern w:val="0"/>
                    </w:rPr>
                    <w:t>环境</w:t>
                  </w:r>
                </w:p>
              </w:tc>
              <w:tc>
                <w:tcPr>
                  <w:tcW w:w="541" w:type="pct"/>
                  <w:gridSpan w:val="2"/>
                  <w:noWrap/>
                  <w:vAlign w:val="center"/>
                </w:tcPr>
                <w:p w14:paraId="6EFCA8E0">
                  <w:pPr>
                    <w:pStyle w:val="116"/>
                    <w:spacing w:line="240" w:lineRule="auto"/>
                    <w:ind w:firstLine="0" w:firstLineChars="0"/>
                    <w:jc w:val="center"/>
                    <w:rPr>
                      <w:rFonts w:cs="宋体"/>
                      <w:color w:val="auto"/>
                      <w:kern w:val="0"/>
                    </w:rPr>
                  </w:pPr>
                  <w:r>
                    <w:rPr>
                      <w:rFonts w:hint="eastAsia" w:cs="宋体"/>
                      <w:color w:val="auto"/>
                      <w:kern w:val="0"/>
                    </w:rPr>
                    <w:t>污染防控目标</w:t>
                  </w:r>
                </w:p>
              </w:tc>
              <w:tc>
                <w:tcPr>
                  <w:tcW w:w="2464" w:type="pct"/>
                  <w:noWrap/>
                  <w:vAlign w:val="center"/>
                </w:tcPr>
                <w:p w14:paraId="4DD3FC6F">
                  <w:pPr>
                    <w:pStyle w:val="116"/>
                    <w:spacing w:line="240" w:lineRule="auto"/>
                    <w:ind w:firstLine="0" w:firstLineChars="0"/>
                    <w:rPr>
                      <w:rFonts w:cs="宋体"/>
                      <w:color w:val="auto"/>
                      <w:kern w:val="0"/>
                    </w:rPr>
                  </w:pPr>
                  <w:r>
                    <w:rPr>
                      <w:rFonts w:hint="eastAsia" w:cs="宋体"/>
                      <w:color w:val="auto"/>
                      <w:kern w:val="0"/>
                    </w:rPr>
                    <w:t>2025年，全市细颗粒物（PM</w:t>
                  </w:r>
                  <w:r>
                    <w:rPr>
                      <w:rFonts w:hint="eastAsia" w:cs="宋体"/>
                      <w:color w:val="auto"/>
                      <w:kern w:val="0"/>
                      <w:vertAlign w:val="subscript"/>
                    </w:rPr>
                    <w:t>2.5</w:t>
                  </w:r>
                  <w:r>
                    <w:rPr>
                      <w:rFonts w:hint="eastAsia" w:cs="宋体"/>
                      <w:color w:val="auto"/>
                      <w:kern w:val="0"/>
                    </w:rPr>
                    <w:t>）平均浓度达到40微克/立方米左右，空气质量优良天数比率达到70%以上，单位地区生产总值二氧化碳排放下降比例达河北省要求。</w:t>
                  </w:r>
                </w:p>
              </w:tc>
              <w:tc>
                <w:tcPr>
                  <w:tcW w:w="1334" w:type="pct"/>
                  <w:noWrap/>
                  <w:vAlign w:val="center"/>
                </w:tcPr>
                <w:p w14:paraId="51432EE6">
                  <w:pPr>
                    <w:pStyle w:val="116"/>
                    <w:spacing w:line="240" w:lineRule="auto"/>
                    <w:ind w:firstLine="0" w:firstLineChars="0"/>
                    <w:rPr>
                      <w:rFonts w:cs="宋体"/>
                      <w:color w:val="auto"/>
                      <w:kern w:val="0"/>
                    </w:rPr>
                  </w:pPr>
                  <w:r>
                    <w:rPr>
                      <w:rFonts w:hint="eastAsia" w:cs="宋体"/>
                      <w:color w:val="auto"/>
                      <w:kern w:val="0"/>
                    </w:rPr>
                    <w:t>本项目采取较完善的污染防治措施，颗粒物可</w:t>
                  </w:r>
                  <w:r>
                    <w:rPr>
                      <w:rFonts w:cs="宋体"/>
                      <w:color w:val="auto"/>
                      <w:kern w:val="0"/>
                    </w:rPr>
                    <w:t>达标排放，</w:t>
                  </w:r>
                  <w:r>
                    <w:rPr>
                      <w:rFonts w:hint="eastAsia" w:cs="宋体"/>
                      <w:color w:val="auto"/>
                      <w:kern w:val="0"/>
                    </w:rPr>
                    <w:t>不会对区域环境空气环境质量产生明显不利影响。</w:t>
                  </w:r>
                </w:p>
              </w:tc>
              <w:tc>
                <w:tcPr>
                  <w:tcW w:w="330" w:type="pct"/>
                  <w:vMerge w:val="restart"/>
                  <w:noWrap/>
                  <w:vAlign w:val="center"/>
                </w:tcPr>
                <w:p w14:paraId="15B7CD30">
                  <w:pPr>
                    <w:pStyle w:val="116"/>
                    <w:spacing w:line="240" w:lineRule="auto"/>
                    <w:ind w:firstLine="0" w:firstLineChars="0"/>
                    <w:rPr>
                      <w:rFonts w:cs="宋体"/>
                      <w:color w:val="auto"/>
                      <w:kern w:val="0"/>
                    </w:rPr>
                  </w:pPr>
                  <w:r>
                    <w:rPr>
                      <w:rFonts w:hint="eastAsia" w:cs="宋体"/>
                      <w:color w:val="auto"/>
                      <w:kern w:val="0"/>
                    </w:rPr>
                    <w:t>符合</w:t>
                  </w:r>
                </w:p>
              </w:tc>
            </w:tr>
            <w:tr w14:paraId="00E7DBC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331" w:type="pct"/>
                  <w:vMerge w:val="continue"/>
                  <w:noWrap/>
                  <w:vAlign w:val="center"/>
                </w:tcPr>
                <w:p w14:paraId="7C2323EF">
                  <w:pPr>
                    <w:pStyle w:val="116"/>
                    <w:spacing w:line="240" w:lineRule="auto"/>
                    <w:ind w:firstLine="0" w:firstLineChars="0"/>
                    <w:jc w:val="center"/>
                    <w:rPr>
                      <w:rFonts w:cs="宋体"/>
                      <w:color w:val="auto"/>
                      <w:kern w:val="0"/>
                    </w:rPr>
                  </w:pPr>
                </w:p>
              </w:tc>
              <w:tc>
                <w:tcPr>
                  <w:tcW w:w="541" w:type="pct"/>
                  <w:gridSpan w:val="2"/>
                  <w:vMerge w:val="restart"/>
                  <w:noWrap/>
                  <w:vAlign w:val="center"/>
                </w:tcPr>
                <w:p w14:paraId="619665A5">
                  <w:pPr>
                    <w:pStyle w:val="116"/>
                    <w:spacing w:line="240" w:lineRule="auto"/>
                    <w:ind w:firstLine="0" w:firstLineChars="0"/>
                    <w:jc w:val="center"/>
                    <w:rPr>
                      <w:rFonts w:cs="宋体"/>
                      <w:color w:val="auto"/>
                      <w:kern w:val="0"/>
                    </w:rPr>
                  </w:pPr>
                  <w:r>
                    <w:rPr>
                      <w:rFonts w:cs="宋体"/>
                      <w:color w:val="auto"/>
                      <w:kern w:val="0"/>
                    </w:rPr>
                    <w:t>空间布局约束</w:t>
                  </w:r>
                </w:p>
              </w:tc>
              <w:tc>
                <w:tcPr>
                  <w:tcW w:w="2464" w:type="pct"/>
                  <w:noWrap/>
                  <w:vAlign w:val="center"/>
                </w:tcPr>
                <w:p w14:paraId="6447424F">
                  <w:pPr>
                    <w:pStyle w:val="116"/>
                    <w:spacing w:line="240" w:lineRule="auto"/>
                    <w:ind w:firstLine="0" w:firstLineChars="0"/>
                    <w:rPr>
                      <w:rFonts w:cs="宋体"/>
                      <w:color w:val="auto"/>
                      <w:kern w:val="0"/>
                    </w:rPr>
                  </w:pPr>
                  <w:r>
                    <w:rPr>
                      <w:rFonts w:cs="宋体"/>
                      <w:color w:val="auto"/>
                      <w:kern w:val="0"/>
                    </w:rPr>
                    <w:t>2</w:t>
                  </w:r>
                  <w:r>
                    <w:rPr>
                      <w:rFonts w:hint="eastAsia" w:cs="宋体"/>
                      <w:color w:val="auto"/>
                      <w:kern w:val="0"/>
                    </w:rPr>
                    <w:t>、严禁违规新增钢铁、焦化、水泥、平板玻璃等产能，依法推动独立焦化、独立石灰、独立球团逐步退出。</w:t>
                  </w:r>
                </w:p>
              </w:tc>
              <w:tc>
                <w:tcPr>
                  <w:tcW w:w="1334" w:type="pct"/>
                  <w:noWrap/>
                  <w:vAlign w:val="center"/>
                </w:tcPr>
                <w:p w14:paraId="20CD954E">
                  <w:pPr>
                    <w:pStyle w:val="116"/>
                    <w:spacing w:line="240" w:lineRule="auto"/>
                    <w:ind w:firstLine="0" w:firstLineChars="0"/>
                    <w:rPr>
                      <w:rFonts w:cs="宋体"/>
                      <w:color w:val="auto"/>
                      <w:kern w:val="0"/>
                    </w:rPr>
                  </w:pPr>
                  <w:r>
                    <w:rPr>
                      <w:rFonts w:hint="eastAsia" w:cs="宋体"/>
                      <w:color w:val="auto"/>
                      <w:kern w:val="0"/>
                    </w:rPr>
                    <w:t>本项</w:t>
                  </w:r>
                  <w:r>
                    <w:rPr>
                      <w:rFonts w:hint="eastAsia" w:cs="宋体"/>
                      <w:color w:val="auto"/>
                      <w:kern w:val="0"/>
                      <w:highlight w:val="none"/>
                    </w:rPr>
                    <w:t>目属于</w:t>
                  </w:r>
                  <w:r>
                    <w:rPr>
                      <w:rFonts w:hint="eastAsia" w:cs="宋体"/>
                      <w:color w:val="auto"/>
                      <w:kern w:val="0"/>
                      <w:highlight w:val="none"/>
                      <w:lang w:eastAsia="zh-CN"/>
                    </w:rPr>
                    <w:t>金属制品</w:t>
                  </w:r>
                  <w:r>
                    <w:rPr>
                      <w:rFonts w:hint="eastAsia" w:cs="宋体"/>
                      <w:color w:val="auto"/>
                      <w:kern w:val="0"/>
                      <w:highlight w:val="none"/>
                    </w:rPr>
                    <w:t>业，</w:t>
                  </w:r>
                  <w:r>
                    <w:rPr>
                      <w:rFonts w:hint="eastAsia" w:cs="宋体"/>
                      <w:color w:val="auto"/>
                      <w:kern w:val="0"/>
                    </w:rPr>
                    <w:t>不属于</w:t>
                  </w:r>
                  <w:r>
                    <w:rPr>
                      <w:rFonts w:cs="宋体"/>
                      <w:color w:val="auto"/>
                      <w:kern w:val="0"/>
                    </w:rPr>
                    <w:t>钢铁、焦化、平板玻璃、水泥</w:t>
                  </w:r>
                  <w:r>
                    <w:rPr>
                      <w:rFonts w:hint="eastAsia" w:cs="宋体"/>
                      <w:color w:val="auto"/>
                      <w:kern w:val="0"/>
                    </w:rPr>
                    <w:t>行业。</w:t>
                  </w:r>
                </w:p>
              </w:tc>
              <w:tc>
                <w:tcPr>
                  <w:tcW w:w="330" w:type="pct"/>
                  <w:vMerge w:val="continue"/>
                  <w:noWrap/>
                  <w:vAlign w:val="center"/>
                </w:tcPr>
                <w:p w14:paraId="78862731">
                  <w:pPr>
                    <w:pStyle w:val="116"/>
                    <w:spacing w:line="240" w:lineRule="auto"/>
                    <w:ind w:firstLine="0" w:firstLineChars="0"/>
                    <w:rPr>
                      <w:rFonts w:cs="宋体"/>
                      <w:color w:val="auto"/>
                      <w:kern w:val="0"/>
                    </w:rPr>
                  </w:pPr>
                </w:p>
              </w:tc>
            </w:tr>
            <w:tr w14:paraId="7189357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331" w:type="pct"/>
                  <w:vMerge w:val="continue"/>
                  <w:noWrap/>
                  <w:vAlign w:val="center"/>
                </w:tcPr>
                <w:p w14:paraId="7D5D871C">
                  <w:pPr>
                    <w:pStyle w:val="116"/>
                    <w:spacing w:line="240" w:lineRule="auto"/>
                    <w:ind w:firstLine="0" w:firstLineChars="0"/>
                    <w:jc w:val="center"/>
                    <w:rPr>
                      <w:rFonts w:cs="宋体"/>
                      <w:color w:val="auto"/>
                      <w:kern w:val="0"/>
                    </w:rPr>
                  </w:pPr>
                </w:p>
              </w:tc>
              <w:tc>
                <w:tcPr>
                  <w:tcW w:w="541" w:type="pct"/>
                  <w:gridSpan w:val="2"/>
                  <w:vMerge w:val="continue"/>
                  <w:noWrap/>
                  <w:vAlign w:val="center"/>
                </w:tcPr>
                <w:p w14:paraId="67528349">
                  <w:pPr>
                    <w:pStyle w:val="116"/>
                    <w:spacing w:line="240" w:lineRule="auto"/>
                    <w:ind w:firstLine="0" w:firstLineChars="0"/>
                    <w:jc w:val="center"/>
                    <w:rPr>
                      <w:rFonts w:cs="宋体"/>
                      <w:color w:val="auto"/>
                      <w:kern w:val="0"/>
                    </w:rPr>
                  </w:pPr>
                </w:p>
              </w:tc>
              <w:tc>
                <w:tcPr>
                  <w:tcW w:w="2464" w:type="pct"/>
                  <w:noWrap/>
                  <w:vAlign w:val="center"/>
                </w:tcPr>
                <w:p w14:paraId="2DD9CC34">
                  <w:pPr>
                    <w:pStyle w:val="116"/>
                    <w:spacing w:line="240" w:lineRule="auto"/>
                    <w:ind w:firstLine="0" w:firstLineChars="0"/>
                    <w:rPr>
                      <w:rFonts w:cs="宋体"/>
                      <w:color w:val="auto"/>
                      <w:kern w:val="0"/>
                    </w:rPr>
                  </w:pPr>
                  <w:r>
                    <w:rPr>
                      <w:rFonts w:cs="宋体"/>
                      <w:color w:val="auto"/>
                      <w:kern w:val="0"/>
                    </w:rPr>
                    <w:t>3、新（改、扩）建项目严格执行产能置换、煤炭替代和污染物倍量削减替代制度，当地有相关园区规划的，原则上要进入园区并配套建设高效环保治理设施，符合园区规划环评、建设项目环评要求。</w:t>
                  </w:r>
                </w:p>
              </w:tc>
              <w:tc>
                <w:tcPr>
                  <w:tcW w:w="1334" w:type="pct"/>
                  <w:noWrap/>
                  <w:vAlign w:val="center"/>
                </w:tcPr>
                <w:p w14:paraId="42D8A964">
                  <w:pPr>
                    <w:pStyle w:val="116"/>
                    <w:spacing w:line="240" w:lineRule="auto"/>
                    <w:ind w:firstLine="0" w:firstLineChars="0"/>
                    <w:rPr>
                      <w:rFonts w:cs="宋体"/>
                      <w:color w:val="auto"/>
                      <w:kern w:val="0"/>
                    </w:rPr>
                  </w:pPr>
                  <w:r>
                    <w:rPr>
                      <w:rFonts w:hint="eastAsia" w:cs="宋体"/>
                      <w:color w:val="auto"/>
                      <w:kern w:val="0"/>
                    </w:rPr>
                    <w:t>本项目位于唐山市高新技术产业开发区，</w:t>
                  </w:r>
                  <w:r>
                    <w:rPr>
                      <w:rFonts w:hint="eastAsia" w:cs="宋体"/>
                      <w:color w:val="auto"/>
                      <w:kern w:val="0"/>
                      <w:lang w:eastAsia="zh-CN"/>
                    </w:rPr>
                    <w:t>利用厂区空地进行项目建设</w:t>
                  </w:r>
                  <w:r>
                    <w:rPr>
                      <w:rFonts w:hint="eastAsia" w:cs="宋体"/>
                      <w:color w:val="auto"/>
                      <w:kern w:val="0"/>
                      <w:highlight w:val="none"/>
                    </w:rPr>
                    <w:t>。本项目配套建设各</w:t>
                  </w:r>
                  <w:r>
                    <w:rPr>
                      <w:rFonts w:hint="eastAsia" w:cs="宋体"/>
                      <w:color w:val="auto"/>
                      <w:kern w:val="0"/>
                    </w:rPr>
                    <w:t>项污染防治措施，污染物可达标排放，根据当地环保文件，项目按照相关文件要求进行总量指标申报。</w:t>
                  </w:r>
                </w:p>
              </w:tc>
              <w:tc>
                <w:tcPr>
                  <w:tcW w:w="330" w:type="pct"/>
                  <w:vMerge w:val="continue"/>
                  <w:noWrap/>
                  <w:vAlign w:val="center"/>
                </w:tcPr>
                <w:p w14:paraId="2745A713">
                  <w:pPr>
                    <w:pStyle w:val="116"/>
                    <w:spacing w:line="240" w:lineRule="auto"/>
                    <w:ind w:firstLine="0" w:firstLineChars="0"/>
                    <w:rPr>
                      <w:rFonts w:cs="宋体"/>
                      <w:color w:val="auto"/>
                      <w:kern w:val="0"/>
                    </w:rPr>
                  </w:pPr>
                </w:p>
              </w:tc>
            </w:tr>
            <w:tr w14:paraId="3844ECF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331" w:type="pct"/>
                  <w:vMerge w:val="continue"/>
                  <w:noWrap/>
                  <w:vAlign w:val="center"/>
                </w:tcPr>
                <w:p w14:paraId="5435CE04">
                  <w:pPr>
                    <w:pStyle w:val="116"/>
                    <w:spacing w:line="240" w:lineRule="auto"/>
                    <w:ind w:firstLine="0" w:firstLineChars="0"/>
                    <w:jc w:val="center"/>
                    <w:rPr>
                      <w:rFonts w:cs="宋体"/>
                      <w:color w:val="auto"/>
                      <w:kern w:val="0"/>
                    </w:rPr>
                  </w:pPr>
                </w:p>
              </w:tc>
              <w:tc>
                <w:tcPr>
                  <w:tcW w:w="541" w:type="pct"/>
                  <w:gridSpan w:val="2"/>
                  <w:vMerge w:val="restart"/>
                  <w:noWrap/>
                  <w:vAlign w:val="center"/>
                </w:tcPr>
                <w:p w14:paraId="55F9AC08">
                  <w:pPr>
                    <w:pStyle w:val="116"/>
                    <w:spacing w:line="240" w:lineRule="auto"/>
                    <w:ind w:firstLine="0" w:firstLineChars="0"/>
                    <w:jc w:val="center"/>
                    <w:rPr>
                      <w:rFonts w:cs="宋体"/>
                      <w:color w:val="auto"/>
                      <w:kern w:val="0"/>
                    </w:rPr>
                  </w:pPr>
                  <w:r>
                    <w:rPr>
                      <w:rFonts w:cs="宋体"/>
                      <w:color w:val="auto"/>
                      <w:kern w:val="0"/>
                    </w:rPr>
                    <w:t>污染物排放管控</w:t>
                  </w:r>
                </w:p>
              </w:tc>
              <w:tc>
                <w:tcPr>
                  <w:tcW w:w="2464" w:type="pct"/>
                  <w:noWrap/>
                  <w:vAlign w:val="center"/>
                </w:tcPr>
                <w:p w14:paraId="1C0C5034">
                  <w:pPr>
                    <w:pStyle w:val="116"/>
                    <w:spacing w:line="240" w:lineRule="auto"/>
                    <w:ind w:firstLine="0" w:firstLineChars="0"/>
                    <w:rPr>
                      <w:rFonts w:cs="宋体"/>
                      <w:color w:val="auto"/>
                      <w:kern w:val="0"/>
                      <w:lang w:bidi="zh-TW"/>
                    </w:rPr>
                  </w:pPr>
                  <w:r>
                    <w:rPr>
                      <w:rFonts w:cs="宋体"/>
                      <w:color w:val="auto"/>
                      <w:kern w:val="0"/>
                    </w:rPr>
                    <w:t>1、细颗粒物（PM</w:t>
                  </w:r>
                  <w:r>
                    <w:rPr>
                      <w:rFonts w:cs="宋体"/>
                      <w:color w:val="auto"/>
                      <w:kern w:val="0"/>
                      <w:vertAlign w:val="subscript"/>
                    </w:rPr>
                    <w:t>2.5</w:t>
                  </w:r>
                  <w:r>
                    <w:rPr>
                      <w:rFonts w:cs="宋体"/>
                      <w:color w:val="auto"/>
                      <w:kern w:val="0"/>
                    </w:rPr>
                    <w:t>）年平均浓度不达标的城市，二氧化硫、氮氧化物、烟粉尘、挥发性有机物四项污染物均需进行2倍削减替代（燃煤发电机组大气污染物排放浓度基本达到燃气轮机组排放限值的除外）。</w:t>
                  </w:r>
                </w:p>
              </w:tc>
              <w:tc>
                <w:tcPr>
                  <w:tcW w:w="1334" w:type="pct"/>
                  <w:noWrap/>
                  <w:vAlign w:val="center"/>
                </w:tcPr>
                <w:p w14:paraId="699C722A">
                  <w:pPr>
                    <w:pStyle w:val="116"/>
                    <w:spacing w:line="240" w:lineRule="auto"/>
                    <w:ind w:firstLine="0" w:firstLineChars="0"/>
                    <w:rPr>
                      <w:rFonts w:cs="宋体"/>
                      <w:color w:val="auto"/>
                      <w:kern w:val="0"/>
                    </w:rPr>
                  </w:pPr>
                  <w:r>
                    <w:rPr>
                      <w:rFonts w:hint="eastAsia" w:cs="宋体"/>
                      <w:color w:val="auto"/>
                      <w:kern w:val="0"/>
                    </w:rPr>
                    <w:t>根据当地环保文件，项目按照相关文件要求进行总量指标申报。</w:t>
                  </w:r>
                </w:p>
              </w:tc>
              <w:tc>
                <w:tcPr>
                  <w:tcW w:w="330" w:type="pct"/>
                  <w:vMerge w:val="restart"/>
                  <w:noWrap/>
                  <w:vAlign w:val="center"/>
                </w:tcPr>
                <w:p w14:paraId="6BB82D93">
                  <w:pPr>
                    <w:pStyle w:val="116"/>
                    <w:spacing w:line="240" w:lineRule="auto"/>
                    <w:ind w:firstLine="0" w:firstLineChars="0"/>
                    <w:rPr>
                      <w:rFonts w:cs="宋体"/>
                      <w:color w:val="auto"/>
                      <w:kern w:val="0"/>
                    </w:rPr>
                  </w:pPr>
                  <w:r>
                    <w:rPr>
                      <w:rFonts w:hint="eastAsia" w:cs="宋体"/>
                      <w:color w:val="auto"/>
                      <w:kern w:val="0"/>
                    </w:rPr>
                    <w:t>符合</w:t>
                  </w:r>
                </w:p>
              </w:tc>
            </w:tr>
            <w:tr w14:paraId="3287683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331" w:type="pct"/>
                  <w:vMerge w:val="continue"/>
                  <w:noWrap/>
                  <w:vAlign w:val="center"/>
                </w:tcPr>
                <w:p w14:paraId="5D25B8A1">
                  <w:pPr>
                    <w:pStyle w:val="116"/>
                    <w:spacing w:line="240" w:lineRule="auto"/>
                    <w:ind w:firstLine="0" w:firstLineChars="0"/>
                    <w:jc w:val="center"/>
                    <w:rPr>
                      <w:rFonts w:cs="宋体"/>
                      <w:color w:val="auto"/>
                      <w:kern w:val="0"/>
                    </w:rPr>
                  </w:pPr>
                </w:p>
              </w:tc>
              <w:tc>
                <w:tcPr>
                  <w:tcW w:w="541" w:type="pct"/>
                  <w:gridSpan w:val="2"/>
                  <w:vMerge w:val="continue"/>
                  <w:noWrap/>
                  <w:vAlign w:val="center"/>
                </w:tcPr>
                <w:p w14:paraId="66404765">
                  <w:pPr>
                    <w:pStyle w:val="116"/>
                    <w:spacing w:line="240" w:lineRule="auto"/>
                    <w:ind w:firstLine="0" w:firstLineChars="0"/>
                    <w:jc w:val="center"/>
                    <w:rPr>
                      <w:rFonts w:cs="宋体"/>
                      <w:color w:val="auto"/>
                      <w:kern w:val="0"/>
                    </w:rPr>
                  </w:pPr>
                </w:p>
              </w:tc>
              <w:tc>
                <w:tcPr>
                  <w:tcW w:w="2464" w:type="pct"/>
                  <w:noWrap/>
                  <w:vAlign w:val="center"/>
                </w:tcPr>
                <w:p w14:paraId="0E95EADB">
                  <w:pPr>
                    <w:pStyle w:val="116"/>
                    <w:spacing w:line="240" w:lineRule="auto"/>
                    <w:ind w:firstLine="0" w:firstLineChars="0"/>
                    <w:rPr>
                      <w:rFonts w:cs="宋体"/>
                      <w:color w:val="auto"/>
                      <w:kern w:val="0"/>
                    </w:rPr>
                  </w:pPr>
                  <w:r>
                    <w:rPr>
                      <w:rFonts w:cs="宋体"/>
                      <w:color w:val="auto"/>
                      <w:kern w:val="0"/>
                    </w:rPr>
                    <w:t>2</w:t>
                  </w:r>
                  <w:r>
                    <w:rPr>
                      <w:rFonts w:hint="eastAsia" w:cs="宋体"/>
                      <w:color w:val="auto"/>
                      <w:kern w:val="0"/>
                    </w:rPr>
                    <w:t>、</w:t>
                  </w:r>
                  <w:r>
                    <w:rPr>
                      <w:rFonts w:cs="宋体"/>
                      <w:color w:val="auto"/>
                      <w:kern w:val="0"/>
                    </w:rPr>
                    <w:t>35</w:t>
                  </w:r>
                  <w:r>
                    <w:rPr>
                      <w:rFonts w:hint="eastAsia" w:cs="宋体"/>
                      <w:color w:val="auto"/>
                      <w:kern w:val="0"/>
                    </w:rPr>
                    <w:t>蒸吨以上燃煤锅炉、燃油（醇基燃料）锅炉、燃用生物质专用锅炉各污染物排放浓度达到《河北省锅炉大气污染物排放标准（</w:t>
                  </w:r>
                  <w:r>
                    <w:rPr>
                      <w:rFonts w:cs="宋体"/>
                      <w:color w:val="auto"/>
                      <w:kern w:val="0"/>
                    </w:rPr>
                    <w:t>DB13/5161</w:t>
                  </w:r>
                  <w:r>
                    <w:rPr>
                      <w:rFonts w:hint="eastAsia" w:cs="宋体"/>
                      <w:color w:val="auto"/>
                      <w:kern w:val="0"/>
                    </w:rPr>
                    <w:t>）》要求；燃煤气、天然气锅炉各污染物排放浓度达到《唐山市锅炉治理专项实施方案》（唐气领办〔</w:t>
                  </w:r>
                  <w:r>
                    <w:rPr>
                      <w:rFonts w:cs="宋体"/>
                      <w:color w:val="auto"/>
                      <w:kern w:val="0"/>
                    </w:rPr>
                    <w:t>2019</w:t>
                  </w:r>
                  <w:r>
                    <w:rPr>
                      <w:rFonts w:hint="eastAsia" w:cs="宋体"/>
                      <w:color w:val="auto"/>
                      <w:kern w:val="0"/>
                    </w:rPr>
                    <w:t>〕</w:t>
                  </w:r>
                  <w:r>
                    <w:rPr>
                      <w:rFonts w:cs="宋体"/>
                      <w:color w:val="auto"/>
                      <w:kern w:val="0"/>
                    </w:rPr>
                    <w:t xml:space="preserve">10 </w:t>
                  </w:r>
                  <w:r>
                    <w:rPr>
                      <w:rFonts w:hint="eastAsia" w:cs="宋体"/>
                      <w:color w:val="auto"/>
                      <w:kern w:val="0"/>
                    </w:rPr>
                    <w:t>号）要求。</w:t>
                  </w:r>
                </w:p>
              </w:tc>
              <w:tc>
                <w:tcPr>
                  <w:tcW w:w="1334" w:type="pct"/>
                  <w:noWrap/>
                  <w:vAlign w:val="center"/>
                </w:tcPr>
                <w:p w14:paraId="59C7BF02">
                  <w:pPr>
                    <w:pStyle w:val="116"/>
                    <w:spacing w:line="240" w:lineRule="auto"/>
                    <w:ind w:firstLine="0" w:firstLineChars="0"/>
                    <w:rPr>
                      <w:rFonts w:cs="宋体"/>
                      <w:color w:val="auto"/>
                      <w:kern w:val="0"/>
                    </w:rPr>
                  </w:pPr>
                  <w:r>
                    <w:rPr>
                      <w:rFonts w:hint="eastAsia" w:cs="宋体"/>
                      <w:color w:val="auto"/>
                      <w:kern w:val="0"/>
                    </w:rPr>
                    <w:t>本项目</w:t>
                  </w:r>
                  <w:r>
                    <w:rPr>
                      <w:rFonts w:hint="eastAsia" w:cs="宋体"/>
                      <w:color w:val="auto"/>
                      <w:kern w:val="0"/>
                      <w:lang w:val="en-US" w:eastAsia="zh-CN"/>
                    </w:rPr>
                    <w:t>使用燃气加热炉，</w:t>
                  </w:r>
                  <w:r>
                    <w:rPr>
                      <w:rFonts w:hint="eastAsia" w:cs="宋体"/>
                      <w:color w:val="auto"/>
                      <w:kern w:val="0"/>
                    </w:rPr>
                    <w:t>不涉及燃煤、燃油、燃生物质锅炉。</w:t>
                  </w:r>
                </w:p>
              </w:tc>
              <w:tc>
                <w:tcPr>
                  <w:tcW w:w="330" w:type="pct"/>
                  <w:vMerge w:val="continue"/>
                  <w:noWrap/>
                  <w:vAlign w:val="center"/>
                </w:tcPr>
                <w:p w14:paraId="3379C5A6">
                  <w:pPr>
                    <w:pStyle w:val="116"/>
                    <w:spacing w:line="240" w:lineRule="auto"/>
                    <w:ind w:firstLine="0" w:firstLineChars="0"/>
                    <w:rPr>
                      <w:rFonts w:cs="宋体"/>
                      <w:color w:val="auto"/>
                      <w:kern w:val="0"/>
                    </w:rPr>
                  </w:pPr>
                </w:p>
              </w:tc>
            </w:tr>
            <w:tr w14:paraId="422DA30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331" w:type="pct"/>
                  <w:vMerge w:val="continue"/>
                  <w:noWrap/>
                  <w:vAlign w:val="center"/>
                </w:tcPr>
                <w:p w14:paraId="498002B5">
                  <w:pPr>
                    <w:pStyle w:val="116"/>
                    <w:spacing w:line="240" w:lineRule="auto"/>
                    <w:ind w:firstLine="0" w:firstLineChars="0"/>
                    <w:jc w:val="center"/>
                    <w:rPr>
                      <w:rFonts w:cs="宋体"/>
                      <w:color w:val="auto"/>
                      <w:kern w:val="0"/>
                    </w:rPr>
                  </w:pPr>
                </w:p>
              </w:tc>
              <w:tc>
                <w:tcPr>
                  <w:tcW w:w="541" w:type="pct"/>
                  <w:gridSpan w:val="2"/>
                  <w:vMerge w:val="continue"/>
                  <w:noWrap/>
                  <w:vAlign w:val="center"/>
                </w:tcPr>
                <w:p w14:paraId="4745A67F">
                  <w:pPr>
                    <w:pStyle w:val="116"/>
                    <w:spacing w:line="240" w:lineRule="auto"/>
                    <w:ind w:firstLine="0" w:firstLineChars="0"/>
                    <w:jc w:val="center"/>
                    <w:rPr>
                      <w:rFonts w:cs="宋体"/>
                      <w:color w:val="auto"/>
                      <w:kern w:val="0"/>
                    </w:rPr>
                  </w:pPr>
                </w:p>
              </w:tc>
              <w:tc>
                <w:tcPr>
                  <w:tcW w:w="2464" w:type="pct"/>
                  <w:noWrap/>
                  <w:vAlign w:val="center"/>
                </w:tcPr>
                <w:p w14:paraId="6ECFF5A3">
                  <w:pPr>
                    <w:pStyle w:val="116"/>
                    <w:spacing w:line="240" w:lineRule="auto"/>
                    <w:ind w:firstLine="0" w:firstLineChars="0"/>
                    <w:rPr>
                      <w:rFonts w:cs="宋体"/>
                      <w:color w:val="auto"/>
                      <w:kern w:val="0"/>
                    </w:rPr>
                  </w:pPr>
                  <w:r>
                    <w:rPr>
                      <w:rFonts w:cs="宋体"/>
                      <w:color w:val="auto"/>
                      <w:kern w:val="0"/>
                    </w:rPr>
                    <w:t>8</w:t>
                  </w:r>
                  <w:r>
                    <w:rPr>
                      <w:rFonts w:hint="eastAsia" w:cs="宋体"/>
                      <w:color w:val="auto"/>
                      <w:kern w:val="0"/>
                    </w:rPr>
                    <w:t>、强化建筑施工扬尘污染防治，严格落实《河北省扬尘污染防治办法》，对城市建成区、县城建筑施工工地实施全面监管。强化道路扬尘综合治理，按照《河北省城市精细化管理标准》有关要求，全面巩固洁净城市创建成果。</w:t>
                  </w:r>
                </w:p>
              </w:tc>
              <w:tc>
                <w:tcPr>
                  <w:tcW w:w="1334" w:type="pct"/>
                  <w:noWrap/>
                  <w:vAlign w:val="center"/>
                </w:tcPr>
                <w:p w14:paraId="076CF331">
                  <w:pPr>
                    <w:pStyle w:val="116"/>
                    <w:spacing w:line="240" w:lineRule="auto"/>
                    <w:ind w:firstLine="0" w:firstLineChars="0"/>
                    <w:rPr>
                      <w:rFonts w:cs="宋体"/>
                      <w:color w:val="auto"/>
                      <w:kern w:val="0"/>
                    </w:rPr>
                  </w:pPr>
                  <w:r>
                    <w:rPr>
                      <w:rFonts w:cs="宋体"/>
                      <w:color w:val="auto"/>
                      <w:kern w:val="0"/>
                    </w:rPr>
                    <w:t>本</w:t>
                  </w:r>
                  <w:r>
                    <w:rPr>
                      <w:rFonts w:hint="eastAsia" w:cs="宋体"/>
                      <w:color w:val="auto"/>
                      <w:kern w:val="0"/>
                    </w:rPr>
                    <w:t>项目</w:t>
                  </w:r>
                  <w:r>
                    <w:rPr>
                      <w:rFonts w:hint="eastAsia" w:cs="宋体"/>
                      <w:color w:val="auto"/>
                      <w:kern w:val="0"/>
                      <w:lang w:val="en-US" w:eastAsia="zh-CN"/>
                    </w:rPr>
                    <w:t>按照</w:t>
                  </w:r>
                  <w:r>
                    <w:rPr>
                      <w:rFonts w:hint="eastAsia" w:cs="宋体"/>
                      <w:color w:val="auto"/>
                      <w:kern w:val="0"/>
                    </w:rPr>
                    <w:t>《河北省扬尘污染防治办法》</w:t>
                  </w:r>
                  <w:r>
                    <w:rPr>
                      <w:rFonts w:hint="eastAsia" w:cs="宋体"/>
                      <w:color w:val="auto"/>
                      <w:kern w:val="0"/>
                      <w:lang w:val="en-US" w:eastAsia="zh-CN"/>
                    </w:rPr>
                    <w:t>进行</w:t>
                  </w:r>
                  <w:r>
                    <w:rPr>
                      <w:rFonts w:hint="eastAsia" w:cs="宋体"/>
                      <w:color w:val="auto"/>
                      <w:kern w:val="0"/>
                    </w:rPr>
                    <w:t>施工扬尘污染防治。</w:t>
                  </w:r>
                </w:p>
              </w:tc>
              <w:tc>
                <w:tcPr>
                  <w:tcW w:w="330" w:type="pct"/>
                  <w:vMerge w:val="continue"/>
                  <w:noWrap/>
                  <w:vAlign w:val="center"/>
                </w:tcPr>
                <w:p w14:paraId="733CC7EF">
                  <w:pPr>
                    <w:pStyle w:val="116"/>
                    <w:spacing w:line="240" w:lineRule="auto"/>
                    <w:ind w:firstLine="0" w:firstLineChars="0"/>
                    <w:rPr>
                      <w:rFonts w:cs="宋体"/>
                      <w:color w:val="auto"/>
                      <w:kern w:val="0"/>
                    </w:rPr>
                  </w:pPr>
                </w:p>
              </w:tc>
            </w:tr>
            <w:tr w14:paraId="3544826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1" w:hRule="atLeast"/>
              </w:trPr>
              <w:tc>
                <w:tcPr>
                  <w:tcW w:w="331" w:type="pct"/>
                  <w:vMerge w:val="continue"/>
                  <w:noWrap/>
                  <w:vAlign w:val="center"/>
                </w:tcPr>
                <w:p w14:paraId="19E878B1">
                  <w:pPr>
                    <w:pStyle w:val="116"/>
                    <w:spacing w:line="240" w:lineRule="auto"/>
                    <w:ind w:firstLine="0" w:firstLineChars="0"/>
                    <w:jc w:val="center"/>
                    <w:rPr>
                      <w:rFonts w:cs="宋体"/>
                      <w:color w:val="auto"/>
                      <w:kern w:val="0"/>
                    </w:rPr>
                  </w:pPr>
                </w:p>
              </w:tc>
              <w:tc>
                <w:tcPr>
                  <w:tcW w:w="541" w:type="pct"/>
                  <w:gridSpan w:val="2"/>
                  <w:noWrap/>
                  <w:vAlign w:val="center"/>
                </w:tcPr>
                <w:p w14:paraId="332E06E7">
                  <w:pPr>
                    <w:pStyle w:val="116"/>
                    <w:spacing w:line="240" w:lineRule="auto"/>
                    <w:ind w:firstLine="0" w:firstLineChars="0"/>
                    <w:jc w:val="center"/>
                    <w:rPr>
                      <w:rFonts w:cs="宋体"/>
                      <w:color w:val="auto"/>
                      <w:kern w:val="0"/>
                      <w:lang w:bidi="zh-TW"/>
                    </w:rPr>
                  </w:pPr>
                  <w:r>
                    <w:rPr>
                      <w:rFonts w:cs="宋体"/>
                      <w:color w:val="auto"/>
                      <w:kern w:val="0"/>
                      <w:lang w:bidi="zh-TW"/>
                    </w:rPr>
                    <w:t>环境风险防控</w:t>
                  </w:r>
                </w:p>
              </w:tc>
              <w:tc>
                <w:tcPr>
                  <w:tcW w:w="2464" w:type="pct"/>
                  <w:noWrap/>
                  <w:vAlign w:val="center"/>
                </w:tcPr>
                <w:p w14:paraId="35FDA97E">
                  <w:pPr>
                    <w:pStyle w:val="116"/>
                    <w:spacing w:line="240" w:lineRule="auto"/>
                    <w:ind w:firstLine="0" w:firstLineChars="0"/>
                    <w:rPr>
                      <w:rFonts w:cs="宋体"/>
                      <w:color w:val="auto"/>
                      <w:kern w:val="0"/>
                      <w:lang w:bidi="zh-TW"/>
                    </w:rPr>
                  </w:pPr>
                  <w:r>
                    <w:rPr>
                      <w:rFonts w:cs="宋体"/>
                      <w:color w:val="auto"/>
                      <w:kern w:val="0"/>
                    </w:rPr>
                    <w:t>完善市、县、乡、村网格化环境监管体系，建立信息全面、要素齐全、处置高效、决策科学的市级大气环境监管大数据平台，实现对各级网格和各类污染源的集中在线监测、全程监控和监管指挥。</w:t>
                  </w:r>
                </w:p>
              </w:tc>
              <w:tc>
                <w:tcPr>
                  <w:tcW w:w="1334" w:type="pct"/>
                  <w:noWrap/>
                  <w:vAlign w:val="center"/>
                </w:tcPr>
                <w:p w14:paraId="7C92C52D">
                  <w:pPr>
                    <w:pStyle w:val="116"/>
                    <w:spacing w:line="240" w:lineRule="auto"/>
                    <w:ind w:firstLine="0" w:firstLineChars="0"/>
                    <w:rPr>
                      <w:rFonts w:cs="宋体"/>
                      <w:color w:val="auto"/>
                      <w:kern w:val="0"/>
                    </w:rPr>
                  </w:pPr>
                  <w:r>
                    <w:rPr>
                      <w:rFonts w:hint="eastAsia" w:cs="宋体"/>
                      <w:color w:val="auto"/>
                      <w:kern w:val="0"/>
                    </w:rPr>
                    <w:t>本项目不涉及</w:t>
                  </w:r>
                </w:p>
              </w:tc>
              <w:tc>
                <w:tcPr>
                  <w:tcW w:w="330" w:type="pct"/>
                  <w:noWrap/>
                  <w:vAlign w:val="center"/>
                </w:tcPr>
                <w:p w14:paraId="3913C9C5">
                  <w:pPr>
                    <w:pStyle w:val="116"/>
                    <w:spacing w:line="240" w:lineRule="auto"/>
                    <w:ind w:firstLine="0" w:firstLineChars="0"/>
                    <w:rPr>
                      <w:rFonts w:cs="宋体"/>
                      <w:color w:val="auto"/>
                      <w:kern w:val="0"/>
                    </w:rPr>
                  </w:pPr>
                  <w:r>
                    <w:rPr>
                      <w:rFonts w:hint="eastAsia" w:cs="宋体"/>
                      <w:color w:val="auto"/>
                      <w:kern w:val="0"/>
                    </w:rPr>
                    <w:t>符合</w:t>
                  </w:r>
                </w:p>
              </w:tc>
            </w:tr>
            <w:tr w14:paraId="1A5A5F2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331" w:type="pct"/>
                  <w:vMerge w:val="continue"/>
                  <w:noWrap/>
                  <w:vAlign w:val="center"/>
                </w:tcPr>
                <w:p w14:paraId="068C28BD">
                  <w:pPr>
                    <w:pStyle w:val="116"/>
                    <w:spacing w:line="240" w:lineRule="auto"/>
                    <w:ind w:firstLine="0" w:firstLineChars="0"/>
                    <w:jc w:val="center"/>
                    <w:rPr>
                      <w:rFonts w:cs="宋体"/>
                      <w:color w:val="auto"/>
                      <w:kern w:val="0"/>
                    </w:rPr>
                  </w:pPr>
                </w:p>
              </w:tc>
              <w:tc>
                <w:tcPr>
                  <w:tcW w:w="541" w:type="pct"/>
                  <w:gridSpan w:val="2"/>
                  <w:vMerge w:val="restart"/>
                  <w:noWrap/>
                  <w:vAlign w:val="center"/>
                </w:tcPr>
                <w:p w14:paraId="1589021B">
                  <w:pPr>
                    <w:pStyle w:val="116"/>
                    <w:spacing w:line="240" w:lineRule="auto"/>
                    <w:ind w:firstLine="0" w:firstLineChars="0"/>
                    <w:jc w:val="center"/>
                    <w:rPr>
                      <w:rFonts w:cs="宋体"/>
                      <w:color w:val="auto"/>
                      <w:kern w:val="0"/>
                      <w:lang w:bidi="zh-TW"/>
                    </w:rPr>
                  </w:pPr>
                  <w:r>
                    <w:rPr>
                      <w:rFonts w:cs="宋体"/>
                      <w:color w:val="auto"/>
                      <w:kern w:val="0"/>
                      <w:lang w:bidi="zh-TW"/>
                    </w:rPr>
                    <w:t>资源开发利用</w:t>
                  </w:r>
                </w:p>
              </w:tc>
              <w:tc>
                <w:tcPr>
                  <w:tcW w:w="2464" w:type="pct"/>
                  <w:noWrap/>
                  <w:vAlign w:val="center"/>
                </w:tcPr>
                <w:p w14:paraId="4DB73DAA">
                  <w:pPr>
                    <w:pStyle w:val="116"/>
                    <w:spacing w:line="240" w:lineRule="auto"/>
                    <w:ind w:firstLine="0" w:firstLineChars="0"/>
                    <w:rPr>
                      <w:rFonts w:cs="宋体"/>
                      <w:color w:val="auto"/>
                      <w:kern w:val="0"/>
                    </w:rPr>
                  </w:pPr>
                  <w:r>
                    <w:rPr>
                      <w:rFonts w:cs="宋体"/>
                      <w:color w:val="auto"/>
                      <w:kern w:val="0"/>
                    </w:rPr>
                    <w:t>1</w:t>
                  </w:r>
                  <w:r>
                    <w:rPr>
                      <w:rFonts w:hint="eastAsia" w:cs="宋体"/>
                      <w:color w:val="auto"/>
                      <w:kern w:val="0"/>
                    </w:rPr>
                    <w:t>、国家大气污染防治重点区域内新建、改建、扩建用煤项目的，应当实行煤炭的等量或者减量替代。</w:t>
                  </w:r>
                </w:p>
              </w:tc>
              <w:tc>
                <w:tcPr>
                  <w:tcW w:w="1334" w:type="pct"/>
                  <w:noWrap/>
                  <w:vAlign w:val="center"/>
                </w:tcPr>
                <w:p w14:paraId="6211609A">
                  <w:pPr>
                    <w:pStyle w:val="116"/>
                    <w:spacing w:line="240" w:lineRule="auto"/>
                    <w:ind w:firstLine="0" w:firstLineChars="0"/>
                    <w:rPr>
                      <w:rFonts w:cs="宋体"/>
                      <w:color w:val="auto"/>
                      <w:kern w:val="0"/>
                    </w:rPr>
                  </w:pPr>
                  <w:r>
                    <w:rPr>
                      <w:rFonts w:cs="宋体"/>
                      <w:color w:val="auto"/>
                      <w:kern w:val="0"/>
                    </w:rPr>
                    <w:t>本项目</w:t>
                  </w:r>
                  <w:r>
                    <w:rPr>
                      <w:rFonts w:hint="eastAsia" w:cs="宋体"/>
                      <w:color w:val="auto"/>
                      <w:kern w:val="0"/>
                    </w:rPr>
                    <w:t>不涉及。</w:t>
                  </w:r>
                </w:p>
              </w:tc>
              <w:tc>
                <w:tcPr>
                  <w:tcW w:w="330" w:type="pct"/>
                  <w:vMerge w:val="restart"/>
                  <w:noWrap/>
                  <w:vAlign w:val="center"/>
                </w:tcPr>
                <w:p w14:paraId="79990CB2">
                  <w:pPr>
                    <w:pStyle w:val="116"/>
                    <w:spacing w:line="240" w:lineRule="auto"/>
                    <w:ind w:firstLine="0" w:firstLineChars="0"/>
                    <w:rPr>
                      <w:rFonts w:cs="宋体"/>
                      <w:color w:val="auto"/>
                      <w:kern w:val="0"/>
                    </w:rPr>
                  </w:pPr>
                  <w:r>
                    <w:rPr>
                      <w:rFonts w:hint="eastAsia" w:cs="宋体"/>
                      <w:color w:val="auto"/>
                      <w:kern w:val="0"/>
                    </w:rPr>
                    <w:t>符合</w:t>
                  </w:r>
                </w:p>
              </w:tc>
            </w:tr>
            <w:tr w14:paraId="20038C7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331" w:type="pct"/>
                  <w:vMerge w:val="continue"/>
                  <w:noWrap/>
                  <w:vAlign w:val="center"/>
                </w:tcPr>
                <w:p w14:paraId="3A497C5C">
                  <w:pPr>
                    <w:pStyle w:val="116"/>
                    <w:spacing w:line="240" w:lineRule="auto"/>
                    <w:ind w:firstLine="0" w:firstLineChars="0"/>
                    <w:jc w:val="center"/>
                    <w:rPr>
                      <w:rFonts w:cs="宋体"/>
                      <w:color w:val="auto"/>
                      <w:kern w:val="0"/>
                      <w:lang w:bidi="zh-TW"/>
                    </w:rPr>
                  </w:pPr>
                </w:p>
              </w:tc>
              <w:tc>
                <w:tcPr>
                  <w:tcW w:w="541" w:type="pct"/>
                  <w:gridSpan w:val="2"/>
                  <w:vMerge w:val="continue"/>
                  <w:noWrap/>
                  <w:vAlign w:val="center"/>
                </w:tcPr>
                <w:p w14:paraId="075FD09B">
                  <w:pPr>
                    <w:pStyle w:val="116"/>
                    <w:spacing w:line="240" w:lineRule="auto"/>
                    <w:ind w:firstLine="0" w:firstLineChars="0"/>
                    <w:jc w:val="center"/>
                    <w:rPr>
                      <w:rFonts w:cs="宋体"/>
                      <w:color w:val="auto"/>
                      <w:kern w:val="0"/>
                      <w:lang w:bidi="zh-TW"/>
                    </w:rPr>
                  </w:pPr>
                </w:p>
              </w:tc>
              <w:tc>
                <w:tcPr>
                  <w:tcW w:w="2464" w:type="pct"/>
                  <w:noWrap/>
                  <w:vAlign w:val="center"/>
                </w:tcPr>
                <w:p w14:paraId="4EBB33A0">
                  <w:pPr>
                    <w:pStyle w:val="116"/>
                    <w:spacing w:line="240" w:lineRule="auto"/>
                    <w:ind w:firstLine="0" w:firstLineChars="0"/>
                    <w:rPr>
                      <w:rFonts w:cs="宋体"/>
                      <w:color w:val="auto"/>
                      <w:kern w:val="0"/>
                      <w:lang w:bidi="zh-TW"/>
                    </w:rPr>
                  </w:pPr>
                  <w:r>
                    <w:rPr>
                      <w:rFonts w:cs="宋体"/>
                      <w:color w:val="auto"/>
                      <w:kern w:val="0"/>
                    </w:rPr>
                    <w:t>2、实施能源消耗总量和强度双控行动。健全节能标准体系，大力开发、推广节能高效技术和产品，实现重点用能行业、设备节能标准全覆盖。</w:t>
                  </w:r>
                </w:p>
              </w:tc>
              <w:tc>
                <w:tcPr>
                  <w:tcW w:w="1334" w:type="pct"/>
                  <w:vMerge w:val="restart"/>
                  <w:noWrap/>
                  <w:vAlign w:val="center"/>
                </w:tcPr>
                <w:p w14:paraId="49E76156">
                  <w:pPr>
                    <w:pStyle w:val="116"/>
                    <w:spacing w:line="240" w:lineRule="auto"/>
                    <w:ind w:firstLine="0" w:firstLineChars="0"/>
                    <w:rPr>
                      <w:rFonts w:cs="宋体"/>
                      <w:color w:val="auto"/>
                      <w:kern w:val="0"/>
                      <w:lang w:bidi="zh-TW"/>
                    </w:rPr>
                  </w:pPr>
                  <w:r>
                    <w:rPr>
                      <w:rFonts w:cs="宋体"/>
                      <w:color w:val="auto"/>
                      <w:kern w:val="0"/>
                    </w:rPr>
                    <w:t>本项目</w:t>
                  </w:r>
                  <w:r>
                    <w:rPr>
                      <w:rFonts w:hint="eastAsia" w:cs="宋体"/>
                      <w:color w:val="auto"/>
                      <w:kern w:val="0"/>
                    </w:rPr>
                    <w:t>设备符合节能环保要求，有效</w:t>
                  </w:r>
                  <w:r>
                    <w:rPr>
                      <w:rFonts w:cs="宋体"/>
                      <w:color w:val="auto"/>
                      <w:kern w:val="0"/>
                    </w:rPr>
                    <w:t>提高能源利用效率。</w:t>
                  </w:r>
                </w:p>
              </w:tc>
              <w:tc>
                <w:tcPr>
                  <w:tcW w:w="330" w:type="pct"/>
                  <w:vMerge w:val="continue"/>
                  <w:noWrap/>
                  <w:vAlign w:val="center"/>
                </w:tcPr>
                <w:p w14:paraId="42E5FBE1">
                  <w:pPr>
                    <w:pStyle w:val="116"/>
                    <w:spacing w:line="240" w:lineRule="auto"/>
                    <w:ind w:firstLine="0" w:firstLineChars="0"/>
                    <w:rPr>
                      <w:rFonts w:cs="宋体"/>
                      <w:color w:val="auto"/>
                      <w:kern w:val="0"/>
                      <w:lang w:bidi="zh-TW"/>
                    </w:rPr>
                  </w:pPr>
                </w:p>
              </w:tc>
            </w:tr>
            <w:tr w14:paraId="1E7D29B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331" w:type="pct"/>
                  <w:vMerge w:val="continue"/>
                  <w:noWrap/>
                  <w:vAlign w:val="center"/>
                </w:tcPr>
                <w:p w14:paraId="140551D8">
                  <w:pPr>
                    <w:pStyle w:val="116"/>
                    <w:spacing w:line="240" w:lineRule="auto"/>
                    <w:ind w:firstLine="0" w:firstLineChars="0"/>
                    <w:jc w:val="center"/>
                    <w:rPr>
                      <w:rFonts w:cs="宋体"/>
                      <w:color w:val="auto"/>
                      <w:kern w:val="0"/>
                      <w:lang w:bidi="zh-TW"/>
                    </w:rPr>
                  </w:pPr>
                </w:p>
              </w:tc>
              <w:tc>
                <w:tcPr>
                  <w:tcW w:w="541" w:type="pct"/>
                  <w:gridSpan w:val="2"/>
                  <w:vMerge w:val="continue"/>
                  <w:noWrap/>
                  <w:vAlign w:val="center"/>
                </w:tcPr>
                <w:p w14:paraId="0037C7F3">
                  <w:pPr>
                    <w:pStyle w:val="116"/>
                    <w:spacing w:line="240" w:lineRule="auto"/>
                    <w:ind w:firstLine="0" w:firstLineChars="0"/>
                    <w:jc w:val="center"/>
                    <w:rPr>
                      <w:rFonts w:cs="宋体"/>
                      <w:color w:val="auto"/>
                      <w:kern w:val="0"/>
                      <w:lang w:bidi="zh-TW"/>
                    </w:rPr>
                  </w:pPr>
                </w:p>
              </w:tc>
              <w:tc>
                <w:tcPr>
                  <w:tcW w:w="2464" w:type="pct"/>
                  <w:noWrap/>
                  <w:vAlign w:val="center"/>
                </w:tcPr>
                <w:p w14:paraId="43F1EF54">
                  <w:pPr>
                    <w:pStyle w:val="116"/>
                    <w:spacing w:line="240" w:lineRule="auto"/>
                    <w:ind w:firstLine="0" w:firstLineChars="0"/>
                    <w:rPr>
                      <w:rFonts w:cs="宋体"/>
                      <w:color w:val="auto"/>
                      <w:kern w:val="0"/>
                    </w:rPr>
                  </w:pPr>
                  <w:r>
                    <w:rPr>
                      <w:rFonts w:cs="宋体"/>
                      <w:color w:val="auto"/>
                      <w:kern w:val="0"/>
                    </w:rPr>
                    <w:t>3</w:t>
                  </w:r>
                  <w:r>
                    <w:rPr>
                      <w:rFonts w:hint="eastAsia" w:cs="宋体"/>
                      <w:color w:val="auto"/>
                      <w:kern w:val="0"/>
                    </w:rPr>
                    <w:t>、新（改、扩）建项目能耗达到《河北省主要产品能耗限额和设备能效限定值》准入值要求，鼓励达到先进值。对能效不达标的企业限期进行节能提升改造，现有企业单位产品能耗达到《河北省主要产品能耗限额和设备能效限定值》限定值要求，鼓励已达标企业通过节能改造达到先进值。国家或省对重点行业单位产品能源消耗限额进行修订的，行业限定值、准入值、先进值按新标准执行。</w:t>
                  </w:r>
                </w:p>
              </w:tc>
              <w:tc>
                <w:tcPr>
                  <w:tcW w:w="1334" w:type="pct"/>
                  <w:vMerge w:val="continue"/>
                  <w:noWrap/>
                  <w:vAlign w:val="center"/>
                </w:tcPr>
                <w:p w14:paraId="342EFA45">
                  <w:pPr>
                    <w:pStyle w:val="116"/>
                    <w:spacing w:line="240" w:lineRule="auto"/>
                    <w:ind w:firstLine="0" w:firstLineChars="0"/>
                    <w:rPr>
                      <w:rFonts w:cs="宋体"/>
                      <w:color w:val="auto"/>
                      <w:kern w:val="0"/>
                    </w:rPr>
                  </w:pPr>
                </w:p>
              </w:tc>
              <w:tc>
                <w:tcPr>
                  <w:tcW w:w="330" w:type="pct"/>
                  <w:vMerge w:val="continue"/>
                  <w:noWrap/>
                  <w:vAlign w:val="center"/>
                </w:tcPr>
                <w:p w14:paraId="1726BB11">
                  <w:pPr>
                    <w:pStyle w:val="116"/>
                    <w:spacing w:line="240" w:lineRule="auto"/>
                    <w:ind w:firstLine="0" w:firstLineChars="0"/>
                    <w:rPr>
                      <w:rFonts w:cs="宋体"/>
                      <w:color w:val="auto"/>
                      <w:kern w:val="0"/>
                      <w:lang w:bidi="zh-TW"/>
                    </w:rPr>
                  </w:pPr>
                </w:p>
              </w:tc>
            </w:tr>
            <w:tr w14:paraId="06BEA1A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331" w:type="pct"/>
                  <w:vMerge w:val="restart"/>
                  <w:noWrap/>
                  <w:vAlign w:val="center"/>
                </w:tcPr>
                <w:p w14:paraId="0B4DB983">
                  <w:pPr>
                    <w:pStyle w:val="116"/>
                    <w:spacing w:line="240" w:lineRule="auto"/>
                    <w:ind w:firstLine="0" w:firstLineChars="0"/>
                    <w:jc w:val="center"/>
                    <w:rPr>
                      <w:rFonts w:cs="宋体"/>
                      <w:color w:val="auto"/>
                      <w:kern w:val="0"/>
                      <w:lang w:bidi="zh-TW"/>
                    </w:rPr>
                  </w:pPr>
                  <w:r>
                    <w:rPr>
                      <w:rFonts w:cs="宋体"/>
                      <w:color w:val="auto"/>
                      <w:kern w:val="0"/>
                    </w:rPr>
                    <w:t>地表水环境</w:t>
                  </w:r>
                </w:p>
              </w:tc>
              <w:tc>
                <w:tcPr>
                  <w:tcW w:w="541" w:type="pct"/>
                  <w:gridSpan w:val="2"/>
                  <w:noWrap/>
                  <w:vAlign w:val="center"/>
                </w:tcPr>
                <w:p w14:paraId="650658E1">
                  <w:pPr>
                    <w:pStyle w:val="116"/>
                    <w:spacing w:line="240" w:lineRule="auto"/>
                    <w:ind w:firstLine="0" w:firstLineChars="0"/>
                    <w:jc w:val="center"/>
                    <w:rPr>
                      <w:rFonts w:cs="宋体"/>
                      <w:color w:val="auto"/>
                      <w:kern w:val="0"/>
                      <w:lang w:bidi="zh-TW"/>
                    </w:rPr>
                  </w:pPr>
                  <w:r>
                    <w:rPr>
                      <w:rFonts w:hint="eastAsia" w:cs="宋体"/>
                      <w:color w:val="auto"/>
                      <w:kern w:val="0"/>
                    </w:rPr>
                    <w:t>污染防控目标</w:t>
                  </w:r>
                </w:p>
              </w:tc>
              <w:tc>
                <w:tcPr>
                  <w:tcW w:w="2464" w:type="pct"/>
                  <w:noWrap/>
                  <w:vAlign w:val="center"/>
                </w:tcPr>
                <w:p w14:paraId="5E4CB9D0">
                  <w:pPr>
                    <w:pStyle w:val="116"/>
                    <w:spacing w:line="240" w:lineRule="auto"/>
                    <w:ind w:firstLine="0" w:firstLineChars="0"/>
                    <w:rPr>
                      <w:rFonts w:cs="宋体"/>
                      <w:color w:val="auto"/>
                      <w:kern w:val="0"/>
                    </w:rPr>
                  </w:pPr>
                  <w:r>
                    <w:rPr>
                      <w:rFonts w:hint="eastAsia" w:cs="宋体"/>
                      <w:color w:val="auto"/>
                      <w:kern w:val="0"/>
                    </w:rPr>
                    <w:t>到</w:t>
                  </w:r>
                  <w:r>
                    <w:rPr>
                      <w:rFonts w:cs="宋体"/>
                      <w:color w:val="auto"/>
                      <w:kern w:val="0"/>
                    </w:rPr>
                    <w:t>2025</w:t>
                  </w:r>
                  <w:r>
                    <w:rPr>
                      <w:rFonts w:hint="eastAsia" w:cs="宋体"/>
                      <w:color w:val="auto"/>
                      <w:kern w:val="0"/>
                    </w:rPr>
                    <w:t>年全市水生态环境质量持续改善，地表水国家和河北省考核断面，达到或优于</w:t>
                  </w:r>
                  <w:r>
                    <w:rPr>
                      <w:rFonts w:cs="宋体"/>
                      <w:color w:val="auto"/>
                      <w:kern w:val="0"/>
                    </w:rPr>
                    <w:t>Ⅲ</w:t>
                  </w:r>
                  <w:r>
                    <w:rPr>
                      <w:rFonts w:hint="eastAsia" w:cs="宋体"/>
                      <w:color w:val="auto"/>
                      <w:kern w:val="0"/>
                    </w:rPr>
                    <w:t>类水体断面比例达到85.71</w:t>
                  </w:r>
                  <w:r>
                    <w:rPr>
                      <w:rFonts w:cs="宋体"/>
                      <w:color w:val="auto"/>
                      <w:kern w:val="0"/>
                    </w:rPr>
                    <w:t>%</w:t>
                  </w:r>
                  <w:r>
                    <w:rPr>
                      <w:rFonts w:hint="eastAsia" w:cs="宋体"/>
                      <w:color w:val="auto"/>
                      <w:kern w:val="0"/>
                    </w:rPr>
                    <w:t>，劣</w:t>
                  </w:r>
                  <w:r>
                    <w:rPr>
                      <w:rFonts w:cs="宋体"/>
                      <w:color w:val="auto"/>
                      <w:kern w:val="0"/>
                    </w:rPr>
                    <w:t>Ⅴ</w:t>
                  </w:r>
                  <w:r>
                    <w:rPr>
                      <w:rFonts w:hint="eastAsia" w:cs="宋体"/>
                      <w:color w:val="auto"/>
                      <w:kern w:val="0"/>
                    </w:rPr>
                    <w:t>类水体比例全部消除；城市集中式饮用水水源水质达到或优于</w:t>
                  </w:r>
                  <w:r>
                    <w:rPr>
                      <w:rFonts w:cs="宋体"/>
                      <w:color w:val="auto"/>
                      <w:kern w:val="0"/>
                    </w:rPr>
                    <w:t>Ⅲ</w:t>
                  </w:r>
                  <w:r>
                    <w:rPr>
                      <w:rFonts w:hint="eastAsia" w:cs="宋体"/>
                      <w:color w:val="auto"/>
                      <w:kern w:val="0"/>
                    </w:rPr>
                    <w:t>类比例为</w:t>
                  </w:r>
                  <w:r>
                    <w:rPr>
                      <w:rFonts w:cs="宋体"/>
                      <w:color w:val="auto"/>
                      <w:kern w:val="0"/>
                    </w:rPr>
                    <w:t>100%</w:t>
                  </w:r>
                  <w:r>
                    <w:rPr>
                      <w:rFonts w:hint="eastAsia" w:cs="宋体"/>
                      <w:color w:val="auto"/>
                      <w:kern w:val="0"/>
                    </w:rPr>
                    <w:t>。</w:t>
                  </w:r>
                </w:p>
              </w:tc>
              <w:tc>
                <w:tcPr>
                  <w:tcW w:w="1334" w:type="pct"/>
                  <w:noWrap/>
                  <w:vAlign w:val="center"/>
                </w:tcPr>
                <w:p w14:paraId="4B02968F">
                  <w:pPr>
                    <w:pStyle w:val="116"/>
                    <w:spacing w:line="240" w:lineRule="auto"/>
                    <w:ind w:firstLine="0" w:firstLineChars="0"/>
                    <w:rPr>
                      <w:rFonts w:cs="宋体"/>
                      <w:color w:val="auto"/>
                      <w:kern w:val="0"/>
                    </w:rPr>
                  </w:pPr>
                  <w:r>
                    <w:rPr>
                      <w:rFonts w:cs="宋体"/>
                      <w:color w:val="auto"/>
                      <w:kern w:val="0"/>
                    </w:rPr>
                    <w:t>本项</w:t>
                  </w:r>
                  <w:r>
                    <w:rPr>
                      <w:rFonts w:cs="宋体"/>
                      <w:color w:val="auto"/>
                      <w:kern w:val="0"/>
                      <w:highlight w:val="none"/>
                    </w:rPr>
                    <w:t>目</w:t>
                  </w:r>
                  <w:r>
                    <w:rPr>
                      <w:rFonts w:hint="eastAsia" w:cs="宋体"/>
                      <w:color w:val="auto"/>
                      <w:kern w:val="0"/>
                      <w:highlight w:val="none"/>
                      <w:lang w:eastAsia="zh-CN"/>
                    </w:rPr>
                    <w:t>生产用水主要为设备循环冷却用水，生产废水循环使用</w:t>
                  </w:r>
                  <w:r>
                    <w:rPr>
                      <w:rFonts w:hint="eastAsia" w:cs="宋体"/>
                      <w:color w:val="auto"/>
                      <w:kern w:val="0"/>
                      <w:highlight w:val="none"/>
                    </w:rPr>
                    <w:t>，不新增</w:t>
                  </w:r>
                  <w:r>
                    <w:rPr>
                      <w:rFonts w:cs="宋体"/>
                      <w:color w:val="auto"/>
                      <w:kern w:val="0"/>
                      <w:highlight w:val="none"/>
                    </w:rPr>
                    <w:t>劳动定员</w:t>
                  </w:r>
                  <w:r>
                    <w:rPr>
                      <w:rFonts w:hint="eastAsia" w:cs="宋体"/>
                      <w:color w:val="auto"/>
                      <w:kern w:val="0"/>
                      <w:highlight w:val="none"/>
                    </w:rPr>
                    <w:t>，不新增</w:t>
                  </w:r>
                  <w:r>
                    <w:rPr>
                      <w:rFonts w:cs="宋体"/>
                      <w:color w:val="auto"/>
                      <w:kern w:val="0"/>
                      <w:highlight w:val="none"/>
                    </w:rPr>
                    <w:t>生活</w:t>
                  </w:r>
                  <w:r>
                    <w:rPr>
                      <w:rFonts w:hint="eastAsia" w:cs="宋体"/>
                      <w:color w:val="auto"/>
                      <w:kern w:val="0"/>
                      <w:highlight w:val="none"/>
                    </w:rPr>
                    <w:t>用</w:t>
                  </w:r>
                  <w:r>
                    <w:rPr>
                      <w:rFonts w:cs="宋体"/>
                      <w:color w:val="auto"/>
                      <w:kern w:val="0"/>
                      <w:highlight w:val="none"/>
                    </w:rPr>
                    <w:t>水</w:t>
                  </w:r>
                  <w:r>
                    <w:rPr>
                      <w:rFonts w:hint="eastAsia" w:cs="宋体"/>
                      <w:color w:val="auto"/>
                      <w:kern w:val="0"/>
                      <w:highlight w:val="none"/>
                    </w:rPr>
                    <w:t>，</w:t>
                  </w:r>
                  <w:r>
                    <w:rPr>
                      <w:rFonts w:hint="eastAsia" w:cs="宋体"/>
                      <w:color w:val="auto"/>
                      <w:kern w:val="0"/>
                      <w:highlight w:val="none"/>
                      <w:lang w:eastAsia="zh-CN"/>
                    </w:rPr>
                    <w:t>无废水外排</w:t>
                  </w:r>
                  <w:r>
                    <w:rPr>
                      <w:rFonts w:hint="eastAsia" w:cs="宋体"/>
                      <w:color w:val="auto"/>
                      <w:kern w:val="0"/>
                      <w:highlight w:val="none"/>
                    </w:rPr>
                    <w:t>，</w:t>
                  </w:r>
                  <w:r>
                    <w:rPr>
                      <w:rFonts w:cs="宋体"/>
                      <w:color w:val="auto"/>
                      <w:kern w:val="0"/>
                    </w:rPr>
                    <w:t>不会对周围地表水产生不利影响</w:t>
                  </w:r>
                  <w:r>
                    <w:rPr>
                      <w:rFonts w:hint="eastAsia" w:cs="宋体"/>
                      <w:color w:val="auto"/>
                      <w:kern w:val="0"/>
                    </w:rPr>
                    <w:t>。</w:t>
                  </w:r>
                </w:p>
              </w:tc>
              <w:tc>
                <w:tcPr>
                  <w:tcW w:w="330" w:type="pct"/>
                  <w:noWrap/>
                  <w:vAlign w:val="center"/>
                </w:tcPr>
                <w:p w14:paraId="0EAC5024">
                  <w:pPr>
                    <w:pStyle w:val="116"/>
                    <w:spacing w:line="240" w:lineRule="auto"/>
                    <w:ind w:firstLine="0" w:firstLineChars="0"/>
                    <w:rPr>
                      <w:rFonts w:cs="宋体"/>
                      <w:color w:val="auto"/>
                      <w:kern w:val="0"/>
                      <w:lang w:bidi="zh-TW"/>
                    </w:rPr>
                  </w:pPr>
                  <w:r>
                    <w:rPr>
                      <w:rFonts w:cs="宋体"/>
                      <w:color w:val="auto"/>
                      <w:kern w:val="0"/>
                      <w:lang w:bidi="zh-TW"/>
                    </w:rPr>
                    <w:t>符合</w:t>
                  </w:r>
                </w:p>
              </w:tc>
            </w:tr>
            <w:tr w14:paraId="798EB0D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331" w:type="pct"/>
                  <w:vMerge w:val="continue"/>
                  <w:noWrap/>
                  <w:vAlign w:val="center"/>
                </w:tcPr>
                <w:p w14:paraId="611D2714">
                  <w:pPr>
                    <w:pStyle w:val="116"/>
                    <w:spacing w:line="240" w:lineRule="auto"/>
                    <w:ind w:firstLine="0" w:firstLineChars="0"/>
                    <w:jc w:val="center"/>
                    <w:rPr>
                      <w:rFonts w:cs="宋体"/>
                      <w:color w:val="auto"/>
                      <w:kern w:val="0"/>
                    </w:rPr>
                  </w:pPr>
                </w:p>
              </w:tc>
              <w:tc>
                <w:tcPr>
                  <w:tcW w:w="541" w:type="pct"/>
                  <w:gridSpan w:val="2"/>
                  <w:noWrap/>
                  <w:vAlign w:val="center"/>
                </w:tcPr>
                <w:p w14:paraId="22762AC9">
                  <w:pPr>
                    <w:pStyle w:val="116"/>
                    <w:spacing w:line="240" w:lineRule="auto"/>
                    <w:ind w:firstLine="0" w:firstLineChars="0"/>
                    <w:jc w:val="center"/>
                    <w:rPr>
                      <w:rFonts w:cs="宋体"/>
                      <w:color w:val="auto"/>
                      <w:kern w:val="0"/>
                    </w:rPr>
                  </w:pPr>
                  <w:r>
                    <w:rPr>
                      <w:rFonts w:hint="eastAsia" w:cs="宋体"/>
                      <w:color w:val="auto"/>
                      <w:kern w:val="0"/>
                    </w:rPr>
                    <w:t>空间布局约束</w:t>
                  </w:r>
                </w:p>
              </w:tc>
              <w:tc>
                <w:tcPr>
                  <w:tcW w:w="2464" w:type="pct"/>
                  <w:noWrap/>
                  <w:vAlign w:val="center"/>
                </w:tcPr>
                <w:p w14:paraId="71166EBC">
                  <w:pPr>
                    <w:pStyle w:val="116"/>
                    <w:spacing w:line="240" w:lineRule="auto"/>
                    <w:ind w:firstLine="0" w:firstLineChars="0"/>
                    <w:rPr>
                      <w:rFonts w:cs="宋体"/>
                      <w:color w:val="auto"/>
                      <w:kern w:val="0"/>
                    </w:rPr>
                  </w:pPr>
                  <w:r>
                    <w:rPr>
                      <w:rFonts w:cs="宋体"/>
                      <w:color w:val="auto"/>
                      <w:kern w:val="0"/>
                    </w:rPr>
                    <w:t>3</w:t>
                  </w:r>
                  <w:r>
                    <w:rPr>
                      <w:rFonts w:hint="eastAsia" w:cs="宋体"/>
                      <w:color w:val="auto"/>
                      <w:kern w:val="0"/>
                    </w:rPr>
                    <w:t>、全市重点河流沿岸、重要饮用水水源地补给区，严格控制化学原料和化学制品制造、医药制造、制革、造纸、焦化、化学纤维制造、石油加工、纺织印染等项目环境风险，合理布局生产装置及危险化学品仓储等设施。重大项目原则上布局在优化开发区和重点开发区，并符合城乡规划和土地利用总体规划。</w:t>
                  </w:r>
                </w:p>
              </w:tc>
              <w:tc>
                <w:tcPr>
                  <w:tcW w:w="1334" w:type="pct"/>
                  <w:noWrap/>
                  <w:vAlign w:val="center"/>
                </w:tcPr>
                <w:p w14:paraId="6D999B59">
                  <w:pPr>
                    <w:pStyle w:val="116"/>
                    <w:spacing w:line="240" w:lineRule="auto"/>
                    <w:ind w:firstLine="0" w:firstLineChars="0"/>
                    <w:rPr>
                      <w:rFonts w:cs="宋体"/>
                      <w:color w:val="auto"/>
                      <w:kern w:val="0"/>
                    </w:rPr>
                  </w:pPr>
                  <w:r>
                    <w:rPr>
                      <w:rFonts w:cs="宋体"/>
                      <w:color w:val="auto"/>
                      <w:kern w:val="0"/>
                    </w:rPr>
                    <w:t>本项目不涉及</w:t>
                  </w:r>
                  <w:r>
                    <w:rPr>
                      <w:rFonts w:hint="eastAsia" w:cs="宋体"/>
                      <w:color w:val="auto"/>
                      <w:kern w:val="0"/>
                    </w:rPr>
                    <w:t>，</w:t>
                  </w:r>
                  <w:r>
                    <w:rPr>
                      <w:rFonts w:cs="宋体"/>
                      <w:color w:val="auto"/>
                      <w:kern w:val="0"/>
                    </w:rPr>
                    <w:t>本项目不属于文件所列环境风险项目</w:t>
                  </w:r>
                  <w:r>
                    <w:rPr>
                      <w:rFonts w:hint="eastAsia" w:cs="宋体"/>
                      <w:color w:val="auto"/>
                      <w:kern w:val="0"/>
                    </w:rPr>
                    <w:t>。</w:t>
                  </w:r>
                </w:p>
              </w:tc>
              <w:tc>
                <w:tcPr>
                  <w:tcW w:w="330" w:type="pct"/>
                  <w:noWrap/>
                  <w:vAlign w:val="center"/>
                </w:tcPr>
                <w:p w14:paraId="4FD62436">
                  <w:pPr>
                    <w:pStyle w:val="116"/>
                    <w:spacing w:line="240" w:lineRule="auto"/>
                    <w:ind w:firstLine="0" w:firstLineChars="0"/>
                    <w:rPr>
                      <w:rFonts w:cs="宋体"/>
                      <w:color w:val="auto"/>
                      <w:kern w:val="0"/>
                      <w:lang w:bidi="zh-TW"/>
                    </w:rPr>
                  </w:pPr>
                  <w:r>
                    <w:rPr>
                      <w:rFonts w:cs="宋体"/>
                      <w:color w:val="auto"/>
                      <w:kern w:val="0"/>
                      <w:lang w:bidi="zh-TW"/>
                    </w:rPr>
                    <w:t>符合</w:t>
                  </w:r>
                </w:p>
              </w:tc>
            </w:tr>
            <w:tr w14:paraId="1E96904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331" w:type="pct"/>
                  <w:vMerge w:val="continue"/>
                  <w:noWrap/>
                  <w:vAlign w:val="center"/>
                </w:tcPr>
                <w:p w14:paraId="3FA1A11B">
                  <w:pPr>
                    <w:pStyle w:val="116"/>
                    <w:spacing w:line="240" w:lineRule="auto"/>
                    <w:ind w:firstLine="0" w:firstLineChars="0"/>
                    <w:jc w:val="center"/>
                    <w:rPr>
                      <w:rFonts w:cs="宋体"/>
                      <w:color w:val="auto"/>
                      <w:kern w:val="0"/>
                    </w:rPr>
                  </w:pPr>
                </w:p>
              </w:tc>
              <w:tc>
                <w:tcPr>
                  <w:tcW w:w="541" w:type="pct"/>
                  <w:gridSpan w:val="2"/>
                  <w:noWrap/>
                  <w:vAlign w:val="center"/>
                </w:tcPr>
                <w:p w14:paraId="77D59A6E">
                  <w:pPr>
                    <w:pStyle w:val="116"/>
                    <w:spacing w:line="240" w:lineRule="auto"/>
                    <w:ind w:firstLine="0" w:firstLineChars="0"/>
                    <w:jc w:val="center"/>
                    <w:rPr>
                      <w:rFonts w:cs="宋体"/>
                      <w:color w:val="auto"/>
                      <w:kern w:val="0"/>
                    </w:rPr>
                  </w:pPr>
                  <w:r>
                    <w:rPr>
                      <w:rFonts w:hint="eastAsia" w:cs="宋体"/>
                      <w:color w:val="auto"/>
                      <w:kern w:val="0"/>
                    </w:rPr>
                    <w:t>污染物排放管控</w:t>
                  </w:r>
                </w:p>
              </w:tc>
              <w:tc>
                <w:tcPr>
                  <w:tcW w:w="2464" w:type="pct"/>
                  <w:noWrap/>
                  <w:vAlign w:val="center"/>
                </w:tcPr>
                <w:p w14:paraId="5074CFD4">
                  <w:pPr>
                    <w:pStyle w:val="116"/>
                    <w:spacing w:line="240" w:lineRule="auto"/>
                    <w:ind w:firstLine="0" w:firstLineChars="0"/>
                    <w:rPr>
                      <w:rFonts w:cs="宋体"/>
                      <w:color w:val="auto"/>
                      <w:kern w:val="0"/>
                    </w:rPr>
                  </w:pPr>
                  <w:r>
                    <w:rPr>
                      <w:rFonts w:cs="宋体"/>
                      <w:color w:val="auto"/>
                      <w:kern w:val="0"/>
                    </w:rPr>
                    <w:t>1</w:t>
                  </w:r>
                  <w:r>
                    <w:rPr>
                      <w:rFonts w:hint="eastAsia" w:cs="宋体"/>
                      <w:color w:val="auto"/>
                      <w:kern w:val="0"/>
                    </w:rPr>
                    <w:t>、严格控制高污染、高耗水行业新增产能。产能过剩产业实行新增产能等量替代、涉水主要污染物排放同行业倍量替代。对造纸、焦化、氮肥、石油化工、印染、农副食品加工、原料药制造、制革、农药、电镀等“十大”重点行业，新建、改建、扩建项目实行新增主要污染物排放倍量替代。</w:t>
                  </w:r>
                </w:p>
              </w:tc>
              <w:tc>
                <w:tcPr>
                  <w:tcW w:w="1334" w:type="pct"/>
                  <w:noWrap/>
                  <w:vAlign w:val="center"/>
                </w:tcPr>
                <w:p w14:paraId="0BCA6413">
                  <w:pPr>
                    <w:pStyle w:val="116"/>
                    <w:spacing w:line="240" w:lineRule="auto"/>
                    <w:ind w:firstLine="0" w:firstLineChars="0"/>
                    <w:rPr>
                      <w:rFonts w:cs="宋体"/>
                      <w:color w:val="auto"/>
                      <w:kern w:val="0"/>
                    </w:rPr>
                  </w:pPr>
                  <w:r>
                    <w:rPr>
                      <w:rFonts w:cs="宋体"/>
                      <w:color w:val="auto"/>
                      <w:kern w:val="0"/>
                    </w:rPr>
                    <w:t>本项</w:t>
                  </w:r>
                  <w:r>
                    <w:rPr>
                      <w:rFonts w:cs="宋体"/>
                      <w:color w:val="auto"/>
                      <w:kern w:val="0"/>
                      <w:highlight w:val="none"/>
                    </w:rPr>
                    <w:t>目</w:t>
                  </w:r>
                  <w:r>
                    <w:rPr>
                      <w:rFonts w:hint="eastAsia" w:cs="宋体"/>
                      <w:color w:val="auto"/>
                      <w:kern w:val="0"/>
                      <w:highlight w:val="none"/>
                    </w:rPr>
                    <w:t>属于</w:t>
                  </w:r>
                  <w:r>
                    <w:rPr>
                      <w:rFonts w:hint="eastAsia" w:cs="宋体"/>
                      <w:color w:val="auto"/>
                      <w:kern w:val="0"/>
                      <w:highlight w:val="none"/>
                      <w:lang w:eastAsia="zh-CN"/>
                    </w:rPr>
                    <w:t>金属制品</w:t>
                  </w:r>
                  <w:r>
                    <w:rPr>
                      <w:rFonts w:cs="宋体"/>
                      <w:color w:val="auto"/>
                      <w:kern w:val="0"/>
                      <w:highlight w:val="none"/>
                    </w:rPr>
                    <w:t>行业</w:t>
                  </w:r>
                  <w:r>
                    <w:rPr>
                      <w:rFonts w:hint="eastAsia" w:cs="宋体"/>
                      <w:color w:val="auto"/>
                      <w:kern w:val="0"/>
                      <w:highlight w:val="none"/>
                    </w:rPr>
                    <w:t>，</w:t>
                  </w:r>
                  <w:r>
                    <w:rPr>
                      <w:rFonts w:cs="宋体"/>
                      <w:color w:val="auto"/>
                      <w:kern w:val="0"/>
                    </w:rPr>
                    <w:t>不属于高污染</w:t>
                  </w:r>
                  <w:r>
                    <w:rPr>
                      <w:rFonts w:hint="eastAsia" w:cs="宋体"/>
                      <w:color w:val="auto"/>
                      <w:kern w:val="0"/>
                    </w:rPr>
                    <w:t>、</w:t>
                  </w:r>
                  <w:r>
                    <w:rPr>
                      <w:rFonts w:cs="宋体"/>
                      <w:color w:val="auto"/>
                      <w:kern w:val="0"/>
                    </w:rPr>
                    <w:t>高耗水行业</w:t>
                  </w:r>
                  <w:r>
                    <w:rPr>
                      <w:rFonts w:hint="eastAsia" w:cs="宋体"/>
                      <w:color w:val="auto"/>
                      <w:kern w:val="0"/>
                    </w:rPr>
                    <w:t>，</w:t>
                  </w:r>
                  <w:r>
                    <w:rPr>
                      <w:rFonts w:cs="宋体"/>
                      <w:color w:val="auto"/>
                      <w:kern w:val="0"/>
                    </w:rPr>
                    <w:t>不属于文件所列</w:t>
                  </w:r>
                  <w:r>
                    <w:rPr>
                      <w:rFonts w:hint="eastAsia" w:cs="宋体"/>
                      <w:color w:val="auto"/>
                      <w:kern w:val="0"/>
                    </w:rPr>
                    <w:t>“十大”重点行业。</w:t>
                  </w:r>
                </w:p>
              </w:tc>
              <w:tc>
                <w:tcPr>
                  <w:tcW w:w="330" w:type="pct"/>
                  <w:noWrap/>
                  <w:vAlign w:val="center"/>
                </w:tcPr>
                <w:p w14:paraId="14D1028E">
                  <w:pPr>
                    <w:pStyle w:val="116"/>
                    <w:spacing w:line="240" w:lineRule="auto"/>
                    <w:ind w:firstLine="0" w:firstLineChars="0"/>
                    <w:rPr>
                      <w:rFonts w:cs="宋体"/>
                      <w:color w:val="auto"/>
                      <w:kern w:val="0"/>
                      <w:lang w:bidi="zh-TW"/>
                    </w:rPr>
                  </w:pPr>
                  <w:r>
                    <w:rPr>
                      <w:rFonts w:cs="宋体"/>
                      <w:color w:val="auto"/>
                      <w:kern w:val="0"/>
                      <w:lang w:bidi="zh-TW"/>
                    </w:rPr>
                    <w:t>符合</w:t>
                  </w:r>
                </w:p>
              </w:tc>
            </w:tr>
            <w:tr w14:paraId="3C50FD3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331" w:type="pct"/>
                  <w:vMerge w:val="continue"/>
                  <w:noWrap/>
                  <w:vAlign w:val="center"/>
                </w:tcPr>
                <w:p w14:paraId="4CCFE965">
                  <w:pPr>
                    <w:pStyle w:val="116"/>
                    <w:spacing w:line="240" w:lineRule="auto"/>
                    <w:ind w:firstLine="0" w:firstLineChars="0"/>
                    <w:jc w:val="center"/>
                    <w:rPr>
                      <w:rFonts w:cs="宋体"/>
                      <w:color w:val="auto"/>
                      <w:kern w:val="0"/>
                    </w:rPr>
                  </w:pPr>
                </w:p>
              </w:tc>
              <w:tc>
                <w:tcPr>
                  <w:tcW w:w="541" w:type="pct"/>
                  <w:gridSpan w:val="2"/>
                  <w:noWrap/>
                  <w:vAlign w:val="center"/>
                </w:tcPr>
                <w:p w14:paraId="5D608F43">
                  <w:pPr>
                    <w:pStyle w:val="116"/>
                    <w:spacing w:line="240" w:lineRule="auto"/>
                    <w:ind w:firstLine="0" w:firstLineChars="0"/>
                    <w:jc w:val="center"/>
                    <w:rPr>
                      <w:rFonts w:cs="宋体"/>
                      <w:color w:val="auto"/>
                      <w:kern w:val="0"/>
                    </w:rPr>
                  </w:pPr>
                  <w:r>
                    <w:rPr>
                      <w:rFonts w:hint="eastAsia" w:cs="宋体"/>
                      <w:color w:val="auto"/>
                      <w:kern w:val="0"/>
                    </w:rPr>
                    <w:t>环境风险防控</w:t>
                  </w:r>
                </w:p>
              </w:tc>
              <w:tc>
                <w:tcPr>
                  <w:tcW w:w="2464" w:type="pct"/>
                  <w:noWrap/>
                  <w:vAlign w:val="center"/>
                </w:tcPr>
                <w:p w14:paraId="7CA4DD39">
                  <w:pPr>
                    <w:pStyle w:val="116"/>
                    <w:spacing w:line="240" w:lineRule="auto"/>
                    <w:ind w:firstLine="0" w:firstLineChars="0"/>
                    <w:rPr>
                      <w:rFonts w:cs="宋体"/>
                      <w:color w:val="auto"/>
                      <w:kern w:val="0"/>
                    </w:rPr>
                  </w:pPr>
                  <w:r>
                    <w:rPr>
                      <w:rFonts w:hint="eastAsia" w:cs="宋体"/>
                      <w:color w:val="auto"/>
                      <w:kern w:val="0"/>
                    </w:rPr>
                    <w:t>有效防控水源地环境风险。每年对集中式饮用水水源保护区开展基础调查与评估，将可能影响水源水质安全的风险源全部列入档案，加强风险应急防控，建立联防联控应急机制。推广供水水厂应急净化技术，储备应急供水专项物资，配置移动式应急净水设备，加强应急抢险专业队伍建设，及时有效处置饮用水水源突发环境事件。</w:t>
                  </w:r>
                </w:p>
              </w:tc>
              <w:tc>
                <w:tcPr>
                  <w:tcW w:w="1334" w:type="pct"/>
                  <w:noWrap/>
                  <w:vAlign w:val="center"/>
                </w:tcPr>
                <w:p w14:paraId="454F9CB9">
                  <w:pPr>
                    <w:pStyle w:val="116"/>
                    <w:spacing w:line="240" w:lineRule="auto"/>
                    <w:ind w:firstLine="0" w:firstLineChars="0"/>
                    <w:rPr>
                      <w:rFonts w:cs="宋体"/>
                      <w:color w:val="auto"/>
                      <w:kern w:val="0"/>
                    </w:rPr>
                  </w:pPr>
                  <w:r>
                    <w:rPr>
                      <w:rFonts w:cs="宋体"/>
                      <w:color w:val="auto"/>
                      <w:kern w:val="0"/>
                    </w:rPr>
                    <w:t>本项目未在集中式饮用水水源保护区</w:t>
                  </w:r>
                  <w:r>
                    <w:rPr>
                      <w:rFonts w:hint="eastAsia" w:cs="宋体"/>
                      <w:color w:val="auto"/>
                      <w:kern w:val="0"/>
                    </w:rPr>
                    <w:t>。</w:t>
                  </w:r>
                </w:p>
              </w:tc>
              <w:tc>
                <w:tcPr>
                  <w:tcW w:w="330" w:type="pct"/>
                  <w:noWrap/>
                  <w:vAlign w:val="center"/>
                </w:tcPr>
                <w:p w14:paraId="2C077C3B">
                  <w:pPr>
                    <w:pStyle w:val="116"/>
                    <w:spacing w:line="240" w:lineRule="auto"/>
                    <w:ind w:firstLine="0" w:firstLineChars="0"/>
                    <w:rPr>
                      <w:rFonts w:cs="宋体"/>
                      <w:color w:val="auto"/>
                      <w:kern w:val="0"/>
                      <w:lang w:bidi="zh-TW"/>
                    </w:rPr>
                  </w:pPr>
                  <w:r>
                    <w:rPr>
                      <w:rFonts w:cs="宋体"/>
                      <w:color w:val="auto"/>
                      <w:kern w:val="0"/>
                      <w:lang w:bidi="zh-TW"/>
                    </w:rPr>
                    <w:t>符合</w:t>
                  </w:r>
                </w:p>
              </w:tc>
            </w:tr>
            <w:tr w14:paraId="67B543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331" w:type="pct"/>
                  <w:vMerge w:val="restart"/>
                  <w:noWrap/>
                  <w:vAlign w:val="center"/>
                </w:tcPr>
                <w:p w14:paraId="76705C15">
                  <w:pPr>
                    <w:pStyle w:val="116"/>
                    <w:spacing w:line="240" w:lineRule="auto"/>
                    <w:ind w:firstLine="0" w:firstLineChars="0"/>
                    <w:jc w:val="center"/>
                    <w:rPr>
                      <w:rFonts w:cs="宋体"/>
                      <w:color w:val="auto"/>
                      <w:kern w:val="0"/>
                    </w:rPr>
                  </w:pPr>
                  <w:r>
                    <w:rPr>
                      <w:rFonts w:cs="宋体"/>
                      <w:color w:val="auto"/>
                      <w:kern w:val="0"/>
                    </w:rPr>
                    <w:t>土壤及地下水环境</w:t>
                  </w:r>
                </w:p>
              </w:tc>
              <w:tc>
                <w:tcPr>
                  <w:tcW w:w="541" w:type="pct"/>
                  <w:gridSpan w:val="2"/>
                  <w:noWrap/>
                  <w:vAlign w:val="center"/>
                </w:tcPr>
                <w:p w14:paraId="36C48DBD">
                  <w:pPr>
                    <w:pStyle w:val="116"/>
                    <w:spacing w:line="240" w:lineRule="auto"/>
                    <w:ind w:firstLine="0" w:firstLineChars="0"/>
                    <w:jc w:val="center"/>
                    <w:rPr>
                      <w:rFonts w:cs="宋体"/>
                      <w:color w:val="auto"/>
                      <w:kern w:val="0"/>
                    </w:rPr>
                  </w:pPr>
                  <w:r>
                    <w:rPr>
                      <w:rFonts w:hint="eastAsia" w:cs="宋体"/>
                      <w:color w:val="auto"/>
                      <w:kern w:val="0"/>
                    </w:rPr>
                    <w:t>污染防控目标</w:t>
                  </w:r>
                </w:p>
              </w:tc>
              <w:tc>
                <w:tcPr>
                  <w:tcW w:w="2464" w:type="pct"/>
                  <w:noWrap/>
                  <w:vAlign w:val="center"/>
                </w:tcPr>
                <w:p w14:paraId="2541AAF1">
                  <w:pPr>
                    <w:pStyle w:val="116"/>
                    <w:spacing w:line="240" w:lineRule="auto"/>
                    <w:ind w:firstLine="0" w:firstLineChars="0"/>
                    <w:rPr>
                      <w:rFonts w:cs="宋体"/>
                      <w:color w:val="auto"/>
                      <w:kern w:val="0"/>
                    </w:rPr>
                  </w:pPr>
                  <w:r>
                    <w:rPr>
                      <w:rFonts w:cs="宋体"/>
                      <w:color w:val="auto"/>
                      <w:kern w:val="0"/>
                    </w:rPr>
                    <w:t>2025</w:t>
                  </w:r>
                  <w:r>
                    <w:rPr>
                      <w:rFonts w:hint="eastAsia" w:cs="宋体"/>
                      <w:color w:val="auto"/>
                      <w:kern w:val="0"/>
                    </w:rPr>
                    <w:t>年底前，受污染耕地安全利用率完成河北省下达任务，受污染耕地管控措施覆盖率</w:t>
                  </w:r>
                  <w:r>
                    <w:rPr>
                      <w:rFonts w:cs="宋体"/>
                      <w:color w:val="auto"/>
                      <w:kern w:val="0"/>
                    </w:rPr>
                    <w:t>100%</w:t>
                  </w:r>
                  <w:r>
                    <w:rPr>
                      <w:rFonts w:hint="eastAsia" w:cs="宋体"/>
                      <w:color w:val="auto"/>
                      <w:kern w:val="0"/>
                    </w:rPr>
                    <w:t>；重点建设用地安全利用得到有效保障，拟开发利用污染地块治理修复或风险管控目标达标率</w:t>
                  </w:r>
                  <w:r>
                    <w:rPr>
                      <w:rFonts w:cs="宋体"/>
                      <w:color w:val="auto"/>
                      <w:kern w:val="0"/>
                    </w:rPr>
                    <w:t>100%</w:t>
                  </w:r>
                  <w:r>
                    <w:rPr>
                      <w:rFonts w:hint="eastAsia" w:cs="宋体"/>
                      <w:color w:val="auto"/>
                      <w:kern w:val="0"/>
                    </w:rPr>
                    <w:t>，暂不开发利用污染地块管控措施覆盖率</w:t>
                  </w:r>
                  <w:r>
                    <w:rPr>
                      <w:rFonts w:cs="宋体"/>
                      <w:color w:val="auto"/>
                      <w:kern w:val="0"/>
                    </w:rPr>
                    <w:t>100%</w:t>
                  </w:r>
                  <w:r>
                    <w:rPr>
                      <w:rFonts w:hint="eastAsia" w:cs="宋体"/>
                      <w:color w:val="auto"/>
                      <w:kern w:val="0"/>
                    </w:rPr>
                    <w:t>；国家地下水环境质量区域考核点位</w:t>
                  </w:r>
                  <w:r>
                    <w:rPr>
                      <w:rFonts w:cs="宋体"/>
                      <w:color w:val="auto"/>
                      <w:kern w:val="0"/>
                    </w:rPr>
                    <w:t>Ⅴ</w:t>
                  </w:r>
                  <w:r>
                    <w:rPr>
                      <w:rFonts w:hint="eastAsia" w:cs="宋体"/>
                      <w:color w:val="auto"/>
                      <w:kern w:val="0"/>
                    </w:rPr>
                    <w:t>类水比例控制在</w:t>
                  </w:r>
                  <w:r>
                    <w:rPr>
                      <w:rFonts w:cs="宋体"/>
                      <w:color w:val="auto"/>
                      <w:kern w:val="0"/>
                    </w:rPr>
                    <w:t>20%</w:t>
                  </w:r>
                  <w:r>
                    <w:rPr>
                      <w:rFonts w:hint="eastAsia" w:cs="宋体"/>
                      <w:color w:val="auto"/>
                      <w:kern w:val="0"/>
                    </w:rPr>
                    <w:t>以下，“双源”考核点位水质总体保持稳定。</w:t>
                  </w:r>
                </w:p>
              </w:tc>
              <w:tc>
                <w:tcPr>
                  <w:tcW w:w="1334" w:type="pct"/>
                  <w:noWrap/>
                  <w:vAlign w:val="center"/>
                </w:tcPr>
                <w:p w14:paraId="49106F16">
                  <w:pPr>
                    <w:pStyle w:val="116"/>
                    <w:spacing w:line="240" w:lineRule="auto"/>
                    <w:ind w:firstLine="0" w:firstLineChars="0"/>
                    <w:rPr>
                      <w:rFonts w:cs="宋体"/>
                      <w:color w:val="auto"/>
                      <w:kern w:val="0"/>
                    </w:rPr>
                  </w:pPr>
                  <w:r>
                    <w:rPr>
                      <w:rFonts w:hint="eastAsia" w:cs="宋体"/>
                      <w:color w:val="auto"/>
                      <w:kern w:val="0"/>
                    </w:rPr>
                    <w:t>本项目所占土地为工业用地，本项目采取严格的分区防渗措施，不会对区域土壤及地下水环境质量产生明显不利影响。</w:t>
                  </w:r>
                </w:p>
              </w:tc>
              <w:tc>
                <w:tcPr>
                  <w:tcW w:w="330" w:type="pct"/>
                  <w:noWrap/>
                  <w:vAlign w:val="center"/>
                </w:tcPr>
                <w:p w14:paraId="41D0EFA2">
                  <w:pPr>
                    <w:pStyle w:val="116"/>
                    <w:spacing w:line="240" w:lineRule="auto"/>
                    <w:ind w:firstLine="0" w:firstLineChars="0"/>
                    <w:rPr>
                      <w:rFonts w:cs="宋体"/>
                      <w:color w:val="auto"/>
                      <w:kern w:val="0"/>
                      <w:lang w:bidi="zh-TW"/>
                    </w:rPr>
                  </w:pPr>
                  <w:r>
                    <w:rPr>
                      <w:rFonts w:cs="宋体"/>
                      <w:color w:val="auto"/>
                      <w:kern w:val="0"/>
                      <w:lang w:bidi="zh-TW"/>
                    </w:rPr>
                    <w:t>符合</w:t>
                  </w:r>
                </w:p>
              </w:tc>
            </w:tr>
            <w:tr w14:paraId="0029CD3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331" w:type="pct"/>
                  <w:vMerge w:val="continue"/>
                  <w:noWrap/>
                  <w:vAlign w:val="center"/>
                </w:tcPr>
                <w:p w14:paraId="595A3FFE">
                  <w:pPr>
                    <w:pStyle w:val="116"/>
                    <w:spacing w:line="240" w:lineRule="auto"/>
                    <w:ind w:firstLine="0" w:firstLineChars="0"/>
                    <w:jc w:val="center"/>
                    <w:rPr>
                      <w:rFonts w:cs="宋体"/>
                      <w:color w:val="auto"/>
                      <w:kern w:val="0"/>
                    </w:rPr>
                  </w:pPr>
                </w:p>
              </w:tc>
              <w:tc>
                <w:tcPr>
                  <w:tcW w:w="541" w:type="pct"/>
                  <w:gridSpan w:val="2"/>
                  <w:noWrap/>
                  <w:vAlign w:val="center"/>
                </w:tcPr>
                <w:p w14:paraId="15D6600A">
                  <w:pPr>
                    <w:pStyle w:val="116"/>
                    <w:spacing w:line="240" w:lineRule="auto"/>
                    <w:ind w:firstLine="0" w:firstLineChars="0"/>
                    <w:jc w:val="center"/>
                    <w:rPr>
                      <w:rFonts w:cs="宋体"/>
                      <w:color w:val="auto"/>
                      <w:kern w:val="0"/>
                    </w:rPr>
                  </w:pPr>
                  <w:r>
                    <w:rPr>
                      <w:rFonts w:hint="eastAsia" w:cs="宋体"/>
                      <w:color w:val="auto"/>
                      <w:kern w:val="0"/>
                    </w:rPr>
                    <w:t>空间布局约束</w:t>
                  </w:r>
                </w:p>
              </w:tc>
              <w:tc>
                <w:tcPr>
                  <w:tcW w:w="2464" w:type="pct"/>
                  <w:noWrap/>
                  <w:vAlign w:val="center"/>
                </w:tcPr>
                <w:p w14:paraId="71A11B3D">
                  <w:pPr>
                    <w:pStyle w:val="116"/>
                    <w:spacing w:line="240" w:lineRule="auto"/>
                    <w:ind w:firstLine="0" w:firstLineChars="0"/>
                    <w:rPr>
                      <w:rFonts w:cs="宋体"/>
                      <w:color w:val="auto"/>
                      <w:kern w:val="0"/>
                    </w:rPr>
                  </w:pPr>
                  <w:r>
                    <w:rPr>
                      <w:rFonts w:hint="eastAsia" w:cs="宋体"/>
                      <w:color w:val="auto"/>
                      <w:kern w:val="0"/>
                    </w:rPr>
                    <w:t>严格执行相关行业企业布局选址要求，禁止在居民区和学校、医院、疗养院、养老院等单位周边新建、改建、扩建可能造成土壤污染的建设项目。</w:t>
                  </w:r>
                </w:p>
              </w:tc>
              <w:tc>
                <w:tcPr>
                  <w:tcW w:w="1334" w:type="pct"/>
                  <w:noWrap/>
                  <w:vAlign w:val="center"/>
                </w:tcPr>
                <w:p w14:paraId="79C77506">
                  <w:pPr>
                    <w:pStyle w:val="116"/>
                    <w:spacing w:line="240" w:lineRule="auto"/>
                    <w:ind w:firstLine="0" w:firstLineChars="0"/>
                    <w:rPr>
                      <w:rFonts w:cs="宋体"/>
                      <w:color w:val="auto"/>
                      <w:kern w:val="0"/>
                    </w:rPr>
                  </w:pPr>
                  <w:r>
                    <w:rPr>
                      <w:rFonts w:hint="eastAsia" w:cs="宋体"/>
                      <w:color w:val="auto"/>
                      <w:kern w:val="0"/>
                    </w:rPr>
                    <w:t>本项目</w:t>
                  </w:r>
                  <w:r>
                    <w:rPr>
                      <w:rFonts w:cs="宋体"/>
                      <w:color w:val="auto"/>
                      <w:kern w:val="0"/>
                    </w:rPr>
                    <w:t>严格执行企业选址要求</w:t>
                  </w:r>
                  <w:r>
                    <w:rPr>
                      <w:rFonts w:hint="eastAsia" w:cs="宋体"/>
                      <w:color w:val="auto"/>
                      <w:kern w:val="0"/>
                    </w:rPr>
                    <w:t>，</w:t>
                  </w:r>
                  <w:r>
                    <w:rPr>
                      <w:rFonts w:cs="宋体"/>
                      <w:color w:val="auto"/>
                      <w:kern w:val="0"/>
                    </w:rPr>
                    <w:t>项目</w:t>
                  </w:r>
                  <w:r>
                    <w:rPr>
                      <w:rFonts w:hint="eastAsia" w:cs="宋体"/>
                      <w:color w:val="auto"/>
                    </w:rPr>
                    <w:t>在严格采取防渗措施的前提下，不会对土壤造成明显影响</w:t>
                  </w:r>
                  <w:r>
                    <w:rPr>
                      <w:rFonts w:hint="eastAsia" w:cs="宋体"/>
                      <w:color w:val="auto"/>
                      <w:kern w:val="0"/>
                    </w:rPr>
                    <w:t>。</w:t>
                  </w:r>
                </w:p>
              </w:tc>
              <w:tc>
                <w:tcPr>
                  <w:tcW w:w="330" w:type="pct"/>
                  <w:noWrap/>
                  <w:vAlign w:val="center"/>
                </w:tcPr>
                <w:p w14:paraId="3799FFF8">
                  <w:pPr>
                    <w:pStyle w:val="116"/>
                    <w:spacing w:line="240" w:lineRule="auto"/>
                    <w:ind w:firstLine="0" w:firstLineChars="0"/>
                    <w:rPr>
                      <w:rFonts w:cs="宋体"/>
                      <w:color w:val="auto"/>
                      <w:kern w:val="0"/>
                      <w:lang w:bidi="zh-TW"/>
                    </w:rPr>
                  </w:pPr>
                  <w:r>
                    <w:rPr>
                      <w:rFonts w:cs="宋体"/>
                      <w:color w:val="auto"/>
                      <w:kern w:val="0"/>
                      <w:lang w:bidi="zh-TW"/>
                    </w:rPr>
                    <w:t>符合</w:t>
                  </w:r>
                </w:p>
              </w:tc>
            </w:tr>
            <w:tr w14:paraId="1645698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331" w:type="pct"/>
                  <w:vMerge w:val="continue"/>
                  <w:noWrap/>
                  <w:vAlign w:val="center"/>
                </w:tcPr>
                <w:p w14:paraId="5BB6736F">
                  <w:pPr>
                    <w:pStyle w:val="116"/>
                    <w:spacing w:line="240" w:lineRule="auto"/>
                    <w:ind w:firstLine="0" w:firstLineChars="0"/>
                    <w:jc w:val="center"/>
                    <w:rPr>
                      <w:rFonts w:cs="宋体"/>
                      <w:color w:val="auto"/>
                      <w:kern w:val="0"/>
                    </w:rPr>
                  </w:pPr>
                </w:p>
              </w:tc>
              <w:tc>
                <w:tcPr>
                  <w:tcW w:w="541" w:type="pct"/>
                  <w:gridSpan w:val="2"/>
                  <w:vMerge w:val="restart"/>
                  <w:noWrap/>
                  <w:vAlign w:val="center"/>
                </w:tcPr>
                <w:p w14:paraId="6FBB74B3">
                  <w:pPr>
                    <w:pStyle w:val="116"/>
                    <w:spacing w:line="240" w:lineRule="auto"/>
                    <w:ind w:firstLine="0" w:firstLineChars="0"/>
                    <w:jc w:val="center"/>
                    <w:rPr>
                      <w:rFonts w:cs="宋体"/>
                      <w:color w:val="auto"/>
                      <w:kern w:val="0"/>
                    </w:rPr>
                  </w:pPr>
                  <w:r>
                    <w:rPr>
                      <w:rFonts w:hint="eastAsia" w:cs="宋体"/>
                      <w:color w:val="auto"/>
                      <w:kern w:val="0"/>
                    </w:rPr>
                    <w:t>污染排放管控</w:t>
                  </w:r>
                </w:p>
              </w:tc>
              <w:tc>
                <w:tcPr>
                  <w:tcW w:w="2464" w:type="pct"/>
                  <w:noWrap/>
                  <w:vAlign w:val="center"/>
                </w:tcPr>
                <w:p w14:paraId="084ECF5C">
                  <w:pPr>
                    <w:pStyle w:val="116"/>
                    <w:spacing w:line="240" w:lineRule="auto"/>
                    <w:ind w:firstLine="0" w:firstLineChars="0"/>
                    <w:rPr>
                      <w:rFonts w:cs="宋体"/>
                      <w:color w:val="auto"/>
                      <w:kern w:val="0"/>
                    </w:rPr>
                  </w:pPr>
                  <w:r>
                    <w:rPr>
                      <w:rFonts w:cs="宋体"/>
                      <w:color w:val="auto"/>
                      <w:kern w:val="0"/>
                    </w:rPr>
                    <w:t>4</w:t>
                  </w:r>
                  <w:r>
                    <w:rPr>
                      <w:rFonts w:hint="eastAsia" w:cs="宋体"/>
                      <w:color w:val="auto"/>
                      <w:kern w:val="0"/>
                    </w:rPr>
                    <w:t>、建设和运行固体废物处置设施，应当采取防扬散、防流失、防渗漏等措施，依法贮存、利用、处置固体废物。处置生活垃圾，应当优先采用焚烧处理技术，有计划地实现垃圾零填埋，已有的垃圾填埋处置设施应当建设渗滤液收集和处理、处置设施，并采取相应措施防止土壤污染。</w:t>
                  </w:r>
                </w:p>
              </w:tc>
              <w:tc>
                <w:tcPr>
                  <w:tcW w:w="1334" w:type="pct"/>
                  <w:noWrap/>
                  <w:vAlign w:val="center"/>
                </w:tcPr>
                <w:p w14:paraId="18EA6393">
                  <w:pPr>
                    <w:pStyle w:val="116"/>
                    <w:spacing w:line="240" w:lineRule="auto"/>
                    <w:ind w:firstLine="0" w:firstLineChars="0"/>
                    <w:rPr>
                      <w:rFonts w:cs="宋体"/>
                      <w:color w:val="auto"/>
                      <w:kern w:val="0"/>
                    </w:rPr>
                  </w:pPr>
                  <w:r>
                    <w:rPr>
                      <w:rFonts w:cs="宋体"/>
                      <w:color w:val="auto"/>
                      <w:kern w:val="0"/>
                    </w:rPr>
                    <w:t>本项目</w:t>
                  </w:r>
                  <w:r>
                    <w:rPr>
                      <w:rFonts w:cs="宋体"/>
                      <w:color w:val="auto"/>
                      <w:kern w:val="0"/>
                      <w:highlight w:val="none"/>
                    </w:rPr>
                    <w:t>产生的一般</w:t>
                  </w:r>
                  <w:r>
                    <w:rPr>
                      <w:rFonts w:hint="eastAsia" w:cs="宋体"/>
                      <w:color w:val="auto"/>
                      <w:kern w:val="0"/>
                      <w:highlight w:val="none"/>
                    </w:rPr>
                    <w:t>固体</w:t>
                  </w:r>
                  <w:r>
                    <w:rPr>
                      <w:rFonts w:cs="宋体"/>
                      <w:color w:val="auto"/>
                      <w:kern w:val="0"/>
                      <w:highlight w:val="none"/>
                    </w:rPr>
                    <w:t>废物暂存于一般固废区</w:t>
                  </w:r>
                  <w:r>
                    <w:rPr>
                      <w:rFonts w:hint="eastAsia" w:cs="宋体"/>
                      <w:color w:val="auto"/>
                      <w:kern w:val="0"/>
                      <w:highlight w:val="none"/>
                    </w:rPr>
                    <w:t>，</w:t>
                  </w:r>
                  <w:r>
                    <w:rPr>
                      <w:rFonts w:cs="宋体"/>
                      <w:color w:val="auto"/>
                      <w:kern w:val="0"/>
                      <w:highlight w:val="none"/>
                    </w:rPr>
                    <w:t>危险废物</w:t>
                  </w:r>
                  <w:r>
                    <w:rPr>
                      <w:rFonts w:hint="eastAsia" w:cs="宋体"/>
                      <w:color w:val="auto"/>
                      <w:kern w:val="0"/>
                      <w:highlight w:val="none"/>
                    </w:rPr>
                    <w:t>暂存于依托</w:t>
                  </w:r>
                  <w:r>
                    <w:rPr>
                      <w:rFonts w:cs="宋体"/>
                      <w:color w:val="auto"/>
                      <w:kern w:val="0"/>
                      <w:highlight w:val="none"/>
                    </w:rPr>
                    <w:t>现有工程危废间</w:t>
                  </w:r>
                  <w:r>
                    <w:rPr>
                      <w:rFonts w:hint="eastAsia" w:cs="宋体"/>
                      <w:color w:val="auto"/>
                      <w:kern w:val="0"/>
                    </w:rPr>
                    <w:t>，各存储区域均采取了防渗措施。</w:t>
                  </w:r>
                </w:p>
              </w:tc>
              <w:tc>
                <w:tcPr>
                  <w:tcW w:w="330" w:type="pct"/>
                  <w:noWrap/>
                  <w:vAlign w:val="center"/>
                </w:tcPr>
                <w:p w14:paraId="74D974D9">
                  <w:pPr>
                    <w:pStyle w:val="116"/>
                    <w:spacing w:line="240" w:lineRule="auto"/>
                    <w:ind w:firstLine="0" w:firstLineChars="0"/>
                    <w:rPr>
                      <w:rFonts w:cs="宋体"/>
                      <w:color w:val="auto"/>
                      <w:kern w:val="0"/>
                      <w:lang w:bidi="zh-TW"/>
                    </w:rPr>
                  </w:pPr>
                  <w:r>
                    <w:rPr>
                      <w:rFonts w:cs="宋体"/>
                      <w:color w:val="auto"/>
                      <w:kern w:val="0"/>
                      <w:lang w:bidi="zh-TW"/>
                    </w:rPr>
                    <w:t>符合</w:t>
                  </w:r>
                </w:p>
              </w:tc>
            </w:tr>
            <w:tr w14:paraId="1DDB13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331" w:type="pct"/>
                  <w:vMerge w:val="continue"/>
                  <w:noWrap/>
                  <w:vAlign w:val="center"/>
                </w:tcPr>
                <w:p w14:paraId="2A0AFC24">
                  <w:pPr>
                    <w:pStyle w:val="116"/>
                    <w:spacing w:line="240" w:lineRule="auto"/>
                    <w:ind w:firstLine="0" w:firstLineChars="0"/>
                    <w:jc w:val="center"/>
                    <w:rPr>
                      <w:rFonts w:cs="宋体"/>
                      <w:color w:val="auto"/>
                      <w:kern w:val="0"/>
                    </w:rPr>
                  </w:pPr>
                </w:p>
              </w:tc>
              <w:tc>
                <w:tcPr>
                  <w:tcW w:w="541" w:type="pct"/>
                  <w:gridSpan w:val="2"/>
                  <w:vMerge w:val="continue"/>
                  <w:noWrap/>
                  <w:vAlign w:val="center"/>
                </w:tcPr>
                <w:p w14:paraId="794FE265">
                  <w:pPr>
                    <w:pStyle w:val="116"/>
                    <w:spacing w:line="240" w:lineRule="auto"/>
                    <w:ind w:firstLine="0" w:firstLineChars="0"/>
                    <w:jc w:val="center"/>
                    <w:rPr>
                      <w:rFonts w:cs="宋体"/>
                      <w:color w:val="auto"/>
                      <w:kern w:val="0"/>
                    </w:rPr>
                  </w:pPr>
                </w:p>
              </w:tc>
              <w:tc>
                <w:tcPr>
                  <w:tcW w:w="2464" w:type="pct"/>
                  <w:noWrap/>
                  <w:vAlign w:val="center"/>
                </w:tcPr>
                <w:p w14:paraId="5DAEF411">
                  <w:pPr>
                    <w:pStyle w:val="116"/>
                    <w:spacing w:line="240" w:lineRule="auto"/>
                    <w:ind w:firstLine="0" w:firstLineChars="0"/>
                    <w:rPr>
                      <w:rFonts w:cs="宋体"/>
                      <w:color w:val="auto"/>
                      <w:kern w:val="0"/>
                    </w:rPr>
                  </w:pPr>
                  <w:r>
                    <w:rPr>
                      <w:rFonts w:cs="宋体"/>
                      <w:color w:val="auto"/>
                      <w:kern w:val="0"/>
                    </w:rPr>
                    <w:t>5</w:t>
                  </w:r>
                  <w:r>
                    <w:rPr>
                      <w:rFonts w:hint="eastAsia" w:cs="宋体"/>
                      <w:color w:val="auto"/>
                      <w:kern w:val="0"/>
                    </w:rPr>
                    <w:t>、严格危险废物源头管控，优化利用处置结构布局，提高应急保障能力。发展生态循环农业，提升农业废弃物综合利用率。健全完善制度、技术、市场、监管四大政策体系，实现固体废物和危险废物全链条监管。</w:t>
                  </w:r>
                </w:p>
              </w:tc>
              <w:tc>
                <w:tcPr>
                  <w:tcW w:w="1334" w:type="pct"/>
                  <w:noWrap/>
                  <w:vAlign w:val="center"/>
                </w:tcPr>
                <w:p w14:paraId="254720BE">
                  <w:pPr>
                    <w:pStyle w:val="116"/>
                    <w:spacing w:line="240" w:lineRule="auto"/>
                    <w:ind w:firstLine="0" w:firstLineChars="0"/>
                    <w:rPr>
                      <w:rFonts w:cs="宋体"/>
                      <w:color w:val="auto"/>
                      <w:kern w:val="0"/>
                    </w:rPr>
                  </w:pPr>
                  <w:r>
                    <w:rPr>
                      <w:rFonts w:cs="宋体"/>
                      <w:color w:val="auto"/>
                      <w:kern w:val="0"/>
                    </w:rPr>
                    <w:t>本项目危险废物暂存于危废间</w:t>
                  </w:r>
                  <w:r>
                    <w:rPr>
                      <w:rFonts w:hint="eastAsia" w:cs="宋体"/>
                      <w:color w:val="auto"/>
                      <w:kern w:val="0"/>
                    </w:rPr>
                    <w:t>，委托有资质的单位进行处置。</w:t>
                  </w:r>
                </w:p>
              </w:tc>
              <w:tc>
                <w:tcPr>
                  <w:tcW w:w="330" w:type="pct"/>
                  <w:noWrap/>
                  <w:vAlign w:val="center"/>
                </w:tcPr>
                <w:p w14:paraId="37B93616">
                  <w:pPr>
                    <w:pStyle w:val="116"/>
                    <w:spacing w:line="240" w:lineRule="auto"/>
                    <w:ind w:firstLine="0" w:firstLineChars="0"/>
                    <w:rPr>
                      <w:rFonts w:cs="宋体"/>
                      <w:color w:val="auto"/>
                      <w:kern w:val="0"/>
                      <w:lang w:bidi="zh-TW"/>
                    </w:rPr>
                  </w:pPr>
                  <w:r>
                    <w:rPr>
                      <w:rFonts w:cs="宋体"/>
                      <w:color w:val="auto"/>
                      <w:kern w:val="0"/>
                      <w:lang w:bidi="zh-TW"/>
                    </w:rPr>
                    <w:t>符合</w:t>
                  </w:r>
                </w:p>
              </w:tc>
            </w:tr>
            <w:tr w14:paraId="2D84E61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331" w:type="pct"/>
                  <w:vMerge w:val="continue"/>
                  <w:noWrap/>
                  <w:vAlign w:val="center"/>
                </w:tcPr>
                <w:p w14:paraId="205BA378">
                  <w:pPr>
                    <w:pStyle w:val="116"/>
                    <w:spacing w:line="240" w:lineRule="auto"/>
                    <w:ind w:firstLine="0" w:firstLineChars="0"/>
                    <w:jc w:val="center"/>
                    <w:rPr>
                      <w:rFonts w:cs="宋体"/>
                      <w:color w:val="auto"/>
                      <w:kern w:val="0"/>
                    </w:rPr>
                  </w:pPr>
                </w:p>
              </w:tc>
              <w:tc>
                <w:tcPr>
                  <w:tcW w:w="541" w:type="pct"/>
                  <w:gridSpan w:val="2"/>
                  <w:noWrap/>
                  <w:vAlign w:val="center"/>
                </w:tcPr>
                <w:p w14:paraId="509D2D79">
                  <w:pPr>
                    <w:pStyle w:val="116"/>
                    <w:spacing w:line="240" w:lineRule="auto"/>
                    <w:ind w:firstLine="0" w:firstLineChars="0"/>
                    <w:jc w:val="center"/>
                    <w:rPr>
                      <w:rFonts w:cs="宋体"/>
                      <w:color w:val="auto"/>
                      <w:kern w:val="0"/>
                    </w:rPr>
                  </w:pPr>
                  <w:r>
                    <w:rPr>
                      <w:rFonts w:hint="eastAsia" w:cs="宋体"/>
                      <w:color w:val="auto"/>
                      <w:kern w:val="0"/>
                    </w:rPr>
                    <w:t>环境风险防控</w:t>
                  </w:r>
                </w:p>
              </w:tc>
              <w:tc>
                <w:tcPr>
                  <w:tcW w:w="2464" w:type="pct"/>
                  <w:noWrap/>
                  <w:vAlign w:val="center"/>
                </w:tcPr>
                <w:p w14:paraId="72C37AF1">
                  <w:pPr>
                    <w:pStyle w:val="116"/>
                    <w:spacing w:line="240" w:lineRule="auto"/>
                    <w:ind w:firstLine="0" w:firstLineChars="0"/>
                    <w:rPr>
                      <w:rFonts w:cs="宋体"/>
                      <w:color w:val="auto"/>
                      <w:kern w:val="0"/>
                    </w:rPr>
                  </w:pPr>
                  <w:r>
                    <w:rPr>
                      <w:rFonts w:cs="宋体"/>
                      <w:color w:val="auto"/>
                      <w:kern w:val="0"/>
                    </w:rPr>
                    <w:t>3</w:t>
                  </w:r>
                  <w:r>
                    <w:rPr>
                      <w:rFonts w:hint="eastAsia" w:cs="宋体"/>
                      <w:color w:val="auto"/>
                      <w:kern w:val="0"/>
                    </w:rPr>
                    <w:t>、产生、收集、贮存、运输、利用、处置危险废物的单位，应当依法制定意外事故的防范措施和应急预案，并向所在地生态环境主管部门和其他负有固体废物污染环境防治监督管理职责的部门备案。</w:t>
                  </w:r>
                </w:p>
              </w:tc>
              <w:tc>
                <w:tcPr>
                  <w:tcW w:w="1334" w:type="pct"/>
                  <w:noWrap/>
                  <w:vAlign w:val="center"/>
                </w:tcPr>
                <w:p w14:paraId="0AE19C07">
                  <w:pPr>
                    <w:pStyle w:val="116"/>
                    <w:spacing w:line="240" w:lineRule="auto"/>
                    <w:ind w:firstLine="0" w:firstLineChars="0"/>
                    <w:rPr>
                      <w:rFonts w:cs="宋体"/>
                      <w:color w:val="auto"/>
                      <w:kern w:val="0"/>
                    </w:rPr>
                  </w:pPr>
                  <w:r>
                    <w:rPr>
                      <w:rFonts w:cs="宋体"/>
                      <w:color w:val="auto"/>
                      <w:kern w:val="0"/>
                    </w:rPr>
                    <w:t>本项目制定严格的环境风险防范措施</w:t>
                  </w:r>
                  <w:r>
                    <w:rPr>
                      <w:rFonts w:hint="eastAsia" w:cs="宋体"/>
                      <w:color w:val="auto"/>
                      <w:kern w:val="0"/>
                    </w:rPr>
                    <w:t>，企业</w:t>
                  </w:r>
                  <w:r>
                    <w:rPr>
                      <w:rFonts w:cs="宋体"/>
                      <w:color w:val="auto"/>
                      <w:kern w:val="0"/>
                    </w:rPr>
                    <w:t>按照相关要求制定环境风险应急预案并备案</w:t>
                  </w:r>
                  <w:r>
                    <w:rPr>
                      <w:rFonts w:hint="eastAsia" w:cs="宋体"/>
                      <w:color w:val="auto"/>
                      <w:kern w:val="0"/>
                    </w:rPr>
                    <w:t>。</w:t>
                  </w:r>
                </w:p>
              </w:tc>
              <w:tc>
                <w:tcPr>
                  <w:tcW w:w="330" w:type="pct"/>
                  <w:noWrap/>
                  <w:vAlign w:val="center"/>
                </w:tcPr>
                <w:p w14:paraId="66CB701F">
                  <w:pPr>
                    <w:pStyle w:val="116"/>
                    <w:spacing w:line="240" w:lineRule="auto"/>
                    <w:ind w:firstLine="0" w:firstLineChars="0"/>
                    <w:rPr>
                      <w:rFonts w:cs="宋体"/>
                      <w:color w:val="auto"/>
                      <w:kern w:val="0"/>
                      <w:lang w:bidi="zh-TW"/>
                    </w:rPr>
                  </w:pPr>
                  <w:r>
                    <w:rPr>
                      <w:rFonts w:cs="宋体"/>
                      <w:color w:val="auto"/>
                      <w:kern w:val="0"/>
                      <w:lang w:bidi="zh-TW"/>
                    </w:rPr>
                    <w:t>符合</w:t>
                  </w:r>
                </w:p>
              </w:tc>
            </w:tr>
            <w:tr w14:paraId="39B2C1E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331" w:type="pct"/>
                  <w:vMerge w:val="restart"/>
                  <w:noWrap/>
                  <w:vAlign w:val="center"/>
                </w:tcPr>
                <w:p w14:paraId="143D44D5">
                  <w:pPr>
                    <w:pStyle w:val="116"/>
                    <w:spacing w:line="240" w:lineRule="auto"/>
                    <w:ind w:firstLine="0" w:firstLineChars="0"/>
                    <w:jc w:val="center"/>
                    <w:rPr>
                      <w:rFonts w:cs="宋体"/>
                      <w:color w:val="auto"/>
                      <w:kern w:val="0"/>
                    </w:rPr>
                  </w:pPr>
                  <w:r>
                    <w:rPr>
                      <w:rFonts w:cs="宋体"/>
                      <w:color w:val="auto"/>
                      <w:kern w:val="0"/>
                    </w:rPr>
                    <w:t>资源利用总体管控要求</w:t>
                  </w:r>
                </w:p>
              </w:tc>
              <w:tc>
                <w:tcPr>
                  <w:tcW w:w="270" w:type="pct"/>
                  <w:vMerge w:val="restart"/>
                  <w:noWrap/>
                  <w:vAlign w:val="center"/>
                </w:tcPr>
                <w:p w14:paraId="338D43AE">
                  <w:pPr>
                    <w:pStyle w:val="116"/>
                    <w:spacing w:line="240" w:lineRule="auto"/>
                    <w:ind w:firstLine="0" w:firstLineChars="0"/>
                    <w:jc w:val="center"/>
                    <w:rPr>
                      <w:rFonts w:cs="宋体"/>
                      <w:color w:val="auto"/>
                      <w:kern w:val="0"/>
                    </w:rPr>
                  </w:pPr>
                  <w:r>
                    <w:rPr>
                      <w:rFonts w:cs="宋体"/>
                      <w:color w:val="auto"/>
                      <w:kern w:val="0"/>
                    </w:rPr>
                    <w:t>水资源</w:t>
                  </w:r>
                </w:p>
              </w:tc>
              <w:tc>
                <w:tcPr>
                  <w:tcW w:w="271" w:type="pct"/>
                  <w:vAlign w:val="center"/>
                </w:tcPr>
                <w:p w14:paraId="0BFA9CE3">
                  <w:pPr>
                    <w:pStyle w:val="116"/>
                    <w:spacing w:line="240" w:lineRule="auto"/>
                    <w:ind w:firstLine="0" w:firstLineChars="0"/>
                    <w:jc w:val="center"/>
                    <w:rPr>
                      <w:rFonts w:cs="宋体"/>
                      <w:color w:val="auto"/>
                      <w:kern w:val="0"/>
                    </w:rPr>
                  </w:pPr>
                  <w:r>
                    <w:rPr>
                      <w:rFonts w:hint="eastAsia" w:cs="宋体"/>
                      <w:color w:val="auto"/>
                      <w:kern w:val="0"/>
                    </w:rPr>
                    <w:t>总量和强度要求</w:t>
                  </w:r>
                </w:p>
              </w:tc>
              <w:tc>
                <w:tcPr>
                  <w:tcW w:w="2464" w:type="pct"/>
                  <w:noWrap/>
                  <w:vAlign w:val="center"/>
                </w:tcPr>
                <w:p w14:paraId="6F0712C4">
                  <w:pPr>
                    <w:pStyle w:val="116"/>
                    <w:spacing w:line="240" w:lineRule="auto"/>
                    <w:ind w:firstLine="0" w:firstLineChars="0"/>
                    <w:rPr>
                      <w:rFonts w:cs="宋体"/>
                      <w:color w:val="auto"/>
                      <w:kern w:val="0"/>
                    </w:rPr>
                  </w:pPr>
                  <w:r>
                    <w:rPr>
                      <w:rFonts w:hint="eastAsia" w:cs="宋体"/>
                      <w:color w:val="auto"/>
                      <w:kern w:val="0"/>
                    </w:rPr>
                    <w:t>到</w:t>
                  </w:r>
                  <w:r>
                    <w:rPr>
                      <w:rFonts w:cs="宋体"/>
                      <w:color w:val="auto"/>
                      <w:kern w:val="0"/>
                    </w:rPr>
                    <w:t>2025</w:t>
                  </w:r>
                  <w:r>
                    <w:rPr>
                      <w:rFonts w:hint="eastAsia" w:cs="宋体"/>
                      <w:color w:val="auto"/>
                      <w:kern w:val="0"/>
                    </w:rPr>
                    <w:t>年，全市用水总量控制在</w:t>
                  </w:r>
                  <w:r>
                    <w:rPr>
                      <w:rFonts w:cs="宋体"/>
                      <w:color w:val="auto"/>
                      <w:kern w:val="0"/>
                    </w:rPr>
                    <w:t xml:space="preserve">28.48 </w:t>
                  </w:r>
                  <w:r>
                    <w:rPr>
                      <w:rFonts w:hint="eastAsia" w:cs="宋体"/>
                      <w:color w:val="auto"/>
                      <w:kern w:val="0"/>
                    </w:rPr>
                    <w:t>亿立方米以内；万元</w:t>
                  </w:r>
                  <w:r>
                    <w:rPr>
                      <w:rFonts w:cs="宋体"/>
                      <w:color w:val="auto"/>
                      <w:kern w:val="0"/>
                    </w:rPr>
                    <w:t xml:space="preserve">GDP </w:t>
                  </w:r>
                  <w:r>
                    <w:rPr>
                      <w:rFonts w:hint="eastAsia" w:cs="宋体"/>
                      <w:color w:val="auto"/>
                      <w:kern w:val="0"/>
                    </w:rPr>
                    <w:t>用水量规划目标值</w:t>
                  </w:r>
                  <w:r>
                    <w:rPr>
                      <w:rFonts w:cs="宋体"/>
                      <w:color w:val="auto"/>
                      <w:kern w:val="0"/>
                    </w:rPr>
                    <w:t>30.0m</w:t>
                  </w:r>
                  <w:r>
                    <w:rPr>
                      <w:rFonts w:hint="eastAsia" w:cs="宋体"/>
                      <w:color w:val="auto"/>
                      <w:kern w:val="0"/>
                      <w:vertAlign w:val="superscript"/>
                    </w:rPr>
                    <w:t>3</w:t>
                  </w:r>
                  <w:r>
                    <w:rPr>
                      <w:rFonts w:hint="eastAsia" w:cs="宋体"/>
                      <w:color w:val="auto"/>
                      <w:kern w:val="0"/>
                    </w:rPr>
                    <w:t>，较</w:t>
                  </w:r>
                  <w:r>
                    <w:rPr>
                      <w:rFonts w:cs="宋体"/>
                      <w:color w:val="auto"/>
                      <w:kern w:val="0"/>
                    </w:rPr>
                    <w:t>2020</w:t>
                  </w:r>
                  <w:r>
                    <w:rPr>
                      <w:rFonts w:hint="eastAsia" w:cs="宋体"/>
                      <w:color w:val="auto"/>
                      <w:kern w:val="0"/>
                    </w:rPr>
                    <w:t>年下降率为</w:t>
                  </w:r>
                  <w:r>
                    <w:rPr>
                      <w:rFonts w:cs="宋体"/>
                      <w:color w:val="auto"/>
                      <w:kern w:val="0"/>
                    </w:rPr>
                    <w:t>7.4%</w:t>
                  </w:r>
                  <w:r>
                    <w:rPr>
                      <w:rFonts w:hint="eastAsia" w:cs="宋体"/>
                      <w:color w:val="auto"/>
                      <w:kern w:val="0"/>
                    </w:rPr>
                    <w:t>；万元工业增加值用水量较</w:t>
                  </w:r>
                  <w:r>
                    <w:rPr>
                      <w:rFonts w:cs="宋体"/>
                      <w:color w:val="auto"/>
                      <w:kern w:val="0"/>
                    </w:rPr>
                    <w:t>2020</w:t>
                  </w:r>
                  <w:r>
                    <w:rPr>
                      <w:rFonts w:hint="eastAsia" w:cs="宋体"/>
                      <w:color w:val="auto"/>
                      <w:kern w:val="0"/>
                    </w:rPr>
                    <w:t>年下降</w:t>
                  </w:r>
                  <w:r>
                    <w:rPr>
                      <w:rFonts w:cs="宋体"/>
                      <w:color w:val="auto"/>
                      <w:kern w:val="0"/>
                    </w:rPr>
                    <w:t>14.4%</w:t>
                  </w:r>
                  <w:r>
                    <w:rPr>
                      <w:rFonts w:hint="eastAsia" w:cs="宋体"/>
                      <w:color w:val="auto"/>
                      <w:kern w:val="0"/>
                    </w:rPr>
                    <w:t>；农田灌溉水有效利用系数提高到</w:t>
                  </w:r>
                  <w:r>
                    <w:rPr>
                      <w:rFonts w:cs="宋体"/>
                      <w:color w:val="auto"/>
                      <w:kern w:val="0"/>
                    </w:rPr>
                    <w:t>0.6766</w:t>
                  </w:r>
                  <w:r>
                    <w:rPr>
                      <w:rFonts w:hint="eastAsia" w:cs="宋体"/>
                      <w:color w:val="auto"/>
                      <w:kern w:val="0"/>
                    </w:rPr>
                    <w:t>以上；城市公共供水管网漏损率控制在</w:t>
                  </w:r>
                  <w:r>
                    <w:rPr>
                      <w:rFonts w:cs="宋体"/>
                      <w:color w:val="auto"/>
                      <w:kern w:val="0"/>
                    </w:rPr>
                    <w:t>10%</w:t>
                  </w:r>
                  <w:r>
                    <w:rPr>
                      <w:rFonts w:hint="eastAsia" w:cs="宋体"/>
                      <w:color w:val="auto"/>
                      <w:kern w:val="0"/>
                    </w:rPr>
                    <w:t>以内。</w:t>
                  </w:r>
                </w:p>
              </w:tc>
              <w:tc>
                <w:tcPr>
                  <w:tcW w:w="1334" w:type="pct"/>
                  <w:vMerge w:val="restart"/>
                  <w:noWrap/>
                  <w:vAlign w:val="center"/>
                </w:tcPr>
                <w:p w14:paraId="59B44A23">
                  <w:pPr>
                    <w:pStyle w:val="116"/>
                    <w:spacing w:line="240" w:lineRule="auto"/>
                    <w:ind w:firstLine="0" w:firstLineChars="0"/>
                    <w:rPr>
                      <w:rFonts w:cs="宋体"/>
                      <w:color w:val="auto"/>
                      <w:kern w:val="0"/>
                    </w:rPr>
                  </w:pPr>
                  <w:r>
                    <w:rPr>
                      <w:rFonts w:cs="宋体"/>
                      <w:color w:val="auto"/>
                      <w:kern w:val="0"/>
                    </w:rPr>
                    <w:t>本项目</w:t>
                  </w:r>
                  <w:r>
                    <w:rPr>
                      <w:rFonts w:hint="eastAsia" w:cs="宋体"/>
                      <w:color w:val="auto"/>
                      <w:kern w:val="0"/>
                      <w:lang w:eastAsia="zh-CN"/>
                    </w:rPr>
                    <w:t>生产用水主要为设备循环冷却用水，生产废水循环使用</w:t>
                  </w:r>
                  <w:r>
                    <w:rPr>
                      <w:rFonts w:hint="eastAsia" w:cs="宋体"/>
                      <w:color w:val="auto"/>
                      <w:kern w:val="0"/>
                      <w:highlight w:val="none"/>
                    </w:rPr>
                    <w:t>，不新增</w:t>
                  </w:r>
                  <w:r>
                    <w:rPr>
                      <w:rFonts w:cs="宋体"/>
                      <w:color w:val="auto"/>
                      <w:kern w:val="0"/>
                      <w:highlight w:val="none"/>
                    </w:rPr>
                    <w:t>劳动定员</w:t>
                  </w:r>
                  <w:r>
                    <w:rPr>
                      <w:rFonts w:hint="eastAsia" w:cs="宋体"/>
                      <w:color w:val="auto"/>
                      <w:kern w:val="0"/>
                      <w:highlight w:val="none"/>
                    </w:rPr>
                    <w:t>，不新增</w:t>
                  </w:r>
                  <w:r>
                    <w:rPr>
                      <w:rFonts w:cs="宋体"/>
                      <w:color w:val="auto"/>
                      <w:kern w:val="0"/>
                      <w:highlight w:val="none"/>
                    </w:rPr>
                    <w:t>生活</w:t>
                  </w:r>
                  <w:r>
                    <w:rPr>
                      <w:rFonts w:hint="eastAsia" w:cs="宋体"/>
                      <w:color w:val="auto"/>
                      <w:kern w:val="0"/>
                      <w:highlight w:val="none"/>
                    </w:rPr>
                    <w:t>用</w:t>
                  </w:r>
                  <w:r>
                    <w:rPr>
                      <w:rFonts w:cs="宋体"/>
                      <w:color w:val="auto"/>
                      <w:kern w:val="0"/>
                      <w:highlight w:val="none"/>
                    </w:rPr>
                    <w:t>水</w:t>
                  </w:r>
                  <w:r>
                    <w:rPr>
                      <w:rFonts w:hint="eastAsia" w:cs="宋体"/>
                      <w:color w:val="auto"/>
                      <w:kern w:val="0"/>
                      <w:highlight w:val="none"/>
                    </w:rPr>
                    <w:t>。</w:t>
                  </w:r>
                </w:p>
              </w:tc>
              <w:tc>
                <w:tcPr>
                  <w:tcW w:w="330" w:type="pct"/>
                  <w:vMerge w:val="restart"/>
                  <w:noWrap/>
                  <w:vAlign w:val="center"/>
                </w:tcPr>
                <w:p w14:paraId="59D627CA">
                  <w:pPr>
                    <w:pStyle w:val="116"/>
                    <w:spacing w:line="240" w:lineRule="auto"/>
                    <w:ind w:firstLine="0" w:firstLineChars="0"/>
                    <w:rPr>
                      <w:rFonts w:cs="宋体"/>
                      <w:color w:val="auto"/>
                      <w:kern w:val="0"/>
                      <w:lang w:bidi="zh-TW"/>
                    </w:rPr>
                  </w:pPr>
                  <w:r>
                    <w:rPr>
                      <w:rFonts w:cs="宋体"/>
                      <w:color w:val="auto"/>
                      <w:kern w:val="0"/>
                      <w:lang w:bidi="zh-TW"/>
                    </w:rPr>
                    <w:t>符合</w:t>
                  </w:r>
                </w:p>
              </w:tc>
            </w:tr>
            <w:tr w14:paraId="26B577B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331" w:type="pct"/>
                  <w:vMerge w:val="continue"/>
                  <w:noWrap/>
                  <w:vAlign w:val="center"/>
                </w:tcPr>
                <w:p w14:paraId="51544816">
                  <w:pPr>
                    <w:pStyle w:val="116"/>
                    <w:spacing w:line="240" w:lineRule="auto"/>
                    <w:ind w:firstLine="0" w:firstLineChars="0"/>
                    <w:jc w:val="center"/>
                    <w:rPr>
                      <w:rFonts w:cs="宋体"/>
                      <w:color w:val="auto"/>
                      <w:kern w:val="0"/>
                    </w:rPr>
                  </w:pPr>
                </w:p>
              </w:tc>
              <w:tc>
                <w:tcPr>
                  <w:tcW w:w="270" w:type="pct"/>
                  <w:vMerge w:val="continue"/>
                  <w:noWrap/>
                  <w:vAlign w:val="center"/>
                </w:tcPr>
                <w:p w14:paraId="468B6CAF">
                  <w:pPr>
                    <w:pStyle w:val="116"/>
                    <w:spacing w:line="240" w:lineRule="auto"/>
                    <w:ind w:firstLine="0" w:firstLineChars="0"/>
                    <w:jc w:val="center"/>
                    <w:rPr>
                      <w:rFonts w:cs="宋体"/>
                      <w:color w:val="auto"/>
                      <w:kern w:val="0"/>
                    </w:rPr>
                  </w:pPr>
                </w:p>
              </w:tc>
              <w:tc>
                <w:tcPr>
                  <w:tcW w:w="271" w:type="pct"/>
                  <w:vAlign w:val="center"/>
                </w:tcPr>
                <w:p w14:paraId="696956FA">
                  <w:pPr>
                    <w:pStyle w:val="116"/>
                    <w:spacing w:line="240" w:lineRule="auto"/>
                    <w:ind w:firstLine="0" w:firstLineChars="0"/>
                    <w:jc w:val="center"/>
                    <w:rPr>
                      <w:rFonts w:cs="宋体"/>
                      <w:color w:val="auto"/>
                      <w:kern w:val="0"/>
                    </w:rPr>
                  </w:pPr>
                  <w:r>
                    <w:rPr>
                      <w:rFonts w:hint="eastAsia" w:cs="宋体"/>
                      <w:color w:val="auto"/>
                      <w:kern w:val="0"/>
                    </w:rPr>
                    <w:t>资源利用效率要</w:t>
                  </w:r>
                </w:p>
              </w:tc>
              <w:tc>
                <w:tcPr>
                  <w:tcW w:w="2464" w:type="pct"/>
                  <w:noWrap/>
                  <w:vAlign w:val="center"/>
                </w:tcPr>
                <w:p w14:paraId="7A0D18A3">
                  <w:pPr>
                    <w:pStyle w:val="116"/>
                    <w:spacing w:line="240" w:lineRule="auto"/>
                    <w:ind w:firstLine="0" w:firstLineChars="0"/>
                    <w:rPr>
                      <w:rFonts w:cs="宋体"/>
                      <w:color w:val="auto"/>
                      <w:kern w:val="0"/>
                    </w:rPr>
                  </w:pPr>
                  <w:r>
                    <w:rPr>
                      <w:rFonts w:cs="宋体"/>
                      <w:color w:val="auto"/>
                      <w:kern w:val="0"/>
                    </w:rPr>
                    <w:t>3</w:t>
                  </w:r>
                  <w:r>
                    <w:rPr>
                      <w:rFonts w:hint="eastAsia" w:cs="宋体"/>
                      <w:color w:val="auto"/>
                      <w:kern w:val="0"/>
                    </w:rPr>
                    <w:t>、把节水作为水资源开发、利用、保护、配置、调度的前提，加强水资源调度管理。开展城镇后备水源建设，大力开发利用非常规水源，提高水资源的利用效率和效益。</w:t>
                  </w:r>
                </w:p>
              </w:tc>
              <w:tc>
                <w:tcPr>
                  <w:tcW w:w="1334" w:type="pct"/>
                  <w:vMerge w:val="continue"/>
                  <w:noWrap/>
                  <w:vAlign w:val="center"/>
                </w:tcPr>
                <w:p w14:paraId="009BA64C">
                  <w:pPr>
                    <w:pStyle w:val="116"/>
                    <w:spacing w:line="240" w:lineRule="auto"/>
                    <w:ind w:firstLine="0" w:firstLineChars="0"/>
                    <w:rPr>
                      <w:rFonts w:cs="宋体"/>
                      <w:color w:val="auto"/>
                      <w:kern w:val="0"/>
                    </w:rPr>
                  </w:pPr>
                </w:p>
              </w:tc>
              <w:tc>
                <w:tcPr>
                  <w:tcW w:w="330" w:type="pct"/>
                  <w:vMerge w:val="continue"/>
                  <w:noWrap/>
                  <w:vAlign w:val="center"/>
                </w:tcPr>
                <w:p w14:paraId="6233D700">
                  <w:pPr>
                    <w:pStyle w:val="116"/>
                    <w:spacing w:line="240" w:lineRule="auto"/>
                    <w:ind w:firstLine="0" w:firstLineChars="0"/>
                    <w:rPr>
                      <w:rFonts w:cs="宋体"/>
                      <w:color w:val="auto"/>
                      <w:kern w:val="0"/>
                      <w:lang w:bidi="zh-TW"/>
                    </w:rPr>
                  </w:pPr>
                </w:p>
              </w:tc>
            </w:tr>
            <w:tr w14:paraId="3F15052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331" w:type="pct"/>
                  <w:vMerge w:val="continue"/>
                  <w:noWrap/>
                  <w:vAlign w:val="center"/>
                </w:tcPr>
                <w:p w14:paraId="169F394E">
                  <w:pPr>
                    <w:pStyle w:val="116"/>
                    <w:spacing w:line="240" w:lineRule="auto"/>
                    <w:ind w:firstLine="0" w:firstLineChars="0"/>
                    <w:jc w:val="center"/>
                    <w:rPr>
                      <w:rFonts w:cs="宋体"/>
                      <w:color w:val="auto"/>
                      <w:kern w:val="0"/>
                    </w:rPr>
                  </w:pPr>
                </w:p>
              </w:tc>
              <w:tc>
                <w:tcPr>
                  <w:tcW w:w="270" w:type="pct"/>
                  <w:vMerge w:val="restart"/>
                  <w:noWrap/>
                  <w:vAlign w:val="center"/>
                </w:tcPr>
                <w:p w14:paraId="6791106C">
                  <w:pPr>
                    <w:pStyle w:val="116"/>
                    <w:spacing w:line="240" w:lineRule="auto"/>
                    <w:ind w:firstLine="0" w:firstLineChars="0"/>
                    <w:jc w:val="center"/>
                    <w:rPr>
                      <w:rFonts w:cs="宋体"/>
                      <w:color w:val="auto"/>
                      <w:kern w:val="0"/>
                    </w:rPr>
                  </w:pPr>
                  <w:r>
                    <w:rPr>
                      <w:rFonts w:cs="宋体"/>
                      <w:color w:val="auto"/>
                      <w:kern w:val="0"/>
                    </w:rPr>
                    <w:t>能源</w:t>
                  </w:r>
                </w:p>
              </w:tc>
              <w:tc>
                <w:tcPr>
                  <w:tcW w:w="271" w:type="pct"/>
                  <w:vAlign w:val="center"/>
                </w:tcPr>
                <w:p w14:paraId="067B98FE">
                  <w:pPr>
                    <w:pStyle w:val="116"/>
                    <w:spacing w:line="240" w:lineRule="auto"/>
                    <w:ind w:firstLine="0" w:firstLineChars="0"/>
                    <w:jc w:val="center"/>
                    <w:rPr>
                      <w:rFonts w:cs="宋体"/>
                      <w:color w:val="auto"/>
                      <w:kern w:val="0"/>
                    </w:rPr>
                  </w:pPr>
                  <w:r>
                    <w:rPr>
                      <w:rFonts w:hint="eastAsia" w:cs="宋体"/>
                      <w:color w:val="auto"/>
                      <w:kern w:val="0"/>
                    </w:rPr>
                    <w:t>总量和强度要求</w:t>
                  </w:r>
                </w:p>
              </w:tc>
              <w:tc>
                <w:tcPr>
                  <w:tcW w:w="2464" w:type="pct"/>
                  <w:noWrap/>
                  <w:vAlign w:val="center"/>
                </w:tcPr>
                <w:p w14:paraId="38A2769D">
                  <w:pPr>
                    <w:pStyle w:val="116"/>
                    <w:spacing w:line="240" w:lineRule="auto"/>
                    <w:ind w:firstLine="0" w:firstLineChars="0"/>
                    <w:rPr>
                      <w:rFonts w:cs="宋体"/>
                      <w:color w:val="auto"/>
                      <w:kern w:val="0"/>
                    </w:rPr>
                  </w:pPr>
                  <w:r>
                    <w:rPr>
                      <w:rFonts w:hint="eastAsia" w:cs="宋体"/>
                      <w:color w:val="auto"/>
                      <w:kern w:val="0"/>
                    </w:rPr>
                    <w:t>到</w:t>
                  </w:r>
                  <w:r>
                    <w:rPr>
                      <w:rFonts w:cs="宋体"/>
                      <w:color w:val="auto"/>
                      <w:kern w:val="0"/>
                    </w:rPr>
                    <w:t>2025</w:t>
                  </w:r>
                  <w:r>
                    <w:rPr>
                      <w:rFonts w:hint="eastAsia" w:cs="宋体"/>
                      <w:color w:val="auto"/>
                      <w:kern w:val="0"/>
                    </w:rPr>
                    <w:t>年，全市单位地区生产总值能耗、煤炭消费量比</w:t>
                  </w:r>
                  <w:r>
                    <w:rPr>
                      <w:rFonts w:cs="宋体"/>
                      <w:color w:val="auto"/>
                      <w:kern w:val="0"/>
                    </w:rPr>
                    <w:t>2020</w:t>
                  </w:r>
                  <w:r>
                    <w:rPr>
                      <w:rFonts w:hint="eastAsia" w:cs="宋体"/>
                      <w:color w:val="auto"/>
                      <w:kern w:val="0"/>
                    </w:rPr>
                    <w:t>年分别下降</w:t>
                  </w:r>
                  <w:r>
                    <w:rPr>
                      <w:rFonts w:cs="宋体"/>
                      <w:color w:val="auto"/>
                      <w:kern w:val="0"/>
                    </w:rPr>
                    <w:t>19%</w:t>
                  </w:r>
                  <w:r>
                    <w:rPr>
                      <w:rFonts w:hint="eastAsia" w:cs="宋体"/>
                      <w:color w:val="auto"/>
                      <w:kern w:val="0"/>
                    </w:rPr>
                    <w:t>和</w:t>
                  </w:r>
                  <w:r>
                    <w:rPr>
                      <w:rFonts w:cs="宋体"/>
                      <w:color w:val="auto"/>
                      <w:kern w:val="0"/>
                    </w:rPr>
                    <w:t>10%</w:t>
                  </w:r>
                  <w:r>
                    <w:rPr>
                      <w:rFonts w:hint="eastAsia" w:cs="宋体"/>
                      <w:color w:val="auto"/>
                      <w:kern w:val="0"/>
                    </w:rPr>
                    <w:t>；非化石能源占能源消费总量比重达到</w:t>
                  </w:r>
                  <w:r>
                    <w:rPr>
                      <w:rFonts w:cs="宋体"/>
                      <w:color w:val="auto"/>
                      <w:kern w:val="0"/>
                    </w:rPr>
                    <w:t>1.3</w:t>
                  </w:r>
                  <w:r>
                    <w:rPr>
                      <w:rFonts w:hint="eastAsia" w:cs="宋体"/>
                      <w:color w:val="auto"/>
                      <w:kern w:val="0"/>
                    </w:rPr>
                    <w:t>％左右。</w:t>
                  </w:r>
                </w:p>
              </w:tc>
              <w:tc>
                <w:tcPr>
                  <w:tcW w:w="1334" w:type="pct"/>
                  <w:noWrap/>
                  <w:vAlign w:val="center"/>
                </w:tcPr>
                <w:p w14:paraId="4C53BE8F">
                  <w:pPr>
                    <w:pStyle w:val="116"/>
                    <w:spacing w:line="240" w:lineRule="auto"/>
                    <w:ind w:firstLine="0" w:firstLineChars="0"/>
                    <w:rPr>
                      <w:rFonts w:cs="宋体"/>
                      <w:color w:val="auto"/>
                      <w:kern w:val="0"/>
                    </w:rPr>
                  </w:pPr>
                  <w:r>
                    <w:rPr>
                      <w:rFonts w:cs="宋体"/>
                      <w:color w:val="auto"/>
                      <w:kern w:val="0"/>
                    </w:rPr>
                    <w:t>本项目主要使用电能</w:t>
                  </w:r>
                  <w:r>
                    <w:rPr>
                      <w:rFonts w:hint="eastAsia" w:cs="宋体"/>
                      <w:color w:val="auto"/>
                      <w:kern w:val="0"/>
                      <w:lang w:val="en-US" w:eastAsia="zh-CN"/>
                    </w:rPr>
                    <w:t>和天然气</w:t>
                  </w:r>
                  <w:r>
                    <w:rPr>
                      <w:rFonts w:hint="eastAsia" w:cs="宋体"/>
                      <w:color w:val="auto"/>
                      <w:kern w:val="0"/>
                    </w:rPr>
                    <w:t>，</w:t>
                  </w:r>
                  <w:r>
                    <w:rPr>
                      <w:rFonts w:cs="宋体"/>
                      <w:color w:val="auto"/>
                      <w:kern w:val="0"/>
                    </w:rPr>
                    <w:t>选用节能设备</w:t>
                  </w:r>
                  <w:r>
                    <w:rPr>
                      <w:rFonts w:hint="eastAsia" w:cs="宋体"/>
                      <w:color w:val="auto"/>
                      <w:kern w:val="0"/>
                    </w:rPr>
                    <w:t>，生产过程中加强节能管理，节约能源消耗。</w:t>
                  </w:r>
                </w:p>
              </w:tc>
              <w:tc>
                <w:tcPr>
                  <w:tcW w:w="330" w:type="pct"/>
                  <w:noWrap/>
                  <w:vAlign w:val="center"/>
                </w:tcPr>
                <w:p w14:paraId="234A52F9">
                  <w:pPr>
                    <w:pStyle w:val="116"/>
                    <w:spacing w:line="240" w:lineRule="auto"/>
                    <w:ind w:firstLine="0" w:firstLineChars="0"/>
                    <w:rPr>
                      <w:rFonts w:cs="宋体"/>
                      <w:color w:val="auto"/>
                      <w:kern w:val="0"/>
                      <w:lang w:bidi="zh-TW"/>
                    </w:rPr>
                  </w:pPr>
                  <w:r>
                    <w:rPr>
                      <w:rFonts w:cs="宋体"/>
                      <w:color w:val="auto"/>
                      <w:kern w:val="0"/>
                      <w:lang w:bidi="zh-TW"/>
                    </w:rPr>
                    <w:t>符合</w:t>
                  </w:r>
                </w:p>
              </w:tc>
            </w:tr>
            <w:tr w14:paraId="70086C3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331" w:type="pct"/>
                  <w:vMerge w:val="continue"/>
                  <w:noWrap/>
                  <w:vAlign w:val="center"/>
                </w:tcPr>
                <w:p w14:paraId="3903F993">
                  <w:pPr>
                    <w:pStyle w:val="116"/>
                    <w:spacing w:line="240" w:lineRule="auto"/>
                    <w:ind w:firstLine="0" w:firstLineChars="0"/>
                    <w:jc w:val="center"/>
                    <w:rPr>
                      <w:rFonts w:cs="宋体"/>
                      <w:color w:val="auto"/>
                      <w:kern w:val="0"/>
                    </w:rPr>
                  </w:pPr>
                </w:p>
              </w:tc>
              <w:tc>
                <w:tcPr>
                  <w:tcW w:w="270" w:type="pct"/>
                  <w:vMerge w:val="continue"/>
                  <w:noWrap/>
                  <w:vAlign w:val="center"/>
                </w:tcPr>
                <w:p w14:paraId="56070247">
                  <w:pPr>
                    <w:pStyle w:val="116"/>
                    <w:spacing w:line="240" w:lineRule="auto"/>
                    <w:ind w:firstLine="0" w:firstLineChars="0"/>
                    <w:jc w:val="center"/>
                    <w:rPr>
                      <w:rFonts w:cs="宋体"/>
                      <w:color w:val="auto"/>
                      <w:kern w:val="0"/>
                    </w:rPr>
                  </w:pPr>
                </w:p>
              </w:tc>
              <w:tc>
                <w:tcPr>
                  <w:tcW w:w="271" w:type="pct"/>
                  <w:vAlign w:val="center"/>
                </w:tcPr>
                <w:p w14:paraId="771D427F">
                  <w:pPr>
                    <w:pStyle w:val="116"/>
                    <w:spacing w:line="240" w:lineRule="auto"/>
                    <w:ind w:firstLine="0" w:firstLineChars="0"/>
                    <w:jc w:val="center"/>
                    <w:rPr>
                      <w:rFonts w:cs="宋体"/>
                      <w:color w:val="auto"/>
                      <w:kern w:val="0"/>
                    </w:rPr>
                  </w:pPr>
                  <w:r>
                    <w:rPr>
                      <w:rFonts w:hint="eastAsia" w:cs="宋体"/>
                      <w:color w:val="auto"/>
                      <w:kern w:val="0"/>
                    </w:rPr>
                    <w:t>资源利用效率要求</w:t>
                  </w:r>
                </w:p>
              </w:tc>
              <w:tc>
                <w:tcPr>
                  <w:tcW w:w="2464" w:type="pct"/>
                  <w:noWrap/>
                  <w:vAlign w:val="center"/>
                </w:tcPr>
                <w:p w14:paraId="0B64280D">
                  <w:pPr>
                    <w:pStyle w:val="116"/>
                    <w:spacing w:line="240" w:lineRule="auto"/>
                    <w:ind w:firstLine="0" w:firstLineChars="0"/>
                    <w:rPr>
                      <w:rFonts w:cs="宋体"/>
                      <w:color w:val="auto"/>
                      <w:kern w:val="0"/>
                    </w:rPr>
                  </w:pPr>
                  <w:r>
                    <w:rPr>
                      <w:rFonts w:cs="宋体"/>
                      <w:color w:val="auto"/>
                      <w:kern w:val="0"/>
                    </w:rPr>
                    <w:t>1</w:t>
                  </w:r>
                  <w:r>
                    <w:rPr>
                      <w:rFonts w:hint="eastAsia" w:cs="宋体"/>
                      <w:color w:val="auto"/>
                      <w:kern w:val="0"/>
                    </w:rPr>
                    <w:t>、禁燃区内不得新建燃烧煤炭、重油、渣油等高污染燃料的设施；现有燃烧高污染燃料的设施，应当限期改用清洁能源；未改用清洁能源替代的高污染燃料设施，应当配套建设先进工艺的脱硫、脱硝、除尘装置或者采取其他措施，控制二氧化硫、氮氧化物和烟尘等排放；仍未达到大气污染物排放标准的，应当停止使用。禁燃区内禁止原煤散烧。</w:t>
                  </w:r>
                </w:p>
              </w:tc>
              <w:tc>
                <w:tcPr>
                  <w:tcW w:w="1334" w:type="pct"/>
                  <w:noWrap/>
                  <w:vAlign w:val="center"/>
                </w:tcPr>
                <w:p w14:paraId="1A02F6D5">
                  <w:pPr>
                    <w:pStyle w:val="116"/>
                    <w:spacing w:line="240" w:lineRule="auto"/>
                    <w:ind w:firstLine="0" w:firstLineChars="0"/>
                    <w:rPr>
                      <w:rFonts w:cs="宋体"/>
                      <w:color w:val="auto"/>
                      <w:kern w:val="0"/>
                    </w:rPr>
                  </w:pPr>
                  <w:r>
                    <w:rPr>
                      <w:rFonts w:cs="宋体"/>
                      <w:color w:val="auto"/>
                      <w:kern w:val="0"/>
                    </w:rPr>
                    <w:t>本项目不涉及</w:t>
                  </w:r>
                  <w:r>
                    <w:rPr>
                      <w:rFonts w:hint="eastAsia" w:cs="宋体"/>
                      <w:color w:val="auto"/>
                      <w:kern w:val="0"/>
                    </w:rPr>
                    <w:t>。</w:t>
                  </w:r>
                </w:p>
              </w:tc>
              <w:tc>
                <w:tcPr>
                  <w:tcW w:w="330" w:type="pct"/>
                  <w:noWrap/>
                  <w:vAlign w:val="center"/>
                </w:tcPr>
                <w:p w14:paraId="7C80774B">
                  <w:pPr>
                    <w:pStyle w:val="116"/>
                    <w:spacing w:line="240" w:lineRule="auto"/>
                    <w:ind w:firstLine="0" w:firstLineChars="0"/>
                    <w:rPr>
                      <w:rFonts w:cs="宋体"/>
                      <w:color w:val="auto"/>
                      <w:kern w:val="0"/>
                      <w:lang w:bidi="zh-TW"/>
                    </w:rPr>
                  </w:pPr>
                  <w:r>
                    <w:rPr>
                      <w:rFonts w:cs="宋体"/>
                      <w:color w:val="auto"/>
                      <w:kern w:val="0"/>
                      <w:lang w:bidi="zh-TW"/>
                    </w:rPr>
                    <w:t>符合</w:t>
                  </w:r>
                </w:p>
              </w:tc>
            </w:tr>
            <w:tr w14:paraId="6ABA1B0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331" w:type="pct"/>
                  <w:vMerge w:val="restart"/>
                  <w:noWrap/>
                  <w:vAlign w:val="center"/>
                </w:tcPr>
                <w:p w14:paraId="3D267716">
                  <w:pPr>
                    <w:pStyle w:val="116"/>
                    <w:spacing w:line="240" w:lineRule="auto"/>
                    <w:ind w:firstLine="0" w:firstLineChars="0"/>
                    <w:jc w:val="center"/>
                    <w:rPr>
                      <w:rFonts w:cs="宋体"/>
                      <w:color w:val="auto"/>
                      <w:kern w:val="0"/>
                    </w:rPr>
                  </w:pPr>
                  <w:r>
                    <w:rPr>
                      <w:rFonts w:hint="eastAsia" w:cs="宋体"/>
                      <w:color w:val="auto"/>
                      <w:kern w:val="0"/>
                    </w:rPr>
                    <w:t>产业总体布局要求</w:t>
                  </w:r>
                </w:p>
              </w:tc>
              <w:tc>
                <w:tcPr>
                  <w:tcW w:w="541" w:type="pct"/>
                  <w:gridSpan w:val="2"/>
                  <w:vMerge w:val="restart"/>
                  <w:noWrap/>
                  <w:vAlign w:val="center"/>
                </w:tcPr>
                <w:p w14:paraId="1B8D7A1A">
                  <w:pPr>
                    <w:pStyle w:val="116"/>
                    <w:spacing w:line="240" w:lineRule="auto"/>
                    <w:ind w:firstLine="0" w:firstLineChars="0"/>
                    <w:jc w:val="center"/>
                    <w:rPr>
                      <w:rFonts w:cs="宋体"/>
                      <w:color w:val="auto"/>
                      <w:kern w:val="0"/>
                    </w:rPr>
                  </w:pPr>
                  <w:r>
                    <w:rPr>
                      <w:rFonts w:hint="eastAsia" w:cs="宋体"/>
                      <w:color w:val="auto"/>
                      <w:kern w:val="0"/>
                    </w:rPr>
                    <w:t>空间布局约束</w:t>
                  </w:r>
                </w:p>
              </w:tc>
              <w:tc>
                <w:tcPr>
                  <w:tcW w:w="2464" w:type="pct"/>
                  <w:noWrap/>
                  <w:vAlign w:val="center"/>
                </w:tcPr>
                <w:p w14:paraId="44842AA9">
                  <w:pPr>
                    <w:pStyle w:val="116"/>
                    <w:spacing w:line="240" w:lineRule="auto"/>
                    <w:ind w:firstLine="0" w:firstLineChars="0"/>
                    <w:rPr>
                      <w:rFonts w:cs="宋体"/>
                      <w:color w:val="auto"/>
                      <w:kern w:val="0"/>
                    </w:rPr>
                  </w:pPr>
                  <w:r>
                    <w:rPr>
                      <w:rFonts w:cs="宋体"/>
                      <w:color w:val="auto"/>
                      <w:kern w:val="0"/>
                    </w:rPr>
                    <w:t>1</w:t>
                  </w:r>
                  <w:r>
                    <w:rPr>
                      <w:rFonts w:hint="eastAsia" w:cs="宋体"/>
                      <w:color w:val="auto"/>
                      <w:kern w:val="0"/>
                    </w:rPr>
                    <w:t>、严格执行《产业结构调整指导目录》《市场准入负面清单》《河北省禁止投资的产业目录》相关要求。</w:t>
                  </w:r>
                </w:p>
              </w:tc>
              <w:tc>
                <w:tcPr>
                  <w:tcW w:w="1334" w:type="pct"/>
                  <w:noWrap/>
                  <w:vAlign w:val="center"/>
                </w:tcPr>
                <w:p w14:paraId="2F0ED5F0">
                  <w:pPr>
                    <w:pStyle w:val="116"/>
                    <w:spacing w:line="240" w:lineRule="auto"/>
                    <w:ind w:firstLine="0" w:firstLineChars="0"/>
                    <w:rPr>
                      <w:rFonts w:cs="宋体"/>
                      <w:color w:val="auto"/>
                      <w:kern w:val="0"/>
                    </w:rPr>
                  </w:pPr>
                  <w:r>
                    <w:rPr>
                      <w:rFonts w:hint="eastAsia" w:cs="宋体"/>
                      <w:color w:val="auto"/>
                      <w:kern w:val="0"/>
                    </w:rPr>
                    <w:t>本项目</w:t>
                  </w:r>
                  <w:r>
                    <w:rPr>
                      <w:rFonts w:hint="eastAsia" w:cs="宋体"/>
                      <w:color w:val="auto"/>
                      <w:kern w:val="0"/>
                      <w:lang w:val="en-US" w:eastAsia="zh-CN"/>
                    </w:rPr>
                    <w:t>符合</w:t>
                  </w:r>
                  <w:r>
                    <w:rPr>
                      <w:rFonts w:hint="eastAsia" w:cs="宋体"/>
                      <w:color w:val="auto"/>
                      <w:kern w:val="0"/>
                    </w:rPr>
                    <w:t>《产业结构调整指导目录》《市场准入负面清单》《河北省禁止投资的产业目录》相关要求。</w:t>
                  </w:r>
                </w:p>
              </w:tc>
              <w:tc>
                <w:tcPr>
                  <w:tcW w:w="330" w:type="pct"/>
                  <w:noWrap/>
                  <w:vAlign w:val="center"/>
                </w:tcPr>
                <w:p w14:paraId="1E641E4D">
                  <w:pPr>
                    <w:pStyle w:val="116"/>
                    <w:spacing w:line="240" w:lineRule="auto"/>
                    <w:ind w:firstLine="0" w:firstLineChars="0"/>
                    <w:rPr>
                      <w:rFonts w:cs="宋体"/>
                      <w:color w:val="auto"/>
                      <w:kern w:val="0"/>
                      <w:lang w:bidi="zh-TW"/>
                    </w:rPr>
                  </w:pPr>
                  <w:r>
                    <w:rPr>
                      <w:rFonts w:cs="宋体"/>
                      <w:color w:val="auto"/>
                      <w:kern w:val="0"/>
                      <w:lang w:bidi="zh-TW"/>
                    </w:rPr>
                    <w:t>符合</w:t>
                  </w:r>
                </w:p>
              </w:tc>
            </w:tr>
            <w:tr w14:paraId="6945465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331" w:type="pct"/>
                  <w:vMerge w:val="continue"/>
                  <w:noWrap/>
                  <w:vAlign w:val="center"/>
                </w:tcPr>
                <w:p w14:paraId="482C5068">
                  <w:pPr>
                    <w:pStyle w:val="116"/>
                    <w:spacing w:line="240" w:lineRule="auto"/>
                    <w:ind w:firstLine="0" w:firstLineChars="0"/>
                    <w:jc w:val="center"/>
                    <w:rPr>
                      <w:rFonts w:cs="宋体"/>
                      <w:color w:val="auto"/>
                      <w:kern w:val="0"/>
                    </w:rPr>
                  </w:pPr>
                </w:p>
              </w:tc>
              <w:tc>
                <w:tcPr>
                  <w:tcW w:w="541" w:type="pct"/>
                  <w:gridSpan w:val="2"/>
                  <w:vMerge w:val="continue"/>
                  <w:noWrap/>
                  <w:vAlign w:val="center"/>
                </w:tcPr>
                <w:p w14:paraId="27A73276">
                  <w:pPr>
                    <w:pStyle w:val="116"/>
                    <w:spacing w:line="240" w:lineRule="auto"/>
                    <w:ind w:firstLine="0" w:firstLineChars="0"/>
                    <w:jc w:val="center"/>
                    <w:rPr>
                      <w:rFonts w:cs="宋体"/>
                      <w:color w:val="auto"/>
                      <w:kern w:val="0"/>
                    </w:rPr>
                  </w:pPr>
                </w:p>
              </w:tc>
              <w:tc>
                <w:tcPr>
                  <w:tcW w:w="2464" w:type="pct"/>
                  <w:noWrap/>
                  <w:vAlign w:val="center"/>
                </w:tcPr>
                <w:p w14:paraId="7FF608EB">
                  <w:pPr>
                    <w:pStyle w:val="116"/>
                    <w:spacing w:line="240" w:lineRule="auto"/>
                    <w:ind w:firstLine="0" w:firstLineChars="0"/>
                    <w:rPr>
                      <w:rFonts w:cs="宋体"/>
                      <w:color w:val="auto"/>
                      <w:kern w:val="0"/>
                    </w:rPr>
                  </w:pPr>
                  <w:r>
                    <w:rPr>
                      <w:rFonts w:cs="宋体"/>
                      <w:color w:val="auto"/>
                      <w:kern w:val="0"/>
                    </w:rPr>
                    <w:t>2</w:t>
                  </w:r>
                  <w:r>
                    <w:rPr>
                      <w:rFonts w:hint="eastAsia" w:cs="宋体"/>
                      <w:color w:val="auto"/>
                      <w:kern w:val="0"/>
                    </w:rPr>
                    <w:t>、严格执行国家产业政策和准入标准，实行生态环境准入清单制度，禁止新建、扩建高污染项目，严格控制高耗能、高排放项目准入。新建、改建和扩建项目按照相关规定实行减量置换或者等量置换。</w:t>
                  </w:r>
                </w:p>
              </w:tc>
              <w:tc>
                <w:tcPr>
                  <w:tcW w:w="1334" w:type="pct"/>
                  <w:noWrap/>
                  <w:vAlign w:val="center"/>
                </w:tcPr>
                <w:p w14:paraId="40E4BF03">
                  <w:pPr>
                    <w:pStyle w:val="116"/>
                    <w:spacing w:line="240" w:lineRule="auto"/>
                    <w:ind w:firstLine="0" w:firstLineChars="0"/>
                    <w:rPr>
                      <w:rFonts w:cs="宋体"/>
                      <w:color w:val="auto"/>
                      <w:kern w:val="0"/>
                    </w:rPr>
                  </w:pPr>
                  <w:r>
                    <w:rPr>
                      <w:rFonts w:hint="eastAsia" w:cs="宋体"/>
                      <w:color w:val="auto"/>
                      <w:kern w:val="0"/>
                    </w:rPr>
                    <w:t>本项目</w:t>
                  </w:r>
                  <w:r>
                    <w:rPr>
                      <w:rFonts w:hint="eastAsia" w:cs="宋体"/>
                      <w:color w:val="auto"/>
                      <w:kern w:val="0"/>
                      <w:highlight w:val="none"/>
                    </w:rPr>
                    <w:t>属于</w:t>
                  </w:r>
                  <w:r>
                    <w:rPr>
                      <w:rFonts w:hint="eastAsia" w:cs="宋体"/>
                      <w:color w:val="auto"/>
                      <w:kern w:val="0"/>
                      <w:highlight w:val="none"/>
                      <w:lang w:eastAsia="zh-CN"/>
                    </w:rPr>
                    <w:t>金属制品</w:t>
                  </w:r>
                  <w:r>
                    <w:rPr>
                      <w:rFonts w:hint="eastAsia" w:cs="宋体"/>
                      <w:color w:val="auto"/>
                      <w:kern w:val="0"/>
                      <w:highlight w:val="none"/>
                    </w:rPr>
                    <w:t>业，</w:t>
                  </w:r>
                  <w:r>
                    <w:rPr>
                      <w:rFonts w:hint="eastAsia" w:cs="宋体"/>
                      <w:color w:val="auto"/>
                      <w:kern w:val="0"/>
                    </w:rPr>
                    <w:t>符合相关产业政策准入要求</w:t>
                  </w:r>
                  <w:r>
                    <w:rPr>
                      <w:rFonts w:hint="eastAsia" w:cs="宋体"/>
                      <w:color w:val="auto"/>
                      <w:kern w:val="0"/>
                      <w:lang w:eastAsia="zh-CN"/>
                    </w:rPr>
                    <w:t>，</w:t>
                  </w:r>
                  <w:r>
                    <w:rPr>
                      <w:rFonts w:hint="eastAsia" w:cs="宋体"/>
                      <w:color w:val="auto"/>
                      <w:kern w:val="0"/>
                      <w:lang w:val="en-US" w:eastAsia="zh-CN"/>
                    </w:rPr>
                    <w:t>不属于</w:t>
                  </w:r>
                  <w:r>
                    <w:rPr>
                      <w:rFonts w:hint="eastAsia" w:cs="宋体"/>
                      <w:color w:val="auto"/>
                      <w:kern w:val="0"/>
                    </w:rPr>
                    <w:t>高耗能、高排放项目。</w:t>
                  </w:r>
                </w:p>
              </w:tc>
              <w:tc>
                <w:tcPr>
                  <w:tcW w:w="330" w:type="pct"/>
                  <w:noWrap/>
                  <w:vAlign w:val="center"/>
                </w:tcPr>
                <w:p w14:paraId="6AC74305">
                  <w:pPr>
                    <w:pStyle w:val="116"/>
                    <w:spacing w:line="240" w:lineRule="auto"/>
                    <w:ind w:firstLine="0" w:firstLineChars="0"/>
                    <w:rPr>
                      <w:rFonts w:cs="宋体"/>
                      <w:color w:val="auto"/>
                      <w:kern w:val="0"/>
                    </w:rPr>
                  </w:pPr>
                  <w:r>
                    <w:rPr>
                      <w:rFonts w:hint="eastAsia" w:cs="宋体"/>
                      <w:color w:val="auto"/>
                      <w:kern w:val="0"/>
                    </w:rPr>
                    <w:t>符合</w:t>
                  </w:r>
                </w:p>
              </w:tc>
            </w:tr>
            <w:tr w14:paraId="6D70BC8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331" w:type="pct"/>
                  <w:vMerge w:val="continue"/>
                  <w:noWrap/>
                  <w:vAlign w:val="center"/>
                </w:tcPr>
                <w:p w14:paraId="009B6541">
                  <w:pPr>
                    <w:pStyle w:val="116"/>
                    <w:spacing w:line="240" w:lineRule="auto"/>
                    <w:ind w:firstLine="0" w:firstLineChars="0"/>
                    <w:jc w:val="center"/>
                    <w:rPr>
                      <w:rFonts w:cs="宋体"/>
                      <w:color w:val="auto"/>
                      <w:kern w:val="0"/>
                    </w:rPr>
                  </w:pPr>
                </w:p>
              </w:tc>
              <w:tc>
                <w:tcPr>
                  <w:tcW w:w="541" w:type="pct"/>
                  <w:gridSpan w:val="2"/>
                  <w:vMerge w:val="continue"/>
                  <w:noWrap/>
                  <w:vAlign w:val="center"/>
                </w:tcPr>
                <w:p w14:paraId="31C8FA7C">
                  <w:pPr>
                    <w:pStyle w:val="116"/>
                    <w:spacing w:line="240" w:lineRule="auto"/>
                    <w:ind w:firstLine="0" w:firstLineChars="0"/>
                    <w:jc w:val="center"/>
                    <w:rPr>
                      <w:rFonts w:cs="宋体"/>
                      <w:color w:val="auto"/>
                      <w:kern w:val="0"/>
                    </w:rPr>
                  </w:pPr>
                </w:p>
              </w:tc>
              <w:tc>
                <w:tcPr>
                  <w:tcW w:w="2464" w:type="pct"/>
                  <w:noWrap/>
                  <w:vAlign w:val="center"/>
                </w:tcPr>
                <w:p w14:paraId="0495E836">
                  <w:pPr>
                    <w:pStyle w:val="116"/>
                    <w:spacing w:line="240" w:lineRule="auto"/>
                    <w:ind w:firstLine="0" w:firstLineChars="0"/>
                    <w:rPr>
                      <w:rFonts w:cs="宋体"/>
                      <w:color w:val="auto"/>
                      <w:kern w:val="0"/>
                    </w:rPr>
                  </w:pPr>
                  <w:r>
                    <w:rPr>
                      <w:rFonts w:cs="宋体"/>
                      <w:color w:val="auto"/>
                      <w:kern w:val="0"/>
                    </w:rPr>
                    <w:t>4</w:t>
                  </w:r>
                  <w:r>
                    <w:rPr>
                      <w:rFonts w:hint="eastAsia" w:cs="宋体"/>
                      <w:color w:val="auto"/>
                      <w:kern w:val="0"/>
                    </w:rPr>
                    <w:t>、上一年度环境空气质量年平均浓度不达标的城市、水环境质量未达到要求的市县，相关污染物应按照建设项目所需替代的主要污染物排放总量指标的</w:t>
                  </w:r>
                  <w:r>
                    <w:rPr>
                      <w:rFonts w:cs="宋体"/>
                      <w:color w:val="auto"/>
                      <w:kern w:val="0"/>
                    </w:rPr>
                    <w:t>2</w:t>
                  </w:r>
                  <w:r>
                    <w:rPr>
                      <w:rFonts w:hint="eastAsia" w:cs="宋体"/>
                      <w:color w:val="auto"/>
                      <w:kern w:val="0"/>
                    </w:rPr>
                    <w:t>倍进行削减替代（燃煤发电机组大气污染物排放浓度基本达到燃气轮机组排放限值的除外）。</w:t>
                  </w:r>
                </w:p>
              </w:tc>
              <w:tc>
                <w:tcPr>
                  <w:tcW w:w="1334" w:type="pct"/>
                  <w:noWrap/>
                  <w:vAlign w:val="center"/>
                </w:tcPr>
                <w:p w14:paraId="7CEC3C24">
                  <w:pPr>
                    <w:pStyle w:val="116"/>
                    <w:spacing w:line="240" w:lineRule="auto"/>
                    <w:ind w:firstLine="0" w:firstLineChars="0"/>
                    <w:rPr>
                      <w:rFonts w:cs="宋体"/>
                      <w:color w:val="auto"/>
                      <w:kern w:val="0"/>
                    </w:rPr>
                  </w:pPr>
                  <w:r>
                    <w:rPr>
                      <w:rFonts w:hint="eastAsia" w:cs="宋体"/>
                      <w:color w:val="auto"/>
                      <w:kern w:val="0"/>
                    </w:rPr>
                    <w:t>根据当地环保文件，项目按照相关文件要求进行总量指标申报。</w:t>
                  </w:r>
                </w:p>
              </w:tc>
              <w:tc>
                <w:tcPr>
                  <w:tcW w:w="330" w:type="pct"/>
                  <w:noWrap/>
                  <w:vAlign w:val="center"/>
                </w:tcPr>
                <w:p w14:paraId="07D3F4CF">
                  <w:pPr>
                    <w:pStyle w:val="116"/>
                    <w:spacing w:line="240" w:lineRule="auto"/>
                    <w:ind w:firstLine="0" w:firstLineChars="0"/>
                    <w:rPr>
                      <w:rFonts w:cs="宋体"/>
                      <w:color w:val="auto"/>
                      <w:kern w:val="0"/>
                    </w:rPr>
                  </w:pPr>
                  <w:r>
                    <w:rPr>
                      <w:rFonts w:hint="eastAsia" w:cs="宋体"/>
                      <w:color w:val="auto"/>
                      <w:kern w:val="0"/>
                    </w:rPr>
                    <w:t>符合</w:t>
                  </w:r>
                </w:p>
              </w:tc>
            </w:tr>
            <w:tr w14:paraId="421B8D6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331" w:type="pct"/>
                  <w:vMerge w:val="continue"/>
                  <w:noWrap/>
                  <w:vAlign w:val="center"/>
                </w:tcPr>
                <w:p w14:paraId="431D39F8">
                  <w:pPr>
                    <w:pStyle w:val="116"/>
                    <w:spacing w:line="240" w:lineRule="auto"/>
                    <w:ind w:firstLine="0" w:firstLineChars="0"/>
                    <w:jc w:val="center"/>
                    <w:rPr>
                      <w:rFonts w:cs="宋体"/>
                      <w:color w:val="auto"/>
                      <w:kern w:val="0"/>
                    </w:rPr>
                  </w:pPr>
                </w:p>
              </w:tc>
              <w:tc>
                <w:tcPr>
                  <w:tcW w:w="541" w:type="pct"/>
                  <w:gridSpan w:val="2"/>
                  <w:vMerge w:val="continue"/>
                  <w:noWrap/>
                  <w:vAlign w:val="center"/>
                </w:tcPr>
                <w:p w14:paraId="44434585">
                  <w:pPr>
                    <w:pStyle w:val="116"/>
                    <w:spacing w:line="240" w:lineRule="auto"/>
                    <w:ind w:firstLine="0" w:firstLineChars="0"/>
                    <w:jc w:val="center"/>
                    <w:rPr>
                      <w:rFonts w:cs="宋体"/>
                      <w:color w:val="auto"/>
                      <w:kern w:val="0"/>
                    </w:rPr>
                  </w:pPr>
                </w:p>
              </w:tc>
              <w:tc>
                <w:tcPr>
                  <w:tcW w:w="2464" w:type="pct"/>
                  <w:noWrap/>
                  <w:vAlign w:val="center"/>
                </w:tcPr>
                <w:p w14:paraId="43AAEEB9">
                  <w:pPr>
                    <w:pStyle w:val="116"/>
                    <w:spacing w:line="240" w:lineRule="auto"/>
                    <w:ind w:firstLine="0" w:firstLineChars="0"/>
                    <w:rPr>
                      <w:rFonts w:cs="宋体"/>
                      <w:color w:val="auto"/>
                      <w:kern w:val="0"/>
                    </w:rPr>
                  </w:pPr>
                  <w:r>
                    <w:rPr>
                      <w:rFonts w:cs="宋体"/>
                      <w:color w:val="auto"/>
                      <w:kern w:val="0"/>
                    </w:rPr>
                    <w:t>7</w:t>
                  </w:r>
                  <w:r>
                    <w:rPr>
                      <w:rFonts w:hint="eastAsia" w:cs="宋体"/>
                      <w:color w:val="auto"/>
                      <w:kern w:val="0"/>
                    </w:rPr>
                    <w:t>、新建、改建、扩建“两高”项目须符合生态环境保护法律法规和相关法定规划，满足重点污染物排放总量控制、碳排放达峰目标、生态环境准入清单、相关规划环评和相应行业建设项目环境准入条件、环评文件审批原则要求。</w:t>
                  </w:r>
                </w:p>
              </w:tc>
              <w:tc>
                <w:tcPr>
                  <w:tcW w:w="1334" w:type="pct"/>
                  <w:noWrap/>
                  <w:vAlign w:val="center"/>
                </w:tcPr>
                <w:p w14:paraId="54CDF04E">
                  <w:pPr>
                    <w:pStyle w:val="116"/>
                    <w:spacing w:line="240" w:lineRule="auto"/>
                    <w:ind w:firstLine="0" w:firstLineChars="0"/>
                    <w:rPr>
                      <w:rFonts w:cs="宋体"/>
                      <w:color w:val="auto"/>
                      <w:kern w:val="0"/>
                    </w:rPr>
                  </w:pPr>
                  <w:r>
                    <w:rPr>
                      <w:rFonts w:hint="eastAsia" w:cs="宋体"/>
                      <w:color w:val="auto"/>
                      <w:kern w:val="0"/>
                    </w:rPr>
                    <w:t>本项目不属于“两高”项目。</w:t>
                  </w:r>
                </w:p>
              </w:tc>
              <w:tc>
                <w:tcPr>
                  <w:tcW w:w="330" w:type="pct"/>
                  <w:noWrap/>
                  <w:vAlign w:val="center"/>
                </w:tcPr>
                <w:p w14:paraId="5A940F3F">
                  <w:pPr>
                    <w:pStyle w:val="116"/>
                    <w:spacing w:line="240" w:lineRule="auto"/>
                    <w:ind w:firstLine="0" w:firstLineChars="0"/>
                    <w:rPr>
                      <w:rFonts w:cs="宋体"/>
                      <w:color w:val="auto"/>
                      <w:kern w:val="0"/>
                    </w:rPr>
                  </w:pPr>
                  <w:r>
                    <w:rPr>
                      <w:rFonts w:hint="eastAsia" w:cs="宋体"/>
                      <w:color w:val="auto"/>
                      <w:kern w:val="0"/>
                    </w:rPr>
                    <w:t>符合</w:t>
                  </w:r>
                </w:p>
              </w:tc>
            </w:tr>
          </w:tbl>
          <w:p w14:paraId="73BC734A">
            <w:pPr>
              <w:pStyle w:val="116"/>
              <w:ind w:firstLine="420"/>
              <w:rPr>
                <w:color w:val="auto"/>
                <w:kern w:val="0"/>
              </w:rPr>
            </w:pPr>
            <w:r>
              <w:rPr>
                <w:rFonts w:hint="eastAsia"/>
                <w:color w:val="auto"/>
                <w:kern w:val="0"/>
              </w:rPr>
              <w:t>②项目与所在环境管控单元生态环境准入清单的符合性分析</w:t>
            </w:r>
          </w:p>
          <w:p w14:paraId="50ACD0C8">
            <w:pPr>
              <w:pStyle w:val="116"/>
              <w:ind w:firstLine="420"/>
              <w:rPr>
                <w:rFonts w:hint="eastAsia"/>
                <w:color w:val="auto"/>
                <w:kern w:val="0"/>
              </w:rPr>
            </w:pPr>
            <w:r>
              <w:rPr>
                <w:rFonts w:hint="eastAsia"/>
                <w:color w:val="auto"/>
                <w:kern w:val="0"/>
              </w:rPr>
              <w:t>本项目位于河北省唐山</w:t>
            </w:r>
            <w:r>
              <w:rPr>
                <w:rFonts w:hint="eastAsia"/>
                <w:color w:val="auto"/>
              </w:rPr>
              <w:t>高新技术产业开发区</w:t>
            </w:r>
            <w:r>
              <w:rPr>
                <w:rFonts w:hint="eastAsia"/>
                <w:color w:val="auto"/>
                <w:kern w:val="0"/>
              </w:rPr>
              <w:t>，属于ZH13027320001重点管控单元，见下图。</w:t>
            </w:r>
          </w:p>
          <w:p w14:paraId="6149990A">
            <w:pPr>
              <w:pStyle w:val="116"/>
              <w:keepNext/>
              <w:ind w:firstLine="0" w:firstLineChars="0"/>
              <w:jc w:val="center"/>
              <w:rPr>
                <w:color w:val="auto"/>
              </w:rPr>
            </w:pPr>
            <w:r>
              <w:rPr>
                <w:rFonts w:cs="宋体"/>
                <w:color w:val="auto"/>
                <w:kern w:val="0"/>
              </w:rPr>
              <w:drawing>
                <wp:inline distT="0" distB="0" distL="0" distR="0">
                  <wp:extent cx="3871595" cy="2628900"/>
                  <wp:effectExtent l="19050" t="19050" r="14157" b="18691"/>
                  <wp:docPr id="2" name="图片 2" descr="环境管控单元图位置关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环境管控单元图位置关系图"/>
                          <pic:cNvPicPr>
                            <a:picLocks noChangeAspect="1" noChangeArrowheads="1"/>
                          </pic:cNvPicPr>
                        </pic:nvPicPr>
                        <pic:blipFill>
                          <a:blip r:embed="rId9" cstate="print"/>
                          <a:srcRect/>
                          <a:stretch>
                            <a:fillRect/>
                          </a:stretch>
                        </pic:blipFill>
                        <pic:spPr>
                          <a:xfrm>
                            <a:off x="0" y="0"/>
                            <a:ext cx="3882831" cy="2636585"/>
                          </a:xfrm>
                          <a:prstGeom prst="rect">
                            <a:avLst/>
                          </a:prstGeom>
                          <a:noFill/>
                          <a:ln w="6350" cmpd="sng">
                            <a:solidFill>
                              <a:srgbClr val="000000"/>
                            </a:solidFill>
                            <a:miter lim="800000"/>
                            <a:headEnd/>
                            <a:tailEnd/>
                          </a:ln>
                          <a:effectLst/>
                        </pic:spPr>
                      </pic:pic>
                    </a:graphicData>
                  </a:graphic>
                </wp:inline>
              </w:drawing>
            </w:r>
          </w:p>
          <w:p w14:paraId="1CFD040D">
            <w:pPr>
              <w:pStyle w:val="10"/>
              <w:rPr>
                <w:color w:val="auto"/>
              </w:rPr>
            </w:pPr>
            <w:r>
              <w:rPr>
                <w:rFonts w:hint="eastAsia"/>
                <w:color w:val="auto"/>
              </w:rPr>
              <w:t>图1</w:t>
            </w:r>
            <w:r>
              <w:rPr>
                <w:rFonts w:hint="eastAsia"/>
                <w:color w:val="auto"/>
                <w:lang w:eastAsia="zh-CN"/>
              </w:rPr>
              <w:t>-</w:t>
            </w:r>
            <w:r>
              <w:rPr>
                <w:color w:val="auto"/>
              </w:rPr>
              <w:fldChar w:fldCharType="begin"/>
            </w:r>
            <w:r>
              <w:rPr>
                <w:color w:val="auto"/>
              </w:rPr>
              <w:instrText xml:space="preserve"> </w:instrText>
            </w:r>
            <w:r>
              <w:rPr>
                <w:rFonts w:hint="eastAsia"/>
                <w:color w:val="auto"/>
              </w:rPr>
              <w:instrText xml:space="preserve">SEQ 图1- \* ARABIC</w:instrText>
            </w:r>
            <w:r>
              <w:rPr>
                <w:color w:val="auto"/>
              </w:rPr>
              <w:instrText xml:space="preserve"> </w:instrText>
            </w:r>
            <w:r>
              <w:rPr>
                <w:color w:val="auto"/>
              </w:rPr>
              <w:fldChar w:fldCharType="separate"/>
            </w:r>
            <w:r>
              <w:rPr>
                <w:color w:val="auto"/>
              </w:rPr>
              <w:t>2</w:t>
            </w:r>
            <w:r>
              <w:rPr>
                <w:color w:val="auto"/>
              </w:rPr>
              <w:fldChar w:fldCharType="end"/>
            </w:r>
            <w:r>
              <w:rPr>
                <w:rFonts w:hint="eastAsia"/>
                <w:color w:val="auto"/>
              </w:rPr>
              <w:t>本项目在唐山市生态环境管控单元中位置示意图</w:t>
            </w:r>
          </w:p>
          <w:p w14:paraId="53C00B9F">
            <w:pPr>
              <w:pStyle w:val="116"/>
              <w:spacing w:beforeLines="50"/>
              <w:ind w:firstLine="420"/>
              <w:rPr>
                <w:color w:val="auto"/>
              </w:rPr>
            </w:pPr>
            <w:r>
              <w:rPr>
                <w:rFonts w:hint="eastAsia"/>
                <w:color w:val="auto"/>
                <w:kern w:val="0"/>
              </w:rPr>
              <w:t>将本项</w:t>
            </w:r>
            <w:r>
              <w:rPr>
                <w:rFonts w:hint="eastAsia"/>
                <w:color w:val="auto"/>
              </w:rPr>
              <w:t>目与ZH</w:t>
            </w:r>
            <w:r>
              <w:rPr>
                <w:rFonts w:hint="eastAsia" w:cs="宋体"/>
                <w:color w:val="auto"/>
                <w:kern w:val="0"/>
              </w:rPr>
              <w:t>13027320001重点管控</w:t>
            </w:r>
            <w:r>
              <w:rPr>
                <w:rFonts w:hint="eastAsia"/>
                <w:color w:val="auto"/>
              </w:rPr>
              <w:t>单元管控要求进行比对分析，见</w:t>
            </w:r>
            <w:r>
              <w:rPr>
                <w:color w:val="auto"/>
              </w:rPr>
              <w:fldChar w:fldCharType="begin"/>
            </w:r>
            <w:r>
              <w:rPr>
                <w:color w:val="auto"/>
              </w:rPr>
              <w:instrText xml:space="preserve"> REF _Ref133397582 \h  \* MERGEFORMAT </w:instrText>
            </w:r>
            <w:r>
              <w:rPr>
                <w:color w:val="auto"/>
              </w:rPr>
              <w:fldChar w:fldCharType="separate"/>
            </w:r>
            <w:r>
              <w:rPr>
                <w:rFonts w:hint="eastAsia"/>
                <w:color w:val="auto"/>
              </w:rPr>
              <w:t>下表</w:t>
            </w:r>
            <w:r>
              <w:rPr>
                <w:rFonts w:hint="eastAsia"/>
                <w:color w:val="auto"/>
              </w:rPr>
              <w:fldChar w:fldCharType="end"/>
            </w:r>
            <w:r>
              <w:rPr>
                <w:rFonts w:hint="eastAsia"/>
                <w:color w:val="auto"/>
              </w:rPr>
              <w:t>。</w:t>
            </w:r>
          </w:p>
          <w:p w14:paraId="7BEF0292">
            <w:pPr>
              <w:pStyle w:val="10"/>
              <w:rPr>
                <w:color w:val="auto"/>
              </w:rPr>
            </w:pPr>
            <w:bookmarkStart w:id="4" w:name="_Ref133397582"/>
            <w:r>
              <w:rPr>
                <w:rFonts w:hint="eastAsia"/>
                <w:color w:val="auto"/>
              </w:rPr>
              <w:t>表1</w:t>
            </w:r>
            <w:r>
              <w:rPr>
                <w:rFonts w:hint="eastAsia"/>
                <w:color w:val="auto"/>
                <w:lang w:eastAsia="zh-CN"/>
              </w:rPr>
              <w:t>-</w:t>
            </w:r>
            <w:r>
              <w:rPr>
                <w:color w:val="auto"/>
              </w:rPr>
              <w:fldChar w:fldCharType="begin"/>
            </w:r>
            <w:r>
              <w:rPr>
                <w:color w:val="auto"/>
              </w:rPr>
              <w:instrText xml:space="preserve"> </w:instrText>
            </w:r>
            <w:r>
              <w:rPr>
                <w:rFonts w:hint="eastAsia"/>
                <w:color w:val="auto"/>
              </w:rPr>
              <w:instrText xml:space="preserve">SEQ 表1- \* ARABIC</w:instrText>
            </w:r>
            <w:r>
              <w:rPr>
                <w:color w:val="auto"/>
              </w:rPr>
              <w:instrText xml:space="preserve"> </w:instrText>
            </w:r>
            <w:r>
              <w:rPr>
                <w:color w:val="auto"/>
              </w:rPr>
              <w:fldChar w:fldCharType="separate"/>
            </w:r>
            <w:r>
              <w:rPr>
                <w:color w:val="auto"/>
              </w:rPr>
              <w:t>4</w:t>
            </w:r>
            <w:r>
              <w:rPr>
                <w:color w:val="auto"/>
              </w:rPr>
              <w:fldChar w:fldCharType="end"/>
            </w:r>
            <w:bookmarkEnd w:id="4"/>
            <w:r>
              <w:rPr>
                <w:rFonts w:hint="eastAsia"/>
                <w:color w:val="auto"/>
              </w:rPr>
              <w:t xml:space="preserve"> 本项目与所在管控单元管控要求符合性分析一览表</w:t>
            </w:r>
          </w:p>
          <w:tbl>
            <w:tblPr>
              <w:tblStyle w:val="33"/>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30"/>
              <w:gridCol w:w="990"/>
              <w:gridCol w:w="849"/>
              <w:gridCol w:w="2414"/>
              <w:gridCol w:w="1135"/>
              <w:gridCol w:w="522"/>
            </w:tblGrid>
            <w:tr w14:paraId="19B20F9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2" w:type="pct"/>
                  <w:vAlign w:val="center"/>
                </w:tcPr>
                <w:p w14:paraId="28CF2BAE">
                  <w:pPr>
                    <w:pStyle w:val="116"/>
                    <w:widowControl w:val="0"/>
                    <w:spacing w:line="240" w:lineRule="auto"/>
                    <w:ind w:firstLine="0" w:firstLineChars="0"/>
                    <w:jc w:val="center"/>
                    <w:rPr>
                      <w:rFonts w:cs="宋体"/>
                      <w:color w:val="auto"/>
                      <w:kern w:val="0"/>
                    </w:rPr>
                  </w:pPr>
                  <w:r>
                    <w:rPr>
                      <w:rFonts w:hint="eastAsia" w:cs="宋体"/>
                      <w:color w:val="auto"/>
                      <w:kern w:val="0"/>
                    </w:rPr>
                    <w:t>管控单元编号</w:t>
                  </w:r>
                </w:p>
              </w:tc>
              <w:tc>
                <w:tcPr>
                  <w:tcW w:w="713" w:type="pct"/>
                  <w:vAlign w:val="center"/>
                </w:tcPr>
                <w:p w14:paraId="14055F40">
                  <w:pPr>
                    <w:pStyle w:val="116"/>
                    <w:widowControl w:val="0"/>
                    <w:spacing w:line="240" w:lineRule="auto"/>
                    <w:ind w:firstLine="0" w:firstLineChars="0"/>
                    <w:jc w:val="center"/>
                    <w:rPr>
                      <w:rFonts w:cs="宋体"/>
                      <w:color w:val="auto"/>
                      <w:kern w:val="0"/>
                    </w:rPr>
                  </w:pPr>
                  <w:r>
                    <w:rPr>
                      <w:rFonts w:hint="eastAsia" w:cs="宋体"/>
                      <w:color w:val="auto"/>
                      <w:kern w:val="0"/>
                    </w:rPr>
                    <w:t>环境要素类别</w:t>
                  </w:r>
                </w:p>
              </w:tc>
              <w:tc>
                <w:tcPr>
                  <w:tcW w:w="612" w:type="pct"/>
                  <w:vAlign w:val="center"/>
                </w:tcPr>
                <w:p w14:paraId="017C47AF">
                  <w:pPr>
                    <w:pStyle w:val="116"/>
                    <w:widowControl w:val="0"/>
                    <w:spacing w:line="240" w:lineRule="auto"/>
                    <w:ind w:firstLine="0" w:firstLineChars="0"/>
                    <w:jc w:val="center"/>
                    <w:rPr>
                      <w:rFonts w:cs="宋体"/>
                      <w:color w:val="auto"/>
                      <w:kern w:val="0"/>
                    </w:rPr>
                  </w:pPr>
                  <w:r>
                    <w:rPr>
                      <w:rFonts w:hint="eastAsia" w:cs="宋体"/>
                      <w:color w:val="auto"/>
                      <w:kern w:val="0"/>
                    </w:rPr>
                    <w:t>维度</w:t>
                  </w:r>
                </w:p>
              </w:tc>
              <w:tc>
                <w:tcPr>
                  <w:tcW w:w="1739" w:type="pct"/>
                  <w:vAlign w:val="center"/>
                </w:tcPr>
                <w:p w14:paraId="17921D69">
                  <w:pPr>
                    <w:pStyle w:val="116"/>
                    <w:widowControl w:val="0"/>
                    <w:spacing w:line="240" w:lineRule="auto"/>
                    <w:ind w:firstLine="0" w:firstLineChars="0"/>
                    <w:jc w:val="center"/>
                    <w:rPr>
                      <w:rFonts w:cs="宋体"/>
                      <w:color w:val="auto"/>
                      <w:kern w:val="0"/>
                    </w:rPr>
                  </w:pPr>
                  <w:r>
                    <w:rPr>
                      <w:rFonts w:hint="eastAsia" w:cs="宋体"/>
                      <w:color w:val="auto"/>
                      <w:kern w:val="0"/>
                    </w:rPr>
                    <w:t>管控措施</w:t>
                  </w:r>
                </w:p>
              </w:tc>
              <w:tc>
                <w:tcPr>
                  <w:tcW w:w="818" w:type="pct"/>
                  <w:vAlign w:val="center"/>
                </w:tcPr>
                <w:p w14:paraId="73DEA4A6">
                  <w:pPr>
                    <w:pStyle w:val="116"/>
                    <w:widowControl w:val="0"/>
                    <w:spacing w:line="240" w:lineRule="auto"/>
                    <w:ind w:firstLine="0" w:firstLineChars="0"/>
                    <w:jc w:val="center"/>
                    <w:rPr>
                      <w:rFonts w:cs="宋体"/>
                      <w:color w:val="auto"/>
                      <w:kern w:val="0"/>
                    </w:rPr>
                  </w:pPr>
                  <w:r>
                    <w:rPr>
                      <w:rFonts w:hint="eastAsia" w:cs="宋体"/>
                      <w:color w:val="auto"/>
                      <w:kern w:val="0"/>
                    </w:rPr>
                    <w:t>本项目</w:t>
                  </w:r>
                </w:p>
                <w:p w14:paraId="7C109DC1">
                  <w:pPr>
                    <w:pStyle w:val="116"/>
                    <w:widowControl w:val="0"/>
                    <w:spacing w:line="240" w:lineRule="auto"/>
                    <w:ind w:firstLine="0" w:firstLineChars="0"/>
                    <w:jc w:val="center"/>
                    <w:rPr>
                      <w:rFonts w:cs="宋体"/>
                      <w:color w:val="auto"/>
                      <w:kern w:val="0"/>
                    </w:rPr>
                  </w:pPr>
                  <w:r>
                    <w:rPr>
                      <w:rFonts w:hint="eastAsia" w:cs="宋体"/>
                      <w:color w:val="auto"/>
                      <w:kern w:val="0"/>
                    </w:rPr>
                    <w:t>情况</w:t>
                  </w:r>
                </w:p>
              </w:tc>
              <w:tc>
                <w:tcPr>
                  <w:tcW w:w="376" w:type="pct"/>
                  <w:vAlign w:val="center"/>
                </w:tcPr>
                <w:p w14:paraId="3D0F8F75">
                  <w:pPr>
                    <w:pStyle w:val="116"/>
                    <w:widowControl w:val="0"/>
                    <w:spacing w:line="240" w:lineRule="auto"/>
                    <w:ind w:firstLine="0" w:firstLineChars="0"/>
                    <w:jc w:val="center"/>
                    <w:rPr>
                      <w:rFonts w:cs="宋体"/>
                      <w:color w:val="auto"/>
                      <w:kern w:val="0"/>
                    </w:rPr>
                  </w:pPr>
                  <w:r>
                    <w:rPr>
                      <w:rFonts w:hint="eastAsia" w:cs="宋体"/>
                      <w:color w:val="auto"/>
                      <w:kern w:val="0"/>
                    </w:rPr>
                    <w:t>符合性判别</w:t>
                  </w:r>
                </w:p>
              </w:tc>
            </w:tr>
            <w:tr w14:paraId="0ED040D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2" w:type="pct"/>
                  <w:vMerge w:val="restart"/>
                  <w:vAlign w:val="center"/>
                </w:tcPr>
                <w:p w14:paraId="136D8B2E">
                  <w:pPr>
                    <w:pStyle w:val="116"/>
                    <w:widowControl w:val="0"/>
                    <w:spacing w:line="240" w:lineRule="auto"/>
                    <w:ind w:firstLine="0" w:firstLineChars="0"/>
                    <w:jc w:val="both"/>
                    <w:rPr>
                      <w:rFonts w:cs="宋体"/>
                      <w:color w:val="auto"/>
                      <w:kern w:val="0"/>
                    </w:rPr>
                  </w:pPr>
                  <w:r>
                    <w:rPr>
                      <w:rFonts w:hint="eastAsia" w:cs="宋体"/>
                      <w:color w:val="auto"/>
                      <w:kern w:val="0"/>
                    </w:rPr>
                    <w:t>ZH1302</w:t>
                  </w:r>
                </w:p>
                <w:p w14:paraId="53116253">
                  <w:pPr>
                    <w:pStyle w:val="116"/>
                    <w:widowControl w:val="0"/>
                    <w:spacing w:line="240" w:lineRule="auto"/>
                    <w:ind w:firstLine="0" w:firstLineChars="0"/>
                    <w:jc w:val="both"/>
                    <w:rPr>
                      <w:rFonts w:cs="宋体"/>
                      <w:color w:val="auto"/>
                      <w:kern w:val="0"/>
                    </w:rPr>
                  </w:pPr>
                  <w:r>
                    <w:rPr>
                      <w:rFonts w:hint="eastAsia" w:cs="宋体"/>
                      <w:color w:val="auto"/>
                      <w:kern w:val="0"/>
                    </w:rPr>
                    <w:t>7320001</w:t>
                  </w:r>
                </w:p>
              </w:tc>
              <w:tc>
                <w:tcPr>
                  <w:tcW w:w="713" w:type="pct"/>
                  <w:vMerge w:val="restart"/>
                  <w:vAlign w:val="center"/>
                </w:tcPr>
                <w:p w14:paraId="66A035BA">
                  <w:pPr>
                    <w:pStyle w:val="116"/>
                    <w:spacing w:line="240" w:lineRule="auto"/>
                    <w:ind w:firstLine="0" w:firstLineChars="0"/>
                    <w:jc w:val="center"/>
                    <w:rPr>
                      <w:rFonts w:cs="宋体"/>
                      <w:color w:val="auto"/>
                      <w:kern w:val="0"/>
                    </w:rPr>
                  </w:pPr>
                  <w:r>
                    <w:rPr>
                      <w:rFonts w:cs="宋体"/>
                      <w:color w:val="auto"/>
                      <w:kern w:val="0"/>
                    </w:rPr>
                    <w:t>1、唐山高新技术产业开发区2、中心城区3、大气环境高排放重点管控区4、水环境工业污染重点管控区5、土壤建设用地污染风险重点管控区6、地下水污染风险重点管控区7、禁燃区8、地下水开采重点管控区9、土地资源重点管控区</w:t>
                  </w:r>
                </w:p>
              </w:tc>
              <w:tc>
                <w:tcPr>
                  <w:tcW w:w="612" w:type="pct"/>
                  <w:vAlign w:val="center"/>
                </w:tcPr>
                <w:p w14:paraId="63A41D7B">
                  <w:pPr>
                    <w:pStyle w:val="116"/>
                    <w:spacing w:line="240" w:lineRule="auto"/>
                    <w:ind w:firstLine="0" w:firstLineChars="0"/>
                    <w:jc w:val="center"/>
                    <w:rPr>
                      <w:rFonts w:cs="宋体"/>
                      <w:color w:val="auto"/>
                      <w:kern w:val="0"/>
                    </w:rPr>
                  </w:pPr>
                  <w:r>
                    <w:rPr>
                      <w:rFonts w:hint="eastAsia" w:cs="宋体"/>
                      <w:color w:val="auto"/>
                      <w:kern w:val="0"/>
                    </w:rPr>
                    <w:t>空间布局约束</w:t>
                  </w:r>
                </w:p>
              </w:tc>
              <w:tc>
                <w:tcPr>
                  <w:tcW w:w="1739" w:type="pct"/>
                  <w:vAlign w:val="center"/>
                </w:tcPr>
                <w:p w14:paraId="3D41C205">
                  <w:pPr>
                    <w:pStyle w:val="116"/>
                    <w:spacing w:line="240" w:lineRule="auto"/>
                    <w:ind w:firstLine="0" w:firstLineChars="0"/>
                    <w:jc w:val="both"/>
                    <w:rPr>
                      <w:rFonts w:cs="宋体"/>
                      <w:color w:val="auto"/>
                      <w:kern w:val="0"/>
                    </w:rPr>
                  </w:pPr>
                  <w:r>
                    <w:rPr>
                      <w:rFonts w:cs="宋体"/>
                      <w:color w:val="auto"/>
                      <w:kern w:val="0"/>
                    </w:rPr>
                    <w:t>1、一环线以内禁止布局搅拌站、沥青拌合站。2、二环线内，禁止新建铸造、轧钢、石灰窑、砖瓦窑、家具制造（涉VOCs）、化工行业企业。3、禁止国Ⅳ及以下排放标准的柴油货车进入禁用区；禁止有可见黑烟的机动车进入禁用区。4、开发区规划范围内基本农田执行全市总体准入要求中一般生态空间的基本农田管控要求。</w:t>
                  </w:r>
                </w:p>
              </w:tc>
              <w:tc>
                <w:tcPr>
                  <w:tcW w:w="818" w:type="pct"/>
                  <w:vAlign w:val="center"/>
                </w:tcPr>
                <w:p w14:paraId="63F9052C">
                  <w:pPr>
                    <w:pStyle w:val="116"/>
                    <w:spacing w:line="240" w:lineRule="auto"/>
                    <w:ind w:firstLine="0" w:firstLineChars="0"/>
                    <w:jc w:val="both"/>
                    <w:rPr>
                      <w:rFonts w:cs="宋体"/>
                      <w:color w:val="auto"/>
                      <w:kern w:val="0"/>
                    </w:rPr>
                  </w:pPr>
                  <w:r>
                    <w:rPr>
                      <w:rFonts w:hint="eastAsia" w:cs="宋体"/>
                      <w:color w:val="auto"/>
                      <w:kern w:val="0"/>
                    </w:rPr>
                    <w:t>本项目</w:t>
                  </w:r>
                  <w:r>
                    <w:rPr>
                      <w:rFonts w:hint="eastAsia" w:cs="宋体"/>
                      <w:color w:val="auto"/>
                      <w:kern w:val="0"/>
                      <w:highlight w:val="none"/>
                      <w:lang w:eastAsia="zh-CN"/>
                    </w:rPr>
                    <w:t>利用厂区空地进行项目建设</w:t>
                  </w:r>
                  <w:r>
                    <w:rPr>
                      <w:rFonts w:hint="eastAsia" w:cs="宋体"/>
                      <w:color w:val="auto"/>
                      <w:kern w:val="0"/>
                      <w:highlight w:val="none"/>
                    </w:rPr>
                    <w:t>，属于金属制品业，</w:t>
                  </w:r>
                  <w:r>
                    <w:rPr>
                      <w:rFonts w:hint="eastAsia" w:cs="宋体"/>
                      <w:color w:val="auto"/>
                      <w:kern w:val="0"/>
                    </w:rPr>
                    <w:t>不属于管控要求中所列行业。</w:t>
                  </w:r>
                </w:p>
              </w:tc>
              <w:tc>
                <w:tcPr>
                  <w:tcW w:w="376" w:type="pct"/>
                  <w:vAlign w:val="center"/>
                </w:tcPr>
                <w:p w14:paraId="06604CD5">
                  <w:pPr>
                    <w:pStyle w:val="116"/>
                    <w:spacing w:line="240" w:lineRule="auto"/>
                    <w:ind w:firstLine="0" w:firstLineChars="0"/>
                    <w:jc w:val="center"/>
                    <w:rPr>
                      <w:rFonts w:cs="宋体"/>
                      <w:color w:val="auto"/>
                      <w:kern w:val="0"/>
                    </w:rPr>
                  </w:pPr>
                  <w:r>
                    <w:rPr>
                      <w:rFonts w:hint="eastAsia" w:cs="宋体"/>
                      <w:color w:val="auto"/>
                      <w:kern w:val="0"/>
                    </w:rPr>
                    <w:t>符合</w:t>
                  </w:r>
                </w:p>
              </w:tc>
            </w:tr>
            <w:tr w14:paraId="06855FB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2" w:type="pct"/>
                  <w:vMerge w:val="continue"/>
                  <w:vAlign w:val="center"/>
                </w:tcPr>
                <w:p w14:paraId="0C870E19">
                  <w:pPr>
                    <w:pStyle w:val="116"/>
                    <w:spacing w:line="240" w:lineRule="auto"/>
                    <w:ind w:firstLine="0" w:firstLineChars="0"/>
                    <w:jc w:val="center"/>
                    <w:rPr>
                      <w:rFonts w:cs="宋体"/>
                      <w:color w:val="auto"/>
                      <w:kern w:val="0"/>
                    </w:rPr>
                  </w:pPr>
                </w:p>
              </w:tc>
              <w:tc>
                <w:tcPr>
                  <w:tcW w:w="713" w:type="pct"/>
                  <w:vMerge w:val="continue"/>
                  <w:vAlign w:val="center"/>
                </w:tcPr>
                <w:p w14:paraId="07A428D5">
                  <w:pPr>
                    <w:pStyle w:val="116"/>
                    <w:spacing w:line="240" w:lineRule="auto"/>
                    <w:ind w:firstLine="0" w:firstLineChars="0"/>
                    <w:jc w:val="center"/>
                    <w:rPr>
                      <w:rFonts w:cs="宋体"/>
                      <w:color w:val="auto"/>
                      <w:kern w:val="0"/>
                    </w:rPr>
                  </w:pPr>
                </w:p>
              </w:tc>
              <w:tc>
                <w:tcPr>
                  <w:tcW w:w="612" w:type="pct"/>
                  <w:vAlign w:val="center"/>
                </w:tcPr>
                <w:p w14:paraId="0278793A">
                  <w:pPr>
                    <w:pStyle w:val="116"/>
                    <w:spacing w:line="240" w:lineRule="auto"/>
                    <w:ind w:firstLine="0" w:firstLineChars="0"/>
                    <w:jc w:val="center"/>
                    <w:rPr>
                      <w:rFonts w:cs="宋体"/>
                      <w:color w:val="auto"/>
                      <w:kern w:val="0"/>
                    </w:rPr>
                  </w:pPr>
                  <w:r>
                    <w:rPr>
                      <w:rFonts w:hint="eastAsia" w:cs="宋体"/>
                      <w:color w:val="auto"/>
                      <w:kern w:val="0"/>
                    </w:rPr>
                    <w:t>污染物排放管控</w:t>
                  </w:r>
                </w:p>
              </w:tc>
              <w:tc>
                <w:tcPr>
                  <w:tcW w:w="1739" w:type="pct"/>
                  <w:vAlign w:val="center"/>
                </w:tcPr>
                <w:p w14:paraId="5CE2386E">
                  <w:pPr>
                    <w:pStyle w:val="116"/>
                    <w:spacing w:line="240" w:lineRule="auto"/>
                    <w:ind w:firstLine="0" w:firstLineChars="0"/>
                    <w:jc w:val="both"/>
                    <w:rPr>
                      <w:rFonts w:cs="宋体"/>
                      <w:color w:val="auto"/>
                      <w:kern w:val="0"/>
                    </w:rPr>
                  </w:pPr>
                  <w:r>
                    <w:rPr>
                      <w:rFonts w:hint="eastAsia" w:cs="宋体"/>
                      <w:color w:val="auto"/>
                      <w:kern w:val="0"/>
                    </w:rPr>
                    <w:t>1、</w:t>
                  </w:r>
                  <w:r>
                    <w:rPr>
                      <w:rFonts w:cs="宋体"/>
                      <w:color w:val="auto"/>
                      <w:kern w:val="0"/>
                    </w:rPr>
                    <w:t>对一环线内汽修企业的喷漆工序加强源头控制，禁止使用等离子、活性炭吸附、光催化氧化等单级治理技术处理VOCs废气，必须使用双级或多级质量技术处理措施。2、开发区应具备污水集中处理设施以及管网；向污水集中处理设施排放工业废水的，应当按照国家有关规定进行预处理，达到集中处理设施处理工艺要求后方可排放</w:t>
                  </w:r>
                  <w:r>
                    <w:rPr>
                      <w:rFonts w:hint="eastAsia" w:cs="宋体"/>
                      <w:color w:val="auto"/>
                      <w:kern w:val="0"/>
                    </w:rPr>
                    <w:t>。</w:t>
                  </w:r>
                </w:p>
              </w:tc>
              <w:tc>
                <w:tcPr>
                  <w:tcW w:w="818" w:type="pct"/>
                  <w:vAlign w:val="center"/>
                </w:tcPr>
                <w:p w14:paraId="1E78373E">
                  <w:pPr>
                    <w:pStyle w:val="116"/>
                    <w:spacing w:line="240" w:lineRule="auto"/>
                    <w:ind w:firstLine="0" w:firstLineChars="0"/>
                    <w:jc w:val="both"/>
                    <w:rPr>
                      <w:rFonts w:cs="宋体"/>
                      <w:color w:val="auto"/>
                      <w:kern w:val="0"/>
                    </w:rPr>
                  </w:pPr>
                  <w:r>
                    <w:rPr>
                      <w:rFonts w:hint="eastAsia" w:cs="宋体"/>
                      <w:color w:val="auto"/>
                      <w:kern w:val="0"/>
                    </w:rPr>
                    <w:t>本项目主要</w:t>
                  </w:r>
                  <w:r>
                    <w:rPr>
                      <w:rFonts w:hint="eastAsia" w:cs="宋体"/>
                      <w:color w:val="auto"/>
                      <w:kern w:val="0"/>
                      <w:highlight w:val="none"/>
                    </w:rPr>
                    <w:t>污染物为颗粒物</w:t>
                  </w:r>
                  <w:r>
                    <w:rPr>
                      <w:rFonts w:hint="eastAsia" w:cs="宋体"/>
                      <w:color w:val="auto"/>
                      <w:kern w:val="0"/>
                      <w:highlight w:val="none"/>
                      <w:lang w:eastAsia="zh-CN"/>
                    </w:rPr>
                    <w:t>、</w:t>
                  </w:r>
                  <w:r>
                    <w:rPr>
                      <w:rFonts w:hint="eastAsia" w:cs="宋体"/>
                      <w:color w:val="auto"/>
                      <w:kern w:val="0"/>
                      <w:highlight w:val="none"/>
                      <w:lang w:val="en-US" w:eastAsia="zh-CN"/>
                    </w:rPr>
                    <w:t>SO</w:t>
                  </w:r>
                  <w:r>
                    <w:rPr>
                      <w:rFonts w:hint="eastAsia" w:cs="宋体"/>
                      <w:color w:val="auto"/>
                      <w:kern w:val="0"/>
                      <w:highlight w:val="none"/>
                      <w:vertAlign w:val="subscript"/>
                      <w:lang w:val="en-US" w:eastAsia="zh-CN"/>
                    </w:rPr>
                    <w:t>2</w:t>
                  </w:r>
                  <w:r>
                    <w:rPr>
                      <w:rFonts w:hint="eastAsia" w:cs="宋体"/>
                      <w:color w:val="auto"/>
                      <w:kern w:val="0"/>
                      <w:highlight w:val="none"/>
                      <w:lang w:val="en-US" w:eastAsia="zh-CN"/>
                    </w:rPr>
                    <w:t>、NOx</w:t>
                  </w:r>
                  <w:r>
                    <w:rPr>
                      <w:rFonts w:hint="eastAsia" w:cs="宋体"/>
                      <w:color w:val="auto"/>
                      <w:kern w:val="0"/>
                      <w:highlight w:val="none"/>
                    </w:rPr>
                    <w:t>，</w:t>
                  </w:r>
                  <w:r>
                    <w:rPr>
                      <w:rFonts w:hint="eastAsia" w:cs="宋体"/>
                      <w:color w:val="auto"/>
                      <w:kern w:val="0"/>
                    </w:rPr>
                    <w:t>处理后可达标排放。本项目</w:t>
                  </w:r>
                  <w:r>
                    <w:rPr>
                      <w:rFonts w:hint="eastAsia" w:cs="宋体"/>
                      <w:color w:val="auto"/>
                      <w:kern w:val="0"/>
                      <w:lang w:eastAsia="zh-CN"/>
                    </w:rPr>
                    <w:t>无废水外排</w:t>
                  </w:r>
                  <w:r>
                    <w:rPr>
                      <w:rFonts w:hint="eastAsia" w:cs="宋体"/>
                      <w:color w:val="auto"/>
                      <w:kern w:val="0"/>
                    </w:rPr>
                    <w:t>。</w:t>
                  </w:r>
                </w:p>
              </w:tc>
              <w:tc>
                <w:tcPr>
                  <w:tcW w:w="376" w:type="pct"/>
                  <w:vAlign w:val="center"/>
                </w:tcPr>
                <w:p w14:paraId="1396EA2A">
                  <w:pPr>
                    <w:pStyle w:val="116"/>
                    <w:spacing w:line="240" w:lineRule="auto"/>
                    <w:ind w:firstLine="0" w:firstLineChars="0"/>
                    <w:jc w:val="center"/>
                    <w:rPr>
                      <w:rFonts w:cs="宋体"/>
                      <w:color w:val="auto"/>
                      <w:kern w:val="0"/>
                    </w:rPr>
                  </w:pPr>
                  <w:r>
                    <w:rPr>
                      <w:rFonts w:hint="eastAsia" w:cs="宋体"/>
                      <w:color w:val="auto"/>
                      <w:kern w:val="0"/>
                    </w:rPr>
                    <w:t>符合</w:t>
                  </w:r>
                </w:p>
              </w:tc>
            </w:tr>
            <w:tr w14:paraId="1E9F066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2" w:type="pct"/>
                  <w:vMerge w:val="continue"/>
                  <w:vAlign w:val="center"/>
                </w:tcPr>
                <w:p w14:paraId="299FBFDF">
                  <w:pPr>
                    <w:pStyle w:val="116"/>
                    <w:spacing w:line="240" w:lineRule="auto"/>
                    <w:ind w:firstLine="0" w:firstLineChars="0"/>
                    <w:jc w:val="center"/>
                    <w:rPr>
                      <w:rFonts w:cs="宋体"/>
                      <w:color w:val="auto"/>
                      <w:kern w:val="0"/>
                    </w:rPr>
                  </w:pPr>
                </w:p>
              </w:tc>
              <w:tc>
                <w:tcPr>
                  <w:tcW w:w="713" w:type="pct"/>
                  <w:vMerge w:val="continue"/>
                  <w:vAlign w:val="center"/>
                </w:tcPr>
                <w:p w14:paraId="514E754E">
                  <w:pPr>
                    <w:pStyle w:val="116"/>
                    <w:spacing w:line="240" w:lineRule="auto"/>
                    <w:ind w:firstLine="0" w:firstLineChars="0"/>
                    <w:jc w:val="center"/>
                    <w:rPr>
                      <w:rFonts w:cs="宋体"/>
                      <w:color w:val="auto"/>
                      <w:kern w:val="0"/>
                    </w:rPr>
                  </w:pPr>
                </w:p>
              </w:tc>
              <w:tc>
                <w:tcPr>
                  <w:tcW w:w="612" w:type="pct"/>
                  <w:vAlign w:val="center"/>
                </w:tcPr>
                <w:p w14:paraId="0B435DDF">
                  <w:pPr>
                    <w:pStyle w:val="116"/>
                    <w:spacing w:line="240" w:lineRule="auto"/>
                    <w:ind w:firstLine="0" w:firstLineChars="0"/>
                    <w:jc w:val="center"/>
                    <w:rPr>
                      <w:rFonts w:cs="宋体"/>
                      <w:color w:val="auto"/>
                      <w:kern w:val="0"/>
                    </w:rPr>
                  </w:pPr>
                  <w:r>
                    <w:rPr>
                      <w:rFonts w:hint="eastAsia" w:cs="宋体"/>
                      <w:color w:val="auto"/>
                      <w:kern w:val="0"/>
                    </w:rPr>
                    <w:t>环境风险防控</w:t>
                  </w:r>
                </w:p>
              </w:tc>
              <w:tc>
                <w:tcPr>
                  <w:tcW w:w="1739" w:type="pct"/>
                  <w:vAlign w:val="center"/>
                </w:tcPr>
                <w:p w14:paraId="283E1B72">
                  <w:pPr>
                    <w:pStyle w:val="116"/>
                    <w:spacing w:line="240" w:lineRule="auto"/>
                    <w:ind w:firstLine="0" w:firstLineChars="0"/>
                    <w:jc w:val="both"/>
                    <w:rPr>
                      <w:rFonts w:cs="宋体"/>
                      <w:color w:val="auto"/>
                      <w:kern w:val="0"/>
                    </w:rPr>
                  </w:pPr>
                  <w:r>
                    <w:rPr>
                      <w:rFonts w:cs="宋体"/>
                      <w:color w:val="auto"/>
                      <w:kern w:val="0"/>
                    </w:rPr>
                    <w:t>1、开发区及入区企业应当依法制定并及时修订《突发环境事件应急预案》，成立应急组织机构，定期开展应急演练，提高区域环境风险防范能力。2、企业事业单位拆除设施、设备或者建筑物、构筑物的，应当采取相应的土壤污染防治措施。其中，土壤污染重点监管单位还应当制定包括应急措施在内的土壤污染防治工作方案，报地方人民政府生态环境、工业和信息化主管部门备案并实施。退成搬迁企业用地再次开发利用前，按程序开展土壤污染状况调查、风险评估、风险管控和修复。3、土壤污染重点监管单位应严格控制有毒有害物质排放，并按年度向所在地生态环境主管部门报告排放情况；建立土壤污染隐患排查制度，及时开展隐患排查，发现土壤污染隐患并采取措施消除或者降低污染隐患，保证持续有效防止有毒有害物质渗漏、流失、扬散；制定、实施自行监测方案，按照相关技术规范要求开展土壤、地下水环境监测，并将监测数据报所在地生态环境主管部门。4、地下水重点污染源应当建立地下水污染隐患排查制度，对其产排污环节和易造成地下水污染的区域采取必要防渗措施，定期开展污染隐患排查工作，制定并落实整治措施，必要时开展土壤和地下水环境调查与风险评估，根据评估结果采取风险管控或修复措施。</w:t>
                  </w:r>
                </w:p>
              </w:tc>
              <w:tc>
                <w:tcPr>
                  <w:tcW w:w="818" w:type="pct"/>
                  <w:vAlign w:val="center"/>
                </w:tcPr>
                <w:p w14:paraId="06FC4213">
                  <w:pPr>
                    <w:pStyle w:val="116"/>
                    <w:spacing w:line="240" w:lineRule="auto"/>
                    <w:ind w:firstLine="0" w:firstLineChars="0"/>
                    <w:jc w:val="both"/>
                    <w:rPr>
                      <w:rFonts w:cs="宋体"/>
                      <w:color w:val="auto"/>
                      <w:kern w:val="0"/>
                    </w:rPr>
                  </w:pPr>
                  <w:r>
                    <w:rPr>
                      <w:rFonts w:hint="eastAsia" w:cs="宋体"/>
                      <w:color w:val="auto"/>
                      <w:kern w:val="0"/>
                    </w:rPr>
                    <w:t>企业</w:t>
                  </w:r>
                  <w:r>
                    <w:rPr>
                      <w:rFonts w:cs="宋体"/>
                      <w:color w:val="auto"/>
                      <w:kern w:val="0"/>
                    </w:rPr>
                    <w:t>按要求</w:t>
                  </w:r>
                  <w:r>
                    <w:rPr>
                      <w:rFonts w:hint="eastAsia" w:cs="宋体"/>
                      <w:color w:val="auto"/>
                      <w:kern w:val="0"/>
                      <w:lang w:val="en-US" w:eastAsia="zh-CN"/>
                    </w:rPr>
                    <w:t>进行</w:t>
                  </w:r>
                  <w:r>
                    <w:rPr>
                      <w:rFonts w:hint="eastAsia" w:cs="宋体"/>
                      <w:color w:val="auto"/>
                      <w:kern w:val="0"/>
                    </w:rPr>
                    <w:t>应急预案</w:t>
                  </w:r>
                  <w:r>
                    <w:rPr>
                      <w:rFonts w:hint="eastAsia" w:cs="宋体"/>
                      <w:color w:val="auto"/>
                      <w:kern w:val="0"/>
                      <w:lang w:val="en-US" w:eastAsia="zh-CN"/>
                    </w:rPr>
                    <w:t>备案</w:t>
                  </w:r>
                  <w:r>
                    <w:rPr>
                      <w:rFonts w:hint="eastAsia" w:cs="宋体"/>
                      <w:color w:val="auto"/>
                      <w:kern w:val="0"/>
                    </w:rPr>
                    <w:t>，</w:t>
                  </w:r>
                  <w:r>
                    <w:rPr>
                      <w:rFonts w:cs="宋体"/>
                      <w:color w:val="auto"/>
                      <w:kern w:val="0"/>
                    </w:rPr>
                    <w:t>成立应急组织机构，定期开展应急演练，提高区域环境风险防范能力；</w:t>
                  </w:r>
                  <w:r>
                    <w:rPr>
                      <w:rFonts w:hint="eastAsia" w:cs="宋体"/>
                      <w:color w:val="auto"/>
                      <w:kern w:val="0"/>
                    </w:rPr>
                    <w:t>企业不属于土壤、地下水污染重点监管单位</w:t>
                  </w:r>
                  <w:r>
                    <w:rPr>
                      <w:rFonts w:cs="宋体"/>
                      <w:color w:val="auto"/>
                      <w:kern w:val="0"/>
                    </w:rPr>
                    <w:t>。</w:t>
                  </w:r>
                </w:p>
              </w:tc>
              <w:tc>
                <w:tcPr>
                  <w:tcW w:w="376" w:type="pct"/>
                  <w:vAlign w:val="center"/>
                </w:tcPr>
                <w:p w14:paraId="39C99EE5">
                  <w:pPr>
                    <w:pStyle w:val="116"/>
                    <w:spacing w:line="240" w:lineRule="auto"/>
                    <w:ind w:firstLine="0" w:firstLineChars="0"/>
                    <w:jc w:val="center"/>
                    <w:rPr>
                      <w:rFonts w:cs="宋体"/>
                      <w:color w:val="auto"/>
                      <w:kern w:val="0"/>
                    </w:rPr>
                  </w:pPr>
                  <w:r>
                    <w:rPr>
                      <w:rFonts w:hint="eastAsia" w:cs="宋体"/>
                      <w:color w:val="auto"/>
                      <w:kern w:val="0"/>
                    </w:rPr>
                    <w:t>符合</w:t>
                  </w:r>
                </w:p>
              </w:tc>
            </w:tr>
            <w:tr w14:paraId="7DD0536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2" w:type="pct"/>
                  <w:vMerge w:val="continue"/>
                  <w:vAlign w:val="center"/>
                </w:tcPr>
                <w:p w14:paraId="19A00985">
                  <w:pPr>
                    <w:pStyle w:val="116"/>
                    <w:spacing w:line="240" w:lineRule="auto"/>
                    <w:ind w:firstLine="0" w:firstLineChars="0"/>
                    <w:jc w:val="center"/>
                    <w:rPr>
                      <w:rFonts w:cs="宋体"/>
                      <w:color w:val="auto"/>
                      <w:kern w:val="0"/>
                    </w:rPr>
                  </w:pPr>
                </w:p>
              </w:tc>
              <w:tc>
                <w:tcPr>
                  <w:tcW w:w="713" w:type="pct"/>
                  <w:vMerge w:val="continue"/>
                  <w:vAlign w:val="center"/>
                </w:tcPr>
                <w:p w14:paraId="6CA8A182">
                  <w:pPr>
                    <w:pStyle w:val="116"/>
                    <w:spacing w:line="240" w:lineRule="auto"/>
                    <w:ind w:firstLine="0" w:firstLineChars="0"/>
                    <w:jc w:val="center"/>
                    <w:rPr>
                      <w:rFonts w:cs="宋体"/>
                      <w:color w:val="auto"/>
                      <w:kern w:val="0"/>
                    </w:rPr>
                  </w:pPr>
                </w:p>
              </w:tc>
              <w:tc>
                <w:tcPr>
                  <w:tcW w:w="612" w:type="pct"/>
                  <w:vAlign w:val="center"/>
                </w:tcPr>
                <w:p w14:paraId="4206CB34">
                  <w:pPr>
                    <w:pStyle w:val="116"/>
                    <w:spacing w:line="240" w:lineRule="auto"/>
                    <w:ind w:firstLine="0" w:firstLineChars="0"/>
                    <w:jc w:val="center"/>
                    <w:rPr>
                      <w:rFonts w:cs="宋体"/>
                      <w:color w:val="auto"/>
                      <w:kern w:val="0"/>
                    </w:rPr>
                  </w:pPr>
                  <w:r>
                    <w:rPr>
                      <w:rFonts w:hint="eastAsia" w:cs="宋体"/>
                      <w:color w:val="auto"/>
                      <w:kern w:val="0"/>
                    </w:rPr>
                    <w:t>资源利用效率要求</w:t>
                  </w:r>
                </w:p>
              </w:tc>
              <w:tc>
                <w:tcPr>
                  <w:tcW w:w="1739" w:type="pct"/>
                  <w:vAlign w:val="center"/>
                </w:tcPr>
                <w:p w14:paraId="21EE650A">
                  <w:pPr>
                    <w:pStyle w:val="116"/>
                    <w:spacing w:line="240" w:lineRule="auto"/>
                    <w:ind w:firstLine="0" w:firstLineChars="0"/>
                    <w:jc w:val="both"/>
                    <w:rPr>
                      <w:rFonts w:cs="宋体"/>
                      <w:color w:val="auto"/>
                      <w:kern w:val="0"/>
                    </w:rPr>
                  </w:pPr>
                  <w:r>
                    <w:rPr>
                      <w:rFonts w:cs="宋体"/>
                      <w:color w:val="auto"/>
                      <w:kern w:val="0"/>
                    </w:rPr>
                    <w:t>1、高新区街道位于浅层地下水限采区，执行全市资源利用总体管控要求中地下水限采区管控要求。2、推进海绵城市建设，加快城镇供水管网改造，推广节水器具，提高水资源重复利用率，加强再生水的回用。3、禁燃区执行全市资源利用总体管控要求中禁燃区管控要求。</w:t>
                  </w:r>
                </w:p>
              </w:tc>
              <w:tc>
                <w:tcPr>
                  <w:tcW w:w="818" w:type="pct"/>
                  <w:vAlign w:val="center"/>
                </w:tcPr>
                <w:p w14:paraId="7832E10E">
                  <w:pPr>
                    <w:pStyle w:val="116"/>
                    <w:spacing w:line="240" w:lineRule="auto"/>
                    <w:ind w:firstLine="0" w:firstLineChars="0"/>
                    <w:jc w:val="both"/>
                    <w:rPr>
                      <w:rFonts w:cs="宋体"/>
                      <w:color w:val="auto"/>
                      <w:kern w:val="0"/>
                    </w:rPr>
                  </w:pPr>
                  <w:r>
                    <w:rPr>
                      <w:rFonts w:hint="eastAsia" w:cs="宋体"/>
                      <w:color w:val="auto"/>
                      <w:kern w:val="0"/>
                    </w:rPr>
                    <w:t>本项目用水由园区管网供给，不涉及地下水取用。</w:t>
                  </w:r>
                </w:p>
              </w:tc>
              <w:tc>
                <w:tcPr>
                  <w:tcW w:w="376" w:type="pct"/>
                  <w:vAlign w:val="center"/>
                </w:tcPr>
                <w:p w14:paraId="615A4688">
                  <w:pPr>
                    <w:pStyle w:val="116"/>
                    <w:spacing w:line="240" w:lineRule="auto"/>
                    <w:ind w:firstLine="0" w:firstLineChars="0"/>
                    <w:jc w:val="both"/>
                    <w:rPr>
                      <w:rFonts w:cs="宋体"/>
                      <w:color w:val="auto"/>
                      <w:kern w:val="0"/>
                    </w:rPr>
                  </w:pPr>
                  <w:r>
                    <w:rPr>
                      <w:rFonts w:hint="eastAsia" w:cs="宋体"/>
                      <w:color w:val="auto"/>
                      <w:kern w:val="0"/>
                    </w:rPr>
                    <w:t>符合</w:t>
                  </w:r>
                </w:p>
              </w:tc>
            </w:tr>
          </w:tbl>
          <w:p w14:paraId="392C59A8">
            <w:pPr>
              <w:pStyle w:val="116"/>
              <w:ind w:firstLine="420"/>
              <w:rPr>
                <w:color w:val="auto"/>
                <w:kern w:val="0"/>
              </w:rPr>
            </w:pPr>
            <w:r>
              <w:rPr>
                <w:rFonts w:hint="eastAsia" w:cs="宋体"/>
                <w:color w:val="auto"/>
                <w:kern w:val="0"/>
              </w:rPr>
              <w:t>③</w:t>
            </w:r>
            <w:r>
              <w:rPr>
                <w:rFonts w:hint="eastAsia"/>
                <w:color w:val="auto"/>
                <w:kern w:val="0"/>
              </w:rPr>
              <w:t>项目与</w:t>
            </w:r>
            <w:r>
              <w:rPr>
                <w:color w:val="auto"/>
                <w:kern w:val="0"/>
              </w:rPr>
              <w:t>高新区生态环境准入清单</w:t>
            </w:r>
            <w:r>
              <w:rPr>
                <w:rFonts w:hint="eastAsia"/>
                <w:color w:val="auto"/>
                <w:kern w:val="0"/>
              </w:rPr>
              <w:t>的符合性分析</w:t>
            </w:r>
          </w:p>
          <w:p w14:paraId="4F701EF1">
            <w:pPr>
              <w:pStyle w:val="116"/>
              <w:ind w:firstLine="420"/>
              <w:rPr>
                <w:rFonts w:cs="宋体"/>
                <w:color w:val="auto"/>
                <w:kern w:val="0"/>
              </w:rPr>
            </w:pPr>
            <w:r>
              <w:rPr>
                <w:rFonts w:cs="宋体"/>
                <w:color w:val="auto"/>
                <w:kern w:val="0"/>
              </w:rPr>
              <w:t>本项目位于高新区本部</w:t>
            </w:r>
            <w:r>
              <w:rPr>
                <w:rFonts w:hint="eastAsia" w:cs="宋体"/>
                <w:color w:val="auto"/>
                <w:kern w:val="0"/>
              </w:rPr>
              <w:t>科创</w:t>
            </w:r>
            <w:r>
              <w:rPr>
                <w:rFonts w:cs="宋体"/>
                <w:color w:val="auto"/>
                <w:kern w:val="0"/>
              </w:rPr>
              <w:t>组团</w:t>
            </w:r>
            <w:r>
              <w:rPr>
                <w:rFonts w:hint="eastAsia" w:cs="宋体"/>
                <w:color w:val="auto"/>
                <w:kern w:val="0"/>
              </w:rPr>
              <w:t>，</w:t>
            </w:r>
            <w:r>
              <w:rPr>
                <w:rFonts w:cs="宋体"/>
                <w:color w:val="auto"/>
                <w:kern w:val="0"/>
              </w:rPr>
              <w:t>根据</w:t>
            </w:r>
            <w:r>
              <w:rPr>
                <w:rFonts w:hint="eastAsia"/>
                <w:color w:val="auto"/>
              </w:rPr>
              <w:t>《唐山高新技术产业开发区总体规划（2021-2035年）环境影响报告书》，</w:t>
            </w:r>
            <w:r>
              <w:rPr>
                <w:rFonts w:cs="宋体"/>
                <w:color w:val="auto"/>
                <w:kern w:val="0"/>
              </w:rPr>
              <w:t>本项目与</w:t>
            </w:r>
            <w:r>
              <w:rPr>
                <w:rFonts w:hint="eastAsia" w:cs="宋体"/>
                <w:color w:val="auto"/>
                <w:kern w:val="0"/>
              </w:rPr>
              <w:t>所在管控</w:t>
            </w:r>
            <w:r>
              <w:rPr>
                <w:rFonts w:cs="宋体"/>
                <w:color w:val="auto"/>
                <w:kern w:val="0"/>
              </w:rPr>
              <w:t>单元生态环境准入清单进行</w:t>
            </w:r>
            <w:r>
              <w:rPr>
                <w:rFonts w:hint="eastAsia" w:cs="宋体"/>
                <w:color w:val="auto"/>
                <w:kern w:val="0"/>
              </w:rPr>
              <w:t>符合性分析，</w:t>
            </w:r>
            <w:r>
              <w:rPr>
                <w:rFonts w:cs="宋体"/>
                <w:color w:val="auto"/>
                <w:kern w:val="0"/>
              </w:rPr>
              <w:t>见下表</w:t>
            </w:r>
            <w:r>
              <w:rPr>
                <w:rFonts w:hint="eastAsia" w:cs="宋体"/>
                <w:color w:val="auto"/>
                <w:kern w:val="0"/>
              </w:rPr>
              <w:t>。</w:t>
            </w:r>
          </w:p>
          <w:p w14:paraId="18476917">
            <w:pPr>
              <w:pStyle w:val="10"/>
              <w:rPr>
                <w:color w:val="auto"/>
              </w:rPr>
            </w:pPr>
            <w:r>
              <w:rPr>
                <w:rFonts w:hint="eastAsia"/>
                <w:color w:val="auto"/>
              </w:rPr>
              <w:t>表1</w:t>
            </w:r>
            <w:r>
              <w:rPr>
                <w:rFonts w:hint="eastAsia"/>
                <w:color w:val="auto"/>
                <w:lang w:eastAsia="zh-CN"/>
              </w:rPr>
              <w:t>-</w:t>
            </w:r>
            <w:r>
              <w:rPr>
                <w:color w:val="auto"/>
              </w:rPr>
              <w:fldChar w:fldCharType="begin"/>
            </w:r>
            <w:r>
              <w:rPr>
                <w:color w:val="auto"/>
              </w:rPr>
              <w:instrText xml:space="preserve"> </w:instrText>
            </w:r>
            <w:r>
              <w:rPr>
                <w:rFonts w:hint="eastAsia"/>
                <w:color w:val="auto"/>
              </w:rPr>
              <w:instrText xml:space="preserve">SEQ 表1- \* ARABIC</w:instrText>
            </w:r>
            <w:r>
              <w:rPr>
                <w:color w:val="auto"/>
              </w:rPr>
              <w:instrText xml:space="preserve"> </w:instrText>
            </w:r>
            <w:r>
              <w:rPr>
                <w:color w:val="auto"/>
              </w:rPr>
              <w:fldChar w:fldCharType="separate"/>
            </w:r>
            <w:r>
              <w:rPr>
                <w:color w:val="auto"/>
              </w:rPr>
              <w:t>5</w:t>
            </w:r>
            <w:r>
              <w:rPr>
                <w:color w:val="auto"/>
              </w:rPr>
              <w:fldChar w:fldCharType="end"/>
            </w:r>
            <w:r>
              <w:rPr>
                <w:rFonts w:hint="eastAsia"/>
                <w:color w:val="auto"/>
              </w:rPr>
              <w:t>与高新区管控单元生态环境准入清单符合性分析</w:t>
            </w:r>
          </w:p>
          <w:tbl>
            <w:tblPr>
              <w:tblStyle w:val="33"/>
              <w:tblW w:w="6975"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8"/>
              <w:gridCol w:w="992"/>
              <w:gridCol w:w="709"/>
              <w:gridCol w:w="2840"/>
              <w:gridCol w:w="1271"/>
              <w:gridCol w:w="425"/>
            </w:tblGrid>
            <w:tr w14:paraId="59D5F17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8" w:type="dxa"/>
                  <w:vAlign w:val="center"/>
                </w:tcPr>
                <w:p w14:paraId="7C25DCA4">
                  <w:pPr>
                    <w:pStyle w:val="116"/>
                    <w:spacing w:line="240" w:lineRule="auto"/>
                    <w:ind w:firstLine="0" w:firstLineChars="0"/>
                    <w:jc w:val="center"/>
                    <w:rPr>
                      <w:rFonts w:cs="宋体"/>
                      <w:color w:val="auto"/>
                      <w:kern w:val="0"/>
                    </w:rPr>
                  </w:pPr>
                  <w:r>
                    <w:rPr>
                      <w:rFonts w:hint="eastAsia" w:cs="宋体"/>
                      <w:color w:val="auto"/>
                      <w:kern w:val="0"/>
                    </w:rPr>
                    <w:t>管控单元</w:t>
                  </w:r>
                </w:p>
              </w:tc>
              <w:tc>
                <w:tcPr>
                  <w:tcW w:w="992" w:type="dxa"/>
                  <w:vAlign w:val="center"/>
                </w:tcPr>
                <w:p w14:paraId="766A102F">
                  <w:pPr>
                    <w:pStyle w:val="116"/>
                    <w:spacing w:line="240" w:lineRule="auto"/>
                    <w:ind w:firstLine="0" w:firstLineChars="0"/>
                    <w:jc w:val="center"/>
                    <w:rPr>
                      <w:rFonts w:cs="宋体"/>
                      <w:color w:val="auto"/>
                      <w:kern w:val="0"/>
                    </w:rPr>
                  </w:pPr>
                  <w:r>
                    <w:rPr>
                      <w:rFonts w:hint="eastAsia" w:cs="宋体"/>
                      <w:color w:val="auto"/>
                      <w:kern w:val="0"/>
                    </w:rPr>
                    <w:t>单元</w:t>
                  </w:r>
                </w:p>
                <w:p w14:paraId="1D4CEA31">
                  <w:pPr>
                    <w:pStyle w:val="116"/>
                    <w:spacing w:line="240" w:lineRule="auto"/>
                    <w:ind w:firstLine="0" w:firstLineChars="0"/>
                    <w:jc w:val="center"/>
                    <w:rPr>
                      <w:rFonts w:cs="宋体"/>
                      <w:color w:val="auto"/>
                      <w:kern w:val="0"/>
                    </w:rPr>
                  </w:pPr>
                  <w:r>
                    <w:rPr>
                      <w:rFonts w:hint="eastAsia" w:cs="宋体"/>
                      <w:color w:val="auto"/>
                      <w:kern w:val="0"/>
                    </w:rPr>
                    <w:t>特征</w:t>
                  </w:r>
                </w:p>
              </w:tc>
              <w:tc>
                <w:tcPr>
                  <w:tcW w:w="709" w:type="dxa"/>
                  <w:vAlign w:val="center"/>
                </w:tcPr>
                <w:p w14:paraId="0F38CE7D">
                  <w:pPr>
                    <w:pStyle w:val="116"/>
                    <w:spacing w:line="240" w:lineRule="auto"/>
                    <w:ind w:firstLine="0" w:firstLineChars="0"/>
                    <w:jc w:val="center"/>
                    <w:rPr>
                      <w:rFonts w:cs="宋体"/>
                      <w:color w:val="auto"/>
                      <w:kern w:val="0"/>
                    </w:rPr>
                  </w:pPr>
                  <w:r>
                    <w:rPr>
                      <w:rFonts w:hint="eastAsia" w:cs="宋体"/>
                      <w:color w:val="auto"/>
                      <w:kern w:val="0"/>
                    </w:rPr>
                    <w:t>维度</w:t>
                  </w:r>
                </w:p>
              </w:tc>
              <w:tc>
                <w:tcPr>
                  <w:tcW w:w="2840" w:type="dxa"/>
                  <w:vAlign w:val="center"/>
                </w:tcPr>
                <w:p w14:paraId="2D1EFF4F">
                  <w:pPr>
                    <w:pStyle w:val="116"/>
                    <w:spacing w:line="240" w:lineRule="auto"/>
                    <w:ind w:firstLine="0" w:firstLineChars="0"/>
                    <w:jc w:val="center"/>
                    <w:rPr>
                      <w:rFonts w:cs="宋体"/>
                      <w:color w:val="auto"/>
                      <w:kern w:val="0"/>
                    </w:rPr>
                  </w:pPr>
                  <w:r>
                    <w:rPr>
                      <w:rFonts w:hint="eastAsia" w:cs="宋体"/>
                      <w:color w:val="auto"/>
                      <w:kern w:val="0"/>
                    </w:rPr>
                    <w:t>管控要求</w:t>
                  </w:r>
                </w:p>
              </w:tc>
              <w:tc>
                <w:tcPr>
                  <w:tcW w:w="1271" w:type="dxa"/>
                  <w:vAlign w:val="center"/>
                </w:tcPr>
                <w:p w14:paraId="30E7D0CF">
                  <w:pPr>
                    <w:pStyle w:val="116"/>
                    <w:spacing w:line="240" w:lineRule="auto"/>
                    <w:ind w:firstLine="0" w:firstLineChars="0"/>
                    <w:jc w:val="center"/>
                    <w:rPr>
                      <w:rFonts w:cs="宋体"/>
                      <w:color w:val="auto"/>
                      <w:kern w:val="0"/>
                    </w:rPr>
                  </w:pPr>
                  <w:r>
                    <w:rPr>
                      <w:rFonts w:hint="eastAsia" w:cs="宋体"/>
                      <w:color w:val="auto"/>
                      <w:kern w:val="0"/>
                    </w:rPr>
                    <w:t>本项目</w:t>
                  </w:r>
                </w:p>
              </w:tc>
              <w:tc>
                <w:tcPr>
                  <w:tcW w:w="425" w:type="dxa"/>
                  <w:vAlign w:val="center"/>
                </w:tcPr>
                <w:p w14:paraId="4A05BB5F">
                  <w:pPr>
                    <w:pStyle w:val="116"/>
                    <w:spacing w:line="240" w:lineRule="auto"/>
                    <w:ind w:firstLine="0" w:firstLineChars="0"/>
                    <w:jc w:val="center"/>
                    <w:rPr>
                      <w:rFonts w:cs="宋体"/>
                      <w:color w:val="auto"/>
                      <w:kern w:val="0"/>
                    </w:rPr>
                  </w:pPr>
                  <w:r>
                    <w:rPr>
                      <w:rFonts w:hint="eastAsia" w:cs="宋体"/>
                      <w:color w:val="auto"/>
                      <w:kern w:val="0"/>
                    </w:rPr>
                    <w:t>符合性</w:t>
                  </w:r>
                </w:p>
              </w:tc>
            </w:tr>
            <w:tr w14:paraId="0D542FA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8" w:type="dxa"/>
                  <w:vMerge w:val="restart"/>
                  <w:vAlign w:val="center"/>
                </w:tcPr>
                <w:p w14:paraId="55606D5C">
                  <w:pPr>
                    <w:pStyle w:val="116"/>
                    <w:spacing w:line="240" w:lineRule="auto"/>
                    <w:ind w:firstLine="0" w:firstLineChars="0"/>
                    <w:jc w:val="center"/>
                    <w:rPr>
                      <w:rFonts w:cs="宋体"/>
                      <w:color w:val="auto"/>
                      <w:kern w:val="0"/>
                    </w:rPr>
                  </w:pPr>
                  <w:r>
                    <w:rPr>
                      <w:rFonts w:hint="eastAsia" w:cs="宋体"/>
                      <w:color w:val="auto"/>
                      <w:kern w:val="0"/>
                    </w:rPr>
                    <w:t>科创组团重点管控单元</w:t>
                  </w:r>
                </w:p>
              </w:tc>
              <w:tc>
                <w:tcPr>
                  <w:tcW w:w="992" w:type="dxa"/>
                  <w:vMerge w:val="restart"/>
                  <w:vAlign w:val="center"/>
                </w:tcPr>
                <w:p w14:paraId="1638670D">
                  <w:pPr>
                    <w:pStyle w:val="46"/>
                    <w:spacing w:before="24" w:after="24" w:line="240" w:lineRule="auto"/>
                    <w:ind w:firstLine="0" w:firstLineChars="0"/>
                    <w:rPr>
                      <w:color w:val="auto"/>
                      <w:sz w:val="21"/>
                      <w:szCs w:val="21"/>
                    </w:rPr>
                  </w:pPr>
                  <w:r>
                    <w:rPr>
                      <w:rFonts w:hint="eastAsia"/>
                      <w:b/>
                      <w:color w:val="auto"/>
                      <w:sz w:val="21"/>
                      <w:szCs w:val="21"/>
                    </w:rPr>
                    <w:t>发展定位</w:t>
                  </w:r>
                  <w:r>
                    <w:rPr>
                      <w:rFonts w:hint="eastAsia"/>
                      <w:color w:val="auto"/>
                      <w:sz w:val="21"/>
                      <w:szCs w:val="21"/>
                    </w:rPr>
                    <w:t>：科创中心</w:t>
                  </w:r>
                </w:p>
                <w:p w14:paraId="342F7CDE">
                  <w:pPr>
                    <w:pStyle w:val="46"/>
                    <w:spacing w:before="24" w:after="24" w:line="240" w:lineRule="auto"/>
                    <w:ind w:firstLine="0" w:firstLineChars="0"/>
                    <w:rPr>
                      <w:color w:val="auto"/>
                      <w:sz w:val="21"/>
                      <w:szCs w:val="21"/>
                    </w:rPr>
                  </w:pPr>
                  <w:r>
                    <w:rPr>
                      <w:rFonts w:hint="eastAsia"/>
                      <w:b/>
                      <w:color w:val="auto"/>
                      <w:sz w:val="21"/>
                      <w:szCs w:val="21"/>
                    </w:rPr>
                    <w:t>主导产业</w:t>
                  </w:r>
                  <w:r>
                    <w:rPr>
                      <w:rFonts w:hint="eastAsia"/>
                      <w:color w:val="auto"/>
                      <w:sz w:val="21"/>
                      <w:szCs w:val="21"/>
                    </w:rPr>
                    <w:t>：机器人、智能装备、信息技术</w:t>
                  </w:r>
                  <w:r>
                    <w:rPr>
                      <w:color w:val="auto"/>
                      <w:sz w:val="21"/>
                      <w:szCs w:val="21"/>
                    </w:rPr>
                    <w:t xml:space="preserve"> </w:t>
                  </w:r>
                </w:p>
                <w:p w14:paraId="27F9AEB4">
                  <w:pPr>
                    <w:pStyle w:val="46"/>
                    <w:spacing w:before="24" w:after="24" w:line="240" w:lineRule="auto"/>
                    <w:ind w:firstLine="0" w:firstLineChars="0"/>
                    <w:rPr>
                      <w:color w:val="auto"/>
                      <w:sz w:val="21"/>
                      <w:szCs w:val="21"/>
                    </w:rPr>
                  </w:pPr>
                  <w:r>
                    <w:rPr>
                      <w:rFonts w:hint="eastAsia"/>
                      <w:b/>
                      <w:color w:val="auto"/>
                      <w:sz w:val="21"/>
                      <w:szCs w:val="21"/>
                    </w:rPr>
                    <w:t>主要环境问题</w:t>
                  </w:r>
                  <w:r>
                    <w:rPr>
                      <w:rFonts w:hint="eastAsia"/>
                      <w:color w:val="auto"/>
                      <w:sz w:val="21"/>
                      <w:szCs w:val="21"/>
                    </w:rPr>
                    <w:t>：</w:t>
                  </w:r>
                  <w:r>
                    <w:rPr>
                      <w:color w:val="auto"/>
                      <w:sz w:val="21"/>
                      <w:szCs w:val="21"/>
                    </w:rPr>
                    <w:t xml:space="preserve"> </w:t>
                  </w:r>
                </w:p>
                <w:p w14:paraId="0F59D02F">
                  <w:pPr>
                    <w:pStyle w:val="46"/>
                    <w:spacing w:before="24" w:after="24" w:line="240" w:lineRule="auto"/>
                    <w:ind w:firstLine="0" w:firstLineChars="0"/>
                    <w:rPr>
                      <w:color w:val="auto"/>
                      <w:sz w:val="21"/>
                      <w:szCs w:val="21"/>
                    </w:rPr>
                  </w:pPr>
                  <w:r>
                    <w:rPr>
                      <w:rFonts w:ascii="Times New Roman" w:cs="Times New Roman"/>
                      <w:color w:val="auto"/>
                      <w:sz w:val="21"/>
                      <w:szCs w:val="21"/>
                    </w:rPr>
                    <w:t>1</w:t>
                  </w:r>
                  <w:r>
                    <w:rPr>
                      <w:rFonts w:hint="eastAsia" w:ascii="Times New Roman" w:cs="Times New Roman"/>
                      <w:color w:val="auto"/>
                      <w:sz w:val="21"/>
                      <w:szCs w:val="21"/>
                    </w:rPr>
                    <w:t>、</w:t>
                  </w:r>
                  <w:r>
                    <w:rPr>
                      <w:rFonts w:hint="eastAsia"/>
                      <w:color w:val="auto"/>
                      <w:sz w:val="21"/>
                      <w:szCs w:val="21"/>
                    </w:rPr>
                    <w:t>现状</w:t>
                  </w:r>
                  <w:r>
                    <w:rPr>
                      <w:rFonts w:ascii="Times New Roman" w:cs="Times New Roman"/>
                      <w:color w:val="auto"/>
                      <w:sz w:val="21"/>
                      <w:szCs w:val="21"/>
                    </w:rPr>
                    <w:t>PM</w:t>
                  </w:r>
                  <w:r>
                    <w:rPr>
                      <w:rFonts w:ascii="Times New Roman" w:cs="Times New Roman"/>
                      <w:color w:val="auto"/>
                      <w:sz w:val="14"/>
                      <w:szCs w:val="14"/>
                    </w:rPr>
                    <w:t>2.5</w:t>
                  </w:r>
                  <w:r>
                    <w:rPr>
                      <w:rFonts w:hint="eastAsia"/>
                      <w:color w:val="auto"/>
                      <w:sz w:val="21"/>
                      <w:szCs w:val="21"/>
                    </w:rPr>
                    <w:t>、</w:t>
                  </w:r>
                  <w:r>
                    <w:rPr>
                      <w:rFonts w:ascii="Times New Roman" w:cs="Times New Roman"/>
                      <w:color w:val="auto"/>
                      <w:sz w:val="21"/>
                      <w:szCs w:val="21"/>
                    </w:rPr>
                    <w:t>PM</w:t>
                  </w:r>
                  <w:r>
                    <w:rPr>
                      <w:rFonts w:ascii="Times New Roman" w:cs="Times New Roman"/>
                      <w:color w:val="auto"/>
                      <w:sz w:val="14"/>
                      <w:szCs w:val="14"/>
                    </w:rPr>
                    <w:t>10</w:t>
                  </w:r>
                  <w:r>
                    <w:rPr>
                      <w:rFonts w:hint="eastAsia"/>
                      <w:color w:val="auto"/>
                      <w:sz w:val="21"/>
                      <w:szCs w:val="21"/>
                    </w:rPr>
                    <w:t>、</w:t>
                  </w:r>
                  <w:r>
                    <w:rPr>
                      <w:rFonts w:ascii="Times New Roman" w:cs="Times New Roman"/>
                      <w:color w:val="auto"/>
                      <w:sz w:val="21"/>
                      <w:szCs w:val="21"/>
                    </w:rPr>
                    <w:t>O</w:t>
                  </w:r>
                  <w:r>
                    <w:rPr>
                      <w:rFonts w:ascii="Times New Roman" w:cs="Times New Roman"/>
                      <w:color w:val="auto"/>
                      <w:sz w:val="14"/>
                      <w:szCs w:val="14"/>
                    </w:rPr>
                    <w:t>3</w:t>
                  </w:r>
                  <w:r>
                    <w:rPr>
                      <w:rFonts w:hint="eastAsia"/>
                      <w:color w:val="auto"/>
                      <w:sz w:val="21"/>
                      <w:szCs w:val="21"/>
                    </w:rPr>
                    <w:t>超标</w:t>
                  </w:r>
                  <w:r>
                    <w:rPr>
                      <w:color w:val="auto"/>
                      <w:sz w:val="21"/>
                      <w:szCs w:val="21"/>
                    </w:rPr>
                    <w:t xml:space="preserve"> </w:t>
                  </w:r>
                </w:p>
                <w:p w14:paraId="46CE993D">
                  <w:pPr>
                    <w:pStyle w:val="46"/>
                    <w:spacing w:before="24" w:after="24" w:line="240" w:lineRule="auto"/>
                    <w:ind w:firstLine="0" w:firstLineChars="0"/>
                    <w:rPr>
                      <w:color w:val="auto"/>
                      <w:sz w:val="21"/>
                      <w:szCs w:val="21"/>
                    </w:rPr>
                  </w:pPr>
                  <w:r>
                    <w:rPr>
                      <w:rFonts w:ascii="Times New Roman" w:cs="Times New Roman"/>
                      <w:color w:val="auto"/>
                      <w:sz w:val="21"/>
                      <w:szCs w:val="21"/>
                    </w:rPr>
                    <w:t>2</w:t>
                  </w:r>
                  <w:r>
                    <w:rPr>
                      <w:rFonts w:hint="eastAsia" w:ascii="Times New Roman" w:cs="Times New Roman"/>
                      <w:color w:val="auto"/>
                      <w:sz w:val="21"/>
                      <w:szCs w:val="21"/>
                    </w:rPr>
                    <w:t>、</w:t>
                  </w:r>
                  <w:r>
                    <w:rPr>
                      <w:rFonts w:hint="eastAsia"/>
                      <w:color w:val="auto"/>
                      <w:sz w:val="21"/>
                      <w:szCs w:val="21"/>
                    </w:rPr>
                    <w:t>浅层地下水超采</w:t>
                  </w:r>
                  <w:r>
                    <w:rPr>
                      <w:color w:val="auto"/>
                      <w:sz w:val="21"/>
                      <w:szCs w:val="21"/>
                    </w:rPr>
                    <w:t xml:space="preserve"> </w:t>
                  </w:r>
                </w:p>
                <w:p w14:paraId="3C9F07D6">
                  <w:pPr>
                    <w:pStyle w:val="46"/>
                    <w:spacing w:before="24" w:after="24" w:line="240" w:lineRule="auto"/>
                    <w:ind w:firstLine="0" w:firstLineChars="0"/>
                    <w:rPr>
                      <w:color w:val="auto"/>
                      <w:sz w:val="21"/>
                      <w:szCs w:val="21"/>
                    </w:rPr>
                  </w:pPr>
                  <w:r>
                    <w:rPr>
                      <w:rFonts w:ascii="Times New Roman" w:cs="Times New Roman"/>
                      <w:color w:val="auto"/>
                      <w:sz w:val="21"/>
                      <w:szCs w:val="21"/>
                    </w:rPr>
                    <w:t>3</w:t>
                  </w:r>
                  <w:r>
                    <w:rPr>
                      <w:rFonts w:hint="eastAsia" w:ascii="Times New Roman" w:cs="Times New Roman"/>
                      <w:color w:val="auto"/>
                      <w:sz w:val="21"/>
                      <w:szCs w:val="21"/>
                    </w:rPr>
                    <w:t>、</w:t>
                  </w:r>
                  <w:r>
                    <w:rPr>
                      <w:rFonts w:hint="eastAsia"/>
                      <w:color w:val="auto"/>
                      <w:sz w:val="21"/>
                      <w:szCs w:val="21"/>
                    </w:rPr>
                    <w:t>工居混杂</w:t>
                  </w:r>
                  <w:r>
                    <w:rPr>
                      <w:color w:val="auto"/>
                      <w:sz w:val="21"/>
                      <w:szCs w:val="21"/>
                    </w:rPr>
                    <w:t xml:space="preserve"> </w:t>
                  </w:r>
                </w:p>
                <w:p w14:paraId="3C471D5E">
                  <w:pPr>
                    <w:pStyle w:val="116"/>
                    <w:spacing w:line="240" w:lineRule="auto"/>
                    <w:ind w:firstLine="0" w:firstLineChars="0"/>
                    <w:rPr>
                      <w:rFonts w:cs="宋体"/>
                      <w:color w:val="auto"/>
                      <w:kern w:val="0"/>
                    </w:rPr>
                  </w:pPr>
                  <w:r>
                    <w:rPr>
                      <w:color w:val="auto"/>
                    </w:rPr>
                    <w:t>4</w:t>
                  </w:r>
                  <w:r>
                    <w:rPr>
                      <w:rFonts w:hint="eastAsia"/>
                      <w:color w:val="auto"/>
                    </w:rPr>
                    <w:t>、存在较大风险源</w:t>
                  </w:r>
                  <w:r>
                    <w:rPr>
                      <w:color w:val="auto"/>
                    </w:rPr>
                    <w:t xml:space="preserve"> </w:t>
                  </w:r>
                </w:p>
              </w:tc>
              <w:tc>
                <w:tcPr>
                  <w:tcW w:w="709" w:type="dxa"/>
                  <w:vAlign w:val="center"/>
                </w:tcPr>
                <w:p w14:paraId="3B4DBB4A">
                  <w:pPr>
                    <w:pStyle w:val="116"/>
                    <w:spacing w:line="240" w:lineRule="auto"/>
                    <w:ind w:firstLine="0" w:firstLineChars="0"/>
                    <w:jc w:val="center"/>
                    <w:rPr>
                      <w:rFonts w:cs="宋体"/>
                      <w:color w:val="auto"/>
                      <w:kern w:val="0"/>
                    </w:rPr>
                  </w:pPr>
                  <w:r>
                    <w:rPr>
                      <w:rFonts w:hint="eastAsia" w:cs="宋体"/>
                      <w:color w:val="auto"/>
                      <w:kern w:val="0"/>
                    </w:rPr>
                    <w:t>空间布局约束</w:t>
                  </w:r>
                </w:p>
              </w:tc>
              <w:tc>
                <w:tcPr>
                  <w:tcW w:w="2840" w:type="dxa"/>
                  <w:vAlign w:val="center"/>
                </w:tcPr>
                <w:p w14:paraId="4A5175B2">
                  <w:pPr>
                    <w:pStyle w:val="46"/>
                    <w:spacing w:before="24" w:after="24" w:line="240" w:lineRule="auto"/>
                    <w:ind w:firstLine="0" w:firstLineChars="0"/>
                    <w:jc w:val="both"/>
                    <w:rPr>
                      <w:rFonts w:ascii="Times New Roman" w:hAnsi="Times New Roman" w:eastAsia="宋体" w:cs="Times New Roman"/>
                      <w:bCs/>
                      <w:color w:val="auto"/>
                      <w:kern w:val="2"/>
                      <w:sz w:val="21"/>
                      <w:szCs w:val="21"/>
                      <w:lang w:val="en-US" w:eastAsia="zh-CN" w:bidi="ar-SA"/>
                    </w:rPr>
                  </w:pPr>
                  <w:r>
                    <w:rPr>
                      <w:rFonts w:ascii="Times New Roman" w:hAnsi="Times New Roman" w:eastAsia="宋体" w:cs="Times New Roman"/>
                      <w:bCs/>
                      <w:color w:val="auto"/>
                      <w:kern w:val="2"/>
                      <w:sz w:val="21"/>
                      <w:szCs w:val="21"/>
                      <w:lang w:val="en-US" w:eastAsia="zh-CN" w:bidi="ar-SA"/>
                    </w:rPr>
                    <w:t>1.</w:t>
                  </w:r>
                  <w:r>
                    <w:rPr>
                      <w:rFonts w:hint="eastAsia" w:ascii="Times New Roman" w:hAnsi="Times New Roman" w:eastAsia="宋体" w:cs="Times New Roman"/>
                      <w:bCs/>
                      <w:color w:val="auto"/>
                      <w:kern w:val="2"/>
                      <w:sz w:val="21"/>
                      <w:szCs w:val="21"/>
                      <w:lang w:val="en-US" w:eastAsia="zh-CN" w:bidi="ar-SA"/>
                    </w:rPr>
                    <w:t>主要发展与机器人密切相关的研发、孵化、创意、无污染生产等科创产业。</w:t>
                  </w:r>
                  <w:r>
                    <w:rPr>
                      <w:rFonts w:ascii="Times New Roman" w:hAnsi="Times New Roman" w:eastAsia="宋体" w:cs="Times New Roman"/>
                      <w:bCs/>
                      <w:color w:val="auto"/>
                      <w:kern w:val="2"/>
                      <w:sz w:val="21"/>
                      <w:szCs w:val="21"/>
                      <w:lang w:val="en-US" w:eastAsia="zh-CN" w:bidi="ar-SA"/>
                    </w:rPr>
                    <w:t xml:space="preserve"> </w:t>
                  </w:r>
                </w:p>
                <w:p w14:paraId="69315828">
                  <w:pPr>
                    <w:pStyle w:val="46"/>
                    <w:spacing w:before="24" w:after="24" w:line="240" w:lineRule="auto"/>
                    <w:ind w:firstLine="0" w:firstLineChars="0"/>
                    <w:jc w:val="both"/>
                    <w:rPr>
                      <w:rFonts w:ascii="Times New Roman" w:hAnsi="Times New Roman" w:eastAsia="宋体" w:cs="Times New Roman"/>
                      <w:bCs/>
                      <w:color w:val="auto"/>
                      <w:kern w:val="2"/>
                      <w:sz w:val="21"/>
                      <w:szCs w:val="21"/>
                      <w:lang w:val="en-US" w:eastAsia="zh-CN" w:bidi="ar-SA"/>
                    </w:rPr>
                  </w:pPr>
                  <w:r>
                    <w:rPr>
                      <w:rFonts w:ascii="Times New Roman" w:hAnsi="Times New Roman" w:eastAsia="宋体" w:cs="Times New Roman"/>
                      <w:bCs/>
                      <w:color w:val="auto"/>
                      <w:kern w:val="2"/>
                      <w:sz w:val="21"/>
                      <w:szCs w:val="21"/>
                      <w:lang w:val="en-US" w:eastAsia="zh-CN" w:bidi="ar-SA"/>
                    </w:rPr>
                    <w:t>2.</w:t>
                  </w:r>
                  <w:r>
                    <w:rPr>
                      <w:rFonts w:hint="eastAsia" w:ascii="Times New Roman" w:hAnsi="Times New Roman" w:eastAsia="宋体" w:cs="Times New Roman"/>
                      <w:bCs/>
                      <w:color w:val="auto"/>
                      <w:kern w:val="2"/>
                      <w:sz w:val="21"/>
                      <w:szCs w:val="21"/>
                      <w:lang w:val="en-US" w:eastAsia="zh-CN" w:bidi="ar-SA"/>
                    </w:rPr>
                    <w:t>加强工业区和居住区之间的隔离防护，强化区内企业异味及噪声污染防范，严格涉风险源企业管理，确保人居环境安全。</w:t>
                  </w:r>
                  <w:r>
                    <w:rPr>
                      <w:rFonts w:ascii="Times New Roman" w:hAnsi="Times New Roman" w:eastAsia="宋体" w:cs="Times New Roman"/>
                      <w:bCs/>
                      <w:color w:val="auto"/>
                      <w:kern w:val="2"/>
                      <w:sz w:val="21"/>
                      <w:szCs w:val="21"/>
                      <w:lang w:val="en-US" w:eastAsia="zh-CN" w:bidi="ar-SA"/>
                    </w:rPr>
                    <w:t xml:space="preserve"> </w:t>
                  </w:r>
                </w:p>
                <w:p w14:paraId="101D8D87">
                  <w:pPr>
                    <w:pStyle w:val="46"/>
                    <w:spacing w:before="24" w:after="24" w:line="240" w:lineRule="auto"/>
                    <w:ind w:firstLine="0" w:firstLineChars="0"/>
                    <w:jc w:val="both"/>
                    <w:rPr>
                      <w:rFonts w:ascii="Times New Roman" w:hAnsi="Times New Roman" w:eastAsia="宋体" w:cs="Times New Roman"/>
                      <w:bCs/>
                      <w:color w:val="auto"/>
                      <w:kern w:val="2"/>
                      <w:sz w:val="21"/>
                      <w:szCs w:val="21"/>
                      <w:lang w:val="en-US" w:eastAsia="zh-CN" w:bidi="ar-SA"/>
                    </w:rPr>
                  </w:pPr>
                  <w:r>
                    <w:rPr>
                      <w:rFonts w:ascii="Times New Roman" w:hAnsi="Times New Roman" w:eastAsia="宋体" w:cs="Times New Roman"/>
                      <w:bCs/>
                      <w:color w:val="auto"/>
                      <w:kern w:val="2"/>
                      <w:sz w:val="21"/>
                      <w:szCs w:val="21"/>
                      <w:lang w:val="en-US" w:eastAsia="zh-CN" w:bidi="ar-SA"/>
                    </w:rPr>
                    <w:t>3.</w:t>
                  </w:r>
                  <w:r>
                    <w:rPr>
                      <w:rFonts w:hint="eastAsia" w:ascii="Times New Roman" w:hAnsi="Times New Roman" w:eastAsia="宋体" w:cs="Times New Roman"/>
                      <w:bCs/>
                      <w:color w:val="auto"/>
                      <w:kern w:val="2"/>
                      <w:sz w:val="21"/>
                      <w:szCs w:val="21"/>
                      <w:lang w:val="en-US" w:eastAsia="zh-CN" w:bidi="ar-SA"/>
                    </w:rPr>
                    <w:t>禁止新建向城镇污水集中收集处理设施排入含重金属废水的工业项目。</w:t>
                  </w:r>
                  <w:r>
                    <w:rPr>
                      <w:rFonts w:ascii="Times New Roman" w:hAnsi="Times New Roman" w:eastAsia="宋体" w:cs="Times New Roman"/>
                      <w:bCs/>
                      <w:color w:val="auto"/>
                      <w:kern w:val="2"/>
                      <w:sz w:val="21"/>
                      <w:szCs w:val="21"/>
                      <w:lang w:val="en-US" w:eastAsia="zh-CN" w:bidi="ar-SA"/>
                    </w:rPr>
                    <w:t xml:space="preserve"> </w:t>
                  </w:r>
                </w:p>
                <w:p w14:paraId="1DE4DF30">
                  <w:pPr>
                    <w:pStyle w:val="46"/>
                    <w:spacing w:before="24" w:after="24" w:line="240" w:lineRule="auto"/>
                    <w:ind w:firstLine="0" w:firstLineChars="0"/>
                    <w:jc w:val="both"/>
                    <w:rPr>
                      <w:color w:val="auto"/>
                      <w:sz w:val="21"/>
                      <w:szCs w:val="21"/>
                    </w:rPr>
                  </w:pPr>
                  <w:r>
                    <w:rPr>
                      <w:color w:val="auto"/>
                      <w:sz w:val="21"/>
                      <w:szCs w:val="21"/>
                    </w:rPr>
                    <w:t>4.</w:t>
                  </w:r>
                  <w:r>
                    <w:rPr>
                      <w:rFonts w:hint="eastAsia"/>
                      <w:color w:val="auto"/>
                      <w:sz w:val="21"/>
                      <w:szCs w:val="21"/>
                    </w:rPr>
                    <w:t>一环线以内禁止布局搅拌站、沥青拌合站。</w:t>
                  </w:r>
                  <w:r>
                    <w:rPr>
                      <w:color w:val="auto"/>
                      <w:sz w:val="21"/>
                      <w:szCs w:val="21"/>
                    </w:rPr>
                    <w:t xml:space="preserve"> </w:t>
                  </w:r>
                </w:p>
                <w:p w14:paraId="40D88973">
                  <w:pPr>
                    <w:pStyle w:val="116"/>
                    <w:spacing w:line="240" w:lineRule="auto"/>
                    <w:ind w:firstLine="0" w:firstLineChars="0"/>
                    <w:jc w:val="both"/>
                    <w:rPr>
                      <w:rFonts w:cs="宋体"/>
                      <w:color w:val="auto"/>
                      <w:kern w:val="0"/>
                    </w:rPr>
                  </w:pPr>
                  <w:r>
                    <w:rPr>
                      <w:color w:val="auto"/>
                    </w:rPr>
                    <w:t>5.</w:t>
                  </w:r>
                  <w:r>
                    <w:rPr>
                      <w:rFonts w:hint="eastAsia" w:ascii="宋体" w:cs="宋体"/>
                      <w:color w:val="auto"/>
                    </w:rPr>
                    <w:t>禁止国</w:t>
                  </w:r>
                  <w:r>
                    <w:rPr>
                      <w:color w:val="auto"/>
                    </w:rPr>
                    <w:t>Ⅳ</w:t>
                  </w:r>
                  <w:r>
                    <w:rPr>
                      <w:rFonts w:hint="eastAsia" w:ascii="宋体" w:cs="宋体"/>
                      <w:color w:val="auto"/>
                    </w:rPr>
                    <w:t>及以下排放标准的柴油货车进入禁用区；禁止有可见黑烟的机动车进入禁用区。</w:t>
                  </w:r>
                  <w:r>
                    <w:rPr>
                      <w:rFonts w:ascii="宋体" w:cs="宋体"/>
                      <w:color w:val="auto"/>
                    </w:rPr>
                    <w:t xml:space="preserve"> </w:t>
                  </w:r>
                </w:p>
              </w:tc>
              <w:tc>
                <w:tcPr>
                  <w:tcW w:w="1271" w:type="dxa"/>
                  <w:vAlign w:val="center"/>
                </w:tcPr>
                <w:p w14:paraId="73A4EFA2">
                  <w:pPr>
                    <w:pStyle w:val="116"/>
                    <w:spacing w:line="240" w:lineRule="auto"/>
                    <w:ind w:firstLine="0" w:firstLineChars="0"/>
                    <w:jc w:val="both"/>
                    <w:rPr>
                      <w:rFonts w:cs="宋体"/>
                      <w:color w:val="auto"/>
                      <w:kern w:val="0"/>
                    </w:rPr>
                  </w:pPr>
                  <w:r>
                    <w:rPr>
                      <w:rFonts w:hint="eastAsia" w:cs="宋体"/>
                      <w:color w:val="auto"/>
                      <w:kern w:val="0"/>
                    </w:rPr>
                    <w:t>本项目</w:t>
                  </w:r>
                  <w:r>
                    <w:rPr>
                      <w:rFonts w:hint="eastAsia" w:cs="宋体"/>
                      <w:color w:val="auto"/>
                      <w:kern w:val="0"/>
                      <w:highlight w:val="none"/>
                    </w:rPr>
                    <w:t>为生产模锻件</w:t>
                  </w:r>
                  <w:r>
                    <w:rPr>
                      <w:rFonts w:hint="eastAsia" w:cs="宋体"/>
                      <w:color w:val="auto"/>
                      <w:kern w:val="0"/>
                      <w:highlight w:val="none"/>
                      <w:lang w:val="en-US" w:eastAsia="zh-CN"/>
                    </w:rPr>
                    <w:t>项目</w:t>
                  </w:r>
                  <w:r>
                    <w:rPr>
                      <w:rFonts w:hint="eastAsia" w:cs="宋体"/>
                      <w:color w:val="auto"/>
                      <w:kern w:val="0"/>
                      <w:highlight w:val="none"/>
                    </w:rPr>
                    <w:t>，</w:t>
                  </w:r>
                  <w:r>
                    <w:rPr>
                      <w:rFonts w:hint="eastAsia" w:cs="宋体"/>
                      <w:color w:val="auto"/>
                      <w:kern w:val="0"/>
                    </w:rPr>
                    <w:t>项目周围无居住区，本项目不涉及重金属废水排放，企业使用国Ⅴ及以上排放标准的运输车辆。</w:t>
                  </w:r>
                </w:p>
              </w:tc>
              <w:tc>
                <w:tcPr>
                  <w:tcW w:w="425" w:type="dxa"/>
                  <w:vAlign w:val="center"/>
                </w:tcPr>
                <w:p w14:paraId="321D4A19">
                  <w:pPr>
                    <w:pStyle w:val="116"/>
                    <w:spacing w:line="240" w:lineRule="auto"/>
                    <w:ind w:firstLine="0" w:firstLineChars="0"/>
                    <w:jc w:val="center"/>
                    <w:rPr>
                      <w:rFonts w:cs="宋体"/>
                      <w:color w:val="auto"/>
                      <w:kern w:val="0"/>
                    </w:rPr>
                  </w:pPr>
                  <w:r>
                    <w:rPr>
                      <w:rFonts w:hint="eastAsia" w:cs="宋体"/>
                      <w:color w:val="auto"/>
                      <w:kern w:val="0"/>
                    </w:rPr>
                    <w:t>符合</w:t>
                  </w:r>
                </w:p>
              </w:tc>
            </w:tr>
            <w:tr w14:paraId="6DAF5B2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8" w:type="dxa"/>
                  <w:vMerge w:val="continue"/>
                  <w:vAlign w:val="center"/>
                </w:tcPr>
                <w:p w14:paraId="23F74338">
                  <w:pPr>
                    <w:pStyle w:val="116"/>
                    <w:spacing w:line="240" w:lineRule="auto"/>
                    <w:ind w:firstLine="0" w:firstLineChars="0"/>
                    <w:jc w:val="center"/>
                    <w:rPr>
                      <w:rFonts w:cs="宋体"/>
                      <w:color w:val="auto"/>
                      <w:kern w:val="0"/>
                    </w:rPr>
                  </w:pPr>
                </w:p>
              </w:tc>
              <w:tc>
                <w:tcPr>
                  <w:tcW w:w="992" w:type="dxa"/>
                  <w:vMerge w:val="continue"/>
                  <w:vAlign w:val="center"/>
                </w:tcPr>
                <w:p w14:paraId="56036FCF">
                  <w:pPr>
                    <w:pStyle w:val="116"/>
                    <w:spacing w:line="240" w:lineRule="auto"/>
                    <w:ind w:firstLine="0" w:firstLineChars="0"/>
                    <w:jc w:val="center"/>
                    <w:rPr>
                      <w:rFonts w:cs="宋体"/>
                      <w:color w:val="auto"/>
                      <w:kern w:val="0"/>
                    </w:rPr>
                  </w:pPr>
                </w:p>
              </w:tc>
              <w:tc>
                <w:tcPr>
                  <w:tcW w:w="709" w:type="dxa"/>
                  <w:vAlign w:val="center"/>
                </w:tcPr>
                <w:p w14:paraId="48595463">
                  <w:pPr>
                    <w:pStyle w:val="116"/>
                    <w:spacing w:line="240" w:lineRule="auto"/>
                    <w:ind w:firstLine="0" w:firstLineChars="0"/>
                    <w:jc w:val="center"/>
                    <w:rPr>
                      <w:rFonts w:cs="宋体"/>
                      <w:color w:val="auto"/>
                      <w:kern w:val="0"/>
                    </w:rPr>
                  </w:pPr>
                  <w:r>
                    <w:rPr>
                      <w:rFonts w:hint="eastAsia" w:cs="宋体"/>
                      <w:color w:val="auto"/>
                      <w:kern w:val="0"/>
                    </w:rPr>
                    <w:t>污染物排放管控</w:t>
                  </w:r>
                </w:p>
              </w:tc>
              <w:tc>
                <w:tcPr>
                  <w:tcW w:w="2840" w:type="dxa"/>
                  <w:vAlign w:val="center"/>
                </w:tcPr>
                <w:p w14:paraId="2DDF9A81">
                  <w:pPr>
                    <w:pStyle w:val="46"/>
                    <w:spacing w:before="24" w:after="24" w:line="240" w:lineRule="auto"/>
                    <w:ind w:firstLine="0" w:firstLineChars="0"/>
                    <w:jc w:val="both"/>
                    <w:rPr>
                      <w:color w:val="auto"/>
                      <w:sz w:val="21"/>
                      <w:szCs w:val="21"/>
                    </w:rPr>
                  </w:pPr>
                  <w:r>
                    <w:rPr>
                      <w:color w:val="auto"/>
                      <w:sz w:val="21"/>
                      <w:szCs w:val="21"/>
                    </w:rPr>
                    <w:t>1.</w:t>
                  </w:r>
                  <w:r>
                    <w:rPr>
                      <w:rFonts w:hint="eastAsia"/>
                      <w:color w:val="auto"/>
                      <w:sz w:val="21"/>
                      <w:szCs w:val="21"/>
                    </w:rPr>
                    <w:t>新建智能装备制造等涉喷涂工艺项目力争逐步实现依托区内集中喷涂中心开展。对于金属切割、打磨等产生的含尘废气、焊接废气等应采取高效净化处理设施。</w:t>
                  </w:r>
                  <w:r>
                    <w:rPr>
                      <w:color w:val="auto"/>
                      <w:sz w:val="21"/>
                      <w:szCs w:val="21"/>
                    </w:rPr>
                    <w:t xml:space="preserve"> </w:t>
                  </w:r>
                </w:p>
                <w:p w14:paraId="35D82DB1">
                  <w:pPr>
                    <w:pStyle w:val="46"/>
                    <w:spacing w:before="24" w:after="24" w:line="240" w:lineRule="auto"/>
                    <w:ind w:firstLine="0" w:firstLineChars="0"/>
                    <w:jc w:val="both"/>
                    <w:rPr>
                      <w:color w:val="auto"/>
                      <w:sz w:val="21"/>
                      <w:szCs w:val="21"/>
                    </w:rPr>
                  </w:pPr>
                  <w:r>
                    <w:rPr>
                      <w:color w:val="auto"/>
                      <w:sz w:val="21"/>
                      <w:szCs w:val="21"/>
                    </w:rPr>
                    <w:t>2.</w:t>
                  </w:r>
                  <w:r>
                    <w:rPr>
                      <w:rFonts w:hint="eastAsia"/>
                      <w:color w:val="auto"/>
                      <w:sz w:val="21"/>
                      <w:szCs w:val="21"/>
                    </w:rPr>
                    <w:t>向污水集中处理设施排放工业废水的，应当按照国家有关规定进行预处理，达到集中污水处理设施处理工艺要求。</w:t>
                  </w:r>
                  <w:r>
                    <w:rPr>
                      <w:color w:val="auto"/>
                      <w:sz w:val="21"/>
                      <w:szCs w:val="21"/>
                    </w:rPr>
                    <w:t xml:space="preserve"> </w:t>
                  </w:r>
                </w:p>
                <w:p w14:paraId="0D06A6C9">
                  <w:pPr>
                    <w:pStyle w:val="116"/>
                    <w:spacing w:line="240" w:lineRule="auto"/>
                    <w:ind w:firstLine="0" w:firstLineChars="0"/>
                    <w:jc w:val="both"/>
                    <w:rPr>
                      <w:rFonts w:cs="宋体"/>
                      <w:color w:val="auto"/>
                      <w:kern w:val="0"/>
                    </w:rPr>
                  </w:pPr>
                  <w:r>
                    <w:rPr>
                      <w:color w:val="auto"/>
                    </w:rPr>
                    <w:t>3.</w:t>
                  </w:r>
                  <w:r>
                    <w:rPr>
                      <w:rFonts w:hint="eastAsia" w:ascii="宋体" w:cs="宋体"/>
                      <w:color w:val="auto"/>
                    </w:rPr>
                    <w:t>抓紧实施集中供热工程，替代现有企业自备采暖锅炉。</w:t>
                  </w:r>
                  <w:r>
                    <w:rPr>
                      <w:rFonts w:ascii="宋体" w:cs="宋体"/>
                      <w:color w:val="auto"/>
                    </w:rPr>
                    <w:t xml:space="preserve"> </w:t>
                  </w:r>
                </w:p>
              </w:tc>
              <w:tc>
                <w:tcPr>
                  <w:tcW w:w="1271" w:type="dxa"/>
                  <w:vAlign w:val="center"/>
                </w:tcPr>
                <w:p w14:paraId="05F9E66C">
                  <w:pPr>
                    <w:pStyle w:val="116"/>
                    <w:spacing w:line="240" w:lineRule="auto"/>
                    <w:ind w:firstLine="0" w:firstLineChars="0"/>
                    <w:jc w:val="both"/>
                    <w:rPr>
                      <w:rFonts w:cs="宋体"/>
                      <w:color w:val="auto"/>
                      <w:kern w:val="0"/>
                    </w:rPr>
                  </w:pPr>
                  <w:r>
                    <w:rPr>
                      <w:rFonts w:hint="eastAsia" w:cs="宋体"/>
                      <w:color w:val="auto"/>
                      <w:kern w:val="0"/>
                    </w:rPr>
                    <w:t>本</w:t>
                  </w:r>
                  <w:r>
                    <w:rPr>
                      <w:rFonts w:hint="eastAsia" w:cs="宋体"/>
                      <w:color w:val="auto"/>
                      <w:kern w:val="0"/>
                      <w:highlight w:val="none"/>
                    </w:rPr>
                    <w:t>项目不涉及喷涂，本项目</w:t>
                  </w:r>
                  <w:r>
                    <w:rPr>
                      <w:rFonts w:hint="eastAsia" w:cs="宋体"/>
                      <w:color w:val="auto"/>
                      <w:kern w:val="0"/>
                      <w:highlight w:val="none"/>
                      <w:lang w:val="en-US" w:eastAsia="zh-CN"/>
                    </w:rPr>
                    <w:t>抛丸工序</w:t>
                  </w:r>
                  <w:r>
                    <w:rPr>
                      <w:rFonts w:hint="eastAsia" w:cs="宋体"/>
                      <w:color w:val="auto"/>
                      <w:kern w:val="0"/>
                      <w:highlight w:val="none"/>
                    </w:rPr>
                    <w:t>产生的</w:t>
                  </w:r>
                  <w:r>
                    <w:rPr>
                      <w:rFonts w:hint="eastAsia" w:cs="宋体"/>
                      <w:color w:val="auto"/>
                      <w:kern w:val="0"/>
                      <w:highlight w:val="none"/>
                      <w:lang w:val="en-US" w:eastAsia="zh-CN"/>
                    </w:rPr>
                    <w:t>颗粒物</w:t>
                  </w:r>
                  <w:r>
                    <w:rPr>
                      <w:rFonts w:hint="eastAsia" w:cs="宋体"/>
                      <w:color w:val="auto"/>
                      <w:kern w:val="0"/>
                      <w:highlight w:val="none"/>
                    </w:rPr>
                    <w:t>采用除尘器处理后</w:t>
                  </w:r>
                  <w:r>
                    <w:rPr>
                      <w:rFonts w:hint="eastAsia" w:cs="宋体"/>
                      <w:color w:val="auto"/>
                      <w:kern w:val="0"/>
                      <w:highlight w:val="none"/>
                      <w:lang w:val="en-US" w:eastAsia="zh-CN"/>
                    </w:rPr>
                    <w:t>达标</w:t>
                  </w:r>
                  <w:r>
                    <w:rPr>
                      <w:rFonts w:hint="eastAsia" w:cs="宋体"/>
                      <w:color w:val="auto"/>
                      <w:kern w:val="0"/>
                      <w:highlight w:val="none"/>
                    </w:rPr>
                    <w:t>排放，</w:t>
                  </w:r>
                  <w:r>
                    <w:rPr>
                      <w:rFonts w:hint="eastAsia" w:cs="宋体"/>
                      <w:color w:val="auto"/>
                      <w:kern w:val="0"/>
                    </w:rPr>
                    <w:t>本项目不涉及废水排放，</w:t>
                  </w:r>
                  <w:r>
                    <w:rPr>
                      <w:color w:val="auto"/>
                      <w:szCs w:val="21"/>
                    </w:rPr>
                    <w:t>现有工程</w:t>
                  </w:r>
                  <w:r>
                    <w:rPr>
                      <w:rFonts w:hint="eastAsia"/>
                      <w:color w:val="auto"/>
                      <w:szCs w:val="21"/>
                    </w:rPr>
                    <w:t>冬季办公室取暖</w:t>
                  </w:r>
                  <w:r>
                    <w:rPr>
                      <w:color w:val="auto"/>
                      <w:szCs w:val="21"/>
                    </w:rPr>
                    <w:t>由园区集中供暖</w:t>
                  </w:r>
                  <w:r>
                    <w:rPr>
                      <w:rFonts w:hint="eastAsia"/>
                      <w:color w:val="auto"/>
                      <w:szCs w:val="21"/>
                      <w:lang w:eastAsia="zh-CN"/>
                    </w:rPr>
                    <w:t>，</w:t>
                  </w:r>
                  <w:r>
                    <w:rPr>
                      <w:rFonts w:hint="eastAsia" w:cs="宋体"/>
                      <w:color w:val="auto"/>
                      <w:kern w:val="0"/>
                    </w:rPr>
                    <w:t>不涉及采暖锅炉。</w:t>
                  </w:r>
                  <w:r>
                    <w:rPr>
                      <w:rFonts w:cs="宋体"/>
                      <w:color w:val="auto"/>
                      <w:kern w:val="0"/>
                    </w:rPr>
                    <w:t xml:space="preserve"> </w:t>
                  </w:r>
                </w:p>
              </w:tc>
              <w:tc>
                <w:tcPr>
                  <w:tcW w:w="425" w:type="dxa"/>
                  <w:vAlign w:val="center"/>
                </w:tcPr>
                <w:p w14:paraId="1DF9E78A">
                  <w:pPr>
                    <w:pStyle w:val="116"/>
                    <w:spacing w:line="240" w:lineRule="auto"/>
                    <w:ind w:firstLine="0" w:firstLineChars="0"/>
                    <w:jc w:val="center"/>
                    <w:rPr>
                      <w:rFonts w:cs="宋体"/>
                      <w:color w:val="auto"/>
                      <w:kern w:val="0"/>
                    </w:rPr>
                  </w:pPr>
                  <w:r>
                    <w:rPr>
                      <w:rFonts w:hint="eastAsia" w:cs="宋体"/>
                      <w:color w:val="auto"/>
                      <w:kern w:val="0"/>
                    </w:rPr>
                    <w:t>符合</w:t>
                  </w:r>
                </w:p>
              </w:tc>
            </w:tr>
            <w:tr w14:paraId="09BCDE0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8" w:type="dxa"/>
                  <w:vMerge w:val="continue"/>
                  <w:vAlign w:val="center"/>
                </w:tcPr>
                <w:p w14:paraId="55A57804">
                  <w:pPr>
                    <w:pStyle w:val="116"/>
                    <w:spacing w:line="240" w:lineRule="auto"/>
                    <w:ind w:firstLine="0" w:firstLineChars="0"/>
                    <w:jc w:val="center"/>
                    <w:rPr>
                      <w:rFonts w:cs="宋体"/>
                      <w:color w:val="auto"/>
                      <w:kern w:val="0"/>
                    </w:rPr>
                  </w:pPr>
                </w:p>
              </w:tc>
              <w:tc>
                <w:tcPr>
                  <w:tcW w:w="992" w:type="dxa"/>
                  <w:vMerge w:val="continue"/>
                  <w:vAlign w:val="center"/>
                </w:tcPr>
                <w:p w14:paraId="783B930A">
                  <w:pPr>
                    <w:pStyle w:val="116"/>
                    <w:spacing w:line="240" w:lineRule="auto"/>
                    <w:ind w:firstLine="0" w:firstLineChars="0"/>
                    <w:jc w:val="center"/>
                    <w:rPr>
                      <w:rFonts w:cs="宋体"/>
                      <w:color w:val="auto"/>
                      <w:kern w:val="0"/>
                    </w:rPr>
                  </w:pPr>
                </w:p>
              </w:tc>
              <w:tc>
                <w:tcPr>
                  <w:tcW w:w="709" w:type="dxa"/>
                  <w:vAlign w:val="center"/>
                </w:tcPr>
                <w:p w14:paraId="32E763A9">
                  <w:pPr>
                    <w:pStyle w:val="116"/>
                    <w:spacing w:line="240" w:lineRule="auto"/>
                    <w:ind w:firstLine="0" w:firstLineChars="0"/>
                    <w:jc w:val="center"/>
                    <w:rPr>
                      <w:rFonts w:cs="宋体"/>
                      <w:color w:val="auto"/>
                      <w:kern w:val="0"/>
                    </w:rPr>
                  </w:pPr>
                  <w:r>
                    <w:rPr>
                      <w:rFonts w:hint="eastAsia" w:cs="宋体"/>
                      <w:color w:val="auto"/>
                      <w:kern w:val="0"/>
                    </w:rPr>
                    <w:t>环境风险防控</w:t>
                  </w:r>
                </w:p>
              </w:tc>
              <w:tc>
                <w:tcPr>
                  <w:tcW w:w="2840" w:type="dxa"/>
                  <w:vAlign w:val="center"/>
                </w:tcPr>
                <w:p w14:paraId="536571DF">
                  <w:pPr>
                    <w:pStyle w:val="46"/>
                    <w:spacing w:before="24" w:after="24" w:line="240" w:lineRule="auto"/>
                    <w:ind w:firstLine="0" w:firstLineChars="0"/>
                    <w:jc w:val="both"/>
                    <w:rPr>
                      <w:color w:val="auto"/>
                      <w:sz w:val="21"/>
                      <w:szCs w:val="21"/>
                    </w:rPr>
                  </w:pPr>
                  <w:r>
                    <w:rPr>
                      <w:color w:val="auto"/>
                      <w:sz w:val="21"/>
                      <w:szCs w:val="21"/>
                    </w:rPr>
                    <w:t>1.</w:t>
                  </w:r>
                  <w:r>
                    <w:rPr>
                      <w:rFonts w:hint="eastAsia"/>
                      <w:color w:val="auto"/>
                      <w:sz w:val="21"/>
                      <w:szCs w:val="21"/>
                    </w:rPr>
                    <w:t>高新区及入区企业应当依法制定并及时修订《突发环境事件应急预案》，成立应急组织机构，定期开展应急演练，提高区域环境风险防范能力。</w:t>
                  </w:r>
                  <w:r>
                    <w:rPr>
                      <w:color w:val="auto"/>
                      <w:sz w:val="21"/>
                      <w:szCs w:val="21"/>
                    </w:rPr>
                    <w:t xml:space="preserve"> </w:t>
                  </w:r>
                </w:p>
                <w:p w14:paraId="2E845E4A">
                  <w:pPr>
                    <w:pStyle w:val="116"/>
                    <w:spacing w:line="240" w:lineRule="auto"/>
                    <w:ind w:firstLine="0" w:firstLineChars="0"/>
                    <w:jc w:val="both"/>
                    <w:rPr>
                      <w:rFonts w:cs="宋体"/>
                      <w:color w:val="auto"/>
                      <w:kern w:val="0"/>
                    </w:rPr>
                  </w:pPr>
                  <w:r>
                    <w:rPr>
                      <w:color w:val="auto"/>
                    </w:rPr>
                    <w:t>2.</w:t>
                  </w:r>
                  <w:r>
                    <w:rPr>
                      <w:rFonts w:hint="eastAsia" w:ascii="宋体" w:cs="宋体"/>
                      <w:color w:val="auto"/>
                    </w:rPr>
                    <w:t>企业事业单位拆除设施、设备或者建筑物、构筑物的，应当采取相应的土壤污染防治措施。其中，土壤污染重点监管单位还应当制定包括应急措施在内的土壤污染防治工作方案，报地方人民政府生态环境、工业和信息化主管部门备案并实施。退成搬迁企业用地再次开发利用前，按程序开展土壤污染状况调查、风险评估、风险管控和修复。</w:t>
                  </w:r>
                  <w:r>
                    <w:rPr>
                      <w:rFonts w:ascii="宋体" w:cs="宋体"/>
                      <w:color w:val="auto"/>
                    </w:rPr>
                    <w:t xml:space="preserve"> </w:t>
                  </w:r>
                </w:p>
              </w:tc>
              <w:tc>
                <w:tcPr>
                  <w:tcW w:w="1271" w:type="dxa"/>
                  <w:vAlign w:val="center"/>
                </w:tcPr>
                <w:p w14:paraId="192D398E">
                  <w:pPr>
                    <w:pStyle w:val="116"/>
                    <w:spacing w:line="240" w:lineRule="auto"/>
                    <w:ind w:firstLine="0" w:firstLineChars="0"/>
                    <w:jc w:val="both"/>
                    <w:rPr>
                      <w:rFonts w:cs="宋体"/>
                      <w:color w:val="auto"/>
                      <w:kern w:val="0"/>
                    </w:rPr>
                  </w:pPr>
                  <w:r>
                    <w:rPr>
                      <w:rFonts w:hint="eastAsia" w:cs="宋体"/>
                      <w:color w:val="auto"/>
                      <w:kern w:val="0"/>
                    </w:rPr>
                    <w:t>企业已制定突发环境应急预案，定期开展演练，本项目不含土壤、地下水重点污染源。</w:t>
                  </w:r>
                </w:p>
              </w:tc>
              <w:tc>
                <w:tcPr>
                  <w:tcW w:w="425" w:type="dxa"/>
                  <w:vAlign w:val="center"/>
                </w:tcPr>
                <w:p w14:paraId="1B616347">
                  <w:pPr>
                    <w:pStyle w:val="116"/>
                    <w:spacing w:line="240" w:lineRule="auto"/>
                    <w:ind w:firstLine="0" w:firstLineChars="0"/>
                    <w:jc w:val="center"/>
                    <w:rPr>
                      <w:rFonts w:cs="宋体"/>
                      <w:color w:val="auto"/>
                      <w:kern w:val="0"/>
                    </w:rPr>
                  </w:pPr>
                  <w:r>
                    <w:rPr>
                      <w:rFonts w:hint="eastAsia" w:cs="宋体"/>
                      <w:color w:val="auto"/>
                      <w:kern w:val="0"/>
                    </w:rPr>
                    <w:t>符合</w:t>
                  </w:r>
                </w:p>
              </w:tc>
            </w:tr>
            <w:tr w14:paraId="534FA11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8" w:type="dxa"/>
                  <w:vMerge w:val="continue"/>
                  <w:vAlign w:val="center"/>
                </w:tcPr>
                <w:p w14:paraId="00FCBC81">
                  <w:pPr>
                    <w:pStyle w:val="116"/>
                    <w:spacing w:line="240" w:lineRule="auto"/>
                    <w:ind w:firstLine="0" w:firstLineChars="0"/>
                    <w:jc w:val="center"/>
                    <w:rPr>
                      <w:rFonts w:cs="宋体"/>
                      <w:color w:val="auto"/>
                      <w:kern w:val="0"/>
                    </w:rPr>
                  </w:pPr>
                </w:p>
              </w:tc>
              <w:tc>
                <w:tcPr>
                  <w:tcW w:w="992" w:type="dxa"/>
                  <w:vMerge w:val="continue"/>
                  <w:vAlign w:val="center"/>
                </w:tcPr>
                <w:p w14:paraId="43EDE233">
                  <w:pPr>
                    <w:pStyle w:val="116"/>
                    <w:spacing w:line="240" w:lineRule="auto"/>
                    <w:ind w:firstLine="0" w:firstLineChars="0"/>
                    <w:jc w:val="center"/>
                    <w:rPr>
                      <w:rFonts w:cs="宋体"/>
                      <w:color w:val="auto"/>
                      <w:kern w:val="0"/>
                    </w:rPr>
                  </w:pPr>
                </w:p>
              </w:tc>
              <w:tc>
                <w:tcPr>
                  <w:tcW w:w="709" w:type="dxa"/>
                  <w:vAlign w:val="center"/>
                </w:tcPr>
                <w:p w14:paraId="0A56E749">
                  <w:pPr>
                    <w:pStyle w:val="116"/>
                    <w:spacing w:line="240" w:lineRule="auto"/>
                    <w:ind w:firstLine="0" w:firstLineChars="0"/>
                    <w:jc w:val="center"/>
                    <w:rPr>
                      <w:rFonts w:cs="宋体"/>
                      <w:color w:val="auto"/>
                      <w:kern w:val="0"/>
                    </w:rPr>
                  </w:pPr>
                  <w:r>
                    <w:rPr>
                      <w:rFonts w:hint="eastAsia" w:cs="宋体"/>
                      <w:color w:val="auto"/>
                      <w:kern w:val="0"/>
                    </w:rPr>
                    <w:t>资源开发利用</w:t>
                  </w:r>
                </w:p>
              </w:tc>
              <w:tc>
                <w:tcPr>
                  <w:tcW w:w="2840" w:type="dxa"/>
                  <w:vAlign w:val="center"/>
                </w:tcPr>
                <w:p w14:paraId="52E155C3">
                  <w:pPr>
                    <w:pStyle w:val="46"/>
                    <w:spacing w:before="24" w:after="24" w:line="240" w:lineRule="auto"/>
                    <w:ind w:firstLine="0" w:firstLineChars="0"/>
                    <w:jc w:val="both"/>
                    <w:rPr>
                      <w:color w:val="auto"/>
                      <w:sz w:val="21"/>
                      <w:szCs w:val="21"/>
                    </w:rPr>
                  </w:pPr>
                  <w:r>
                    <w:rPr>
                      <w:color w:val="auto"/>
                      <w:sz w:val="21"/>
                      <w:szCs w:val="21"/>
                    </w:rPr>
                    <w:t>1.</w:t>
                  </w:r>
                  <w:r>
                    <w:rPr>
                      <w:rFonts w:hint="eastAsia"/>
                      <w:color w:val="auto"/>
                      <w:sz w:val="21"/>
                      <w:szCs w:val="21"/>
                    </w:rPr>
                    <w:t>严格地下水管理，执行全区资源利用总体管控要求中地下水限采区管控要求。</w:t>
                  </w:r>
                  <w:r>
                    <w:rPr>
                      <w:color w:val="auto"/>
                      <w:sz w:val="21"/>
                      <w:szCs w:val="21"/>
                    </w:rPr>
                    <w:t xml:space="preserve"> </w:t>
                  </w:r>
                </w:p>
                <w:p w14:paraId="0BEC18D9">
                  <w:pPr>
                    <w:pStyle w:val="46"/>
                    <w:spacing w:before="24" w:after="24" w:line="240" w:lineRule="auto"/>
                    <w:ind w:firstLine="0" w:firstLineChars="0"/>
                    <w:jc w:val="both"/>
                    <w:rPr>
                      <w:color w:val="auto"/>
                      <w:sz w:val="21"/>
                      <w:szCs w:val="21"/>
                    </w:rPr>
                  </w:pPr>
                  <w:r>
                    <w:rPr>
                      <w:color w:val="auto"/>
                      <w:sz w:val="21"/>
                      <w:szCs w:val="21"/>
                    </w:rPr>
                    <w:t>2.</w:t>
                  </w:r>
                  <w:r>
                    <w:rPr>
                      <w:rFonts w:hint="eastAsia"/>
                      <w:color w:val="auto"/>
                      <w:sz w:val="21"/>
                      <w:szCs w:val="21"/>
                    </w:rPr>
                    <w:t>提高水资源重复利用率，加强再生水回用。</w:t>
                  </w:r>
                  <w:r>
                    <w:rPr>
                      <w:color w:val="auto"/>
                      <w:sz w:val="21"/>
                      <w:szCs w:val="21"/>
                    </w:rPr>
                    <w:t xml:space="preserve"> </w:t>
                  </w:r>
                </w:p>
                <w:p w14:paraId="5475E5B6">
                  <w:pPr>
                    <w:pStyle w:val="116"/>
                    <w:spacing w:line="240" w:lineRule="auto"/>
                    <w:ind w:firstLine="0" w:firstLineChars="0"/>
                    <w:jc w:val="both"/>
                    <w:rPr>
                      <w:rFonts w:cs="宋体"/>
                      <w:color w:val="auto"/>
                      <w:kern w:val="0"/>
                    </w:rPr>
                  </w:pPr>
                  <w:r>
                    <w:rPr>
                      <w:color w:val="auto"/>
                    </w:rPr>
                    <w:t>3.</w:t>
                  </w:r>
                  <w:r>
                    <w:rPr>
                      <w:rFonts w:hint="eastAsia" w:ascii="宋体" w:cs="宋体"/>
                      <w:color w:val="auto"/>
                    </w:rPr>
                    <w:t>禁燃区执行总体管控要求中禁燃区相关管理要求。</w:t>
                  </w:r>
                  <w:r>
                    <w:rPr>
                      <w:rFonts w:ascii="宋体" w:cs="宋体"/>
                      <w:color w:val="auto"/>
                    </w:rPr>
                    <w:t xml:space="preserve"> </w:t>
                  </w:r>
                </w:p>
              </w:tc>
              <w:tc>
                <w:tcPr>
                  <w:tcW w:w="1271" w:type="dxa"/>
                  <w:vAlign w:val="center"/>
                </w:tcPr>
                <w:p w14:paraId="6662C269">
                  <w:pPr>
                    <w:pStyle w:val="116"/>
                    <w:spacing w:line="240" w:lineRule="auto"/>
                    <w:ind w:firstLine="0" w:firstLineChars="0"/>
                    <w:jc w:val="both"/>
                    <w:rPr>
                      <w:rFonts w:cs="宋体"/>
                      <w:color w:val="auto"/>
                      <w:kern w:val="0"/>
                    </w:rPr>
                  </w:pPr>
                  <w:r>
                    <w:rPr>
                      <w:rFonts w:hint="eastAsia" w:cs="宋体"/>
                      <w:color w:val="auto"/>
                      <w:kern w:val="0"/>
                    </w:rPr>
                    <w:t>本项目</w:t>
                  </w:r>
                  <w:r>
                    <w:rPr>
                      <w:rFonts w:hint="eastAsia" w:cs="宋体"/>
                      <w:color w:val="auto"/>
                      <w:kern w:val="0"/>
                      <w:lang w:val="en-US" w:eastAsia="zh-CN"/>
                    </w:rPr>
                    <w:t>用水由</w:t>
                  </w:r>
                  <w:r>
                    <w:rPr>
                      <w:rFonts w:hint="default" w:ascii="Times New Roman" w:hAnsi="Times New Roman" w:cs="Times New Roman"/>
                      <w:color w:val="auto"/>
                      <w:sz w:val="21"/>
                      <w:szCs w:val="21"/>
                      <w:highlight w:val="none"/>
                      <w:lang w:val="en-US" w:eastAsia="zh-CN"/>
                    </w:rPr>
                    <w:t>市政管网供水</w:t>
                  </w:r>
                  <w:r>
                    <w:rPr>
                      <w:rFonts w:hint="eastAsia" w:cs="Times New Roman"/>
                      <w:color w:val="auto"/>
                      <w:sz w:val="21"/>
                      <w:szCs w:val="21"/>
                      <w:highlight w:val="none"/>
                      <w:lang w:val="en-US" w:eastAsia="zh-CN"/>
                    </w:rPr>
                    <w:t>，</w:t>
                  </w:r>
                  <w:r>
                    <w:rPr>
                      <w:rFonts w:hint="eastAsia" w:cs="宋体"/>
                      <w:color w:val="auto"/>
                      <w:kern w:val="0"/>
                    </w:rPr>
                    <w:t>不涉及地下水取用</w:t>
                  </w:r>
                  <w:r>
                    <w:rPr>
                      <w:rFonts w:hint="eastAsia" w:cs="宋体"/>
                      <w:color w:val="auto"/>
                      <w:kern w:val="0"/>
                      <w:highlight w:val="none"/>
                    </w:rPr>
                    <w:t>，</w:t>
                  </w:r>
                  <w:r>
                    <w:rPr>
                      <w:rFonts w:hint="eastAsia" w:cs="宋体"/>
                      <w:color w:val="auto"/>
                      <w:kern w:val="0"/>
                      <w:lang w:val="en-US" w:eastAsia="zh-CN"/>
                    </w:rPr>
                    <w:t>本项目不属于</w:t>
                  </w:r>
                  <w:r>
                    <w:rPr>
                      <w:rFonts w:hint="eastAsia" w:ascii="宋体" w:cs="宋体"/>
                      <w:color w:val="auto"/>
                    </w:rPr>
                    <w:t>禁燃区</w:t>
                  </w:r>
                  <w:r>
                    <w:rPr>
                      <w:rFonts w:hint="eastAsia" w:cs="宋体"/>
                      <w:color w:val="auto"/>
                      <w:kern w:val="0"/>
                    </w:rPr>
                    <w:t>。</w:t>
                  </w:r>
                </w:p>
              </w:tc>
              <w:tc>
                <w:tcPr>
                  <w:tcW w:w="425" w:type="dxa"/>
                  <w:vAlign w:val="center"/>
                </w:tcPr>
                <w:p w14:paraId="15539E0C">
                  <w:pPr>
                    <w:pStyle w:val="116"/>
                    <w:spacing w:line="240" w:lineRule="auto"/>
                    <w:ind w:firstLine="0" w:firstLineChars="0"/>
                    <w:jc w:val="center"/>
                    <w:rPr>
                      <w:rFonts w:cs="宋体"/>
                      <w:color w:val="auto"/>
                      <w:kern w:val="0"/>
                    </w:rPr>
                  </w:pPr>
                  <w:r>
                    <w:rPr>
                      <w:rFonts w:hint="eastAsia" w:cs="宋体"/>
                      <w:color w:val="auto"/>
                      <w:kern w:val="0"/>
                    </w:rPr>
                    <w:t>符合</w:t>
                  </w:r>
                </w:p>
              </w:tc>
            </w:tr>
          </w:tbl>
          <w:p w14:paraId="6EA4F19F">
            <w:pPr>
              <w:pStyle w:val="116"/>
              <w:ind w:firstLine="420"/>
              <w:rPr>
                <w:color w:val="auto"/>
              </w:rPr>
            </w:pPr>
            <w:r>
              <w:rPr>
                <w:rFonts w:hint="eastAsia" w:cs="宋体"/>
                <w:color w:val="auto"/>
                <w:kern w:val="0"/>
              </w:rPr>
              <w:t>综上所述，本项目符合唐山市生态环境准入清单的要求。</w:t>
            </w:r>
          </w:p>
          <w:p w14:paraId="166039C7">
            <w:pPr>
              <w:pStyle w:val="122"/>
              <w:rPr>
                <w:color w:val="auto"/>
                <w:kern w:val="0"/>
              </w:rPr>
            </w:pPr>
            <w:r>
              <w:rPr>
                <w:rFonts w:hint="eastAsia"/>
                <w:color w:val="auto"/>
                <w:kern w:val="0"/>
              </w:rPr>
              <w:t>4、与相关环保政策的符合性分析</w:t>
            </w:r>
          </w:p>
          <w:p w14:paraId="6A3AD789">
            <w:pPr>
              <w:pStyle w:val="116"/>
              <w:ind w:firstLine="420"/>
              <w:rPr>
                <w:color w:val="auto"/>
              </w:rPr>
            </w:pPr>
            <w:r>
              <w:rPr>
                <w:rFonts w:hint="eastAsia"/>
                <w:color w:val="auto"/>
              </w:rPr>
              <w:t>将本项目与</w:t>
            </w:r>
            <w:r>
              <w:rPr>
                <w:rFonts w:hint="eastAsia"/>
                <w:color w:val="auto"/>
                <w:kern w:val="0"/>
              </w:rPr>
              <w:t>相关环保政策</w:t>
            </w:r>
            <w:r>
              <w:rPr>
                <w:rFonts w:hint="eastAsia"/>
                <w:color w:val="auto"/>
              </w:rPr>
              <w:t>进行符合性分析，见</w:t>
            </w:r>
            <w:r>
              <w:rPr>
                <w:color w:val="auto"/>
              </w:rPr>
              <w:t>下表</w:t>
            </w:r>
            <w:r>
              <w:rPr>
                <w:rFonts w:hint="eastAsia"/>
                <w:color w:val="auto"/>
              </w:rPr>
              <w:t>。</w:t>
            </w:r>
          </w:p>
          <w:p w14:paraId="051D1B78">
            <w:pPr>
              <w:pStyle w:val="10"/>
              <w:rPr>
                <w:color w:val="auto"/>
              </w:rPr>
            </w:pPr>
            <w:r>
              <w:rPr>
                <w:rFonts w:hint="eastAsia"/>
                <w:color w:val="auto"/>
              </w:rPr>
              <w:t>表1</w:t>
            </w:r>
            <w:r>
              <w:rPr>
                <w:rFonts w:hint="eastAsia"/>
                <w:color w:val="auto"/>
                <w:lang w:eastAsia="zh-CN"/>
              </w:rPr>
              <w:t>-</w:t>
            </w:r>
            <w:r>
              <w:rPr>
                <w:color w:val="auto"/>
              </w:rPr>
              <w:fldChar w:fldCharType="begin"/>
            </w:r>
            <w:r>
              <w:rPr>
                <w:color w:val="auto"/>
              </w:rPr>
              <w:instrText xml:space="preserve"> </w:instrText>
            </w:r>
            <w:r>
              <w:rPr>
                <w:rFonts w:hint="eastAsia"/>
                <w:color w:val="auto"/>
              </w:rPr>
              <w:instrText xml:space="preserve">SEQ 表1- \* ARABIC</w:instrText>
            </w:r>
            <w:r>
              <w:rPr>
                <w:color w:val="auto"/>
              </w:rPr>
              <w:instrText xml:space="preserve"> </w:instrText>
            </w:r>
            <w:r>
              <w:rPr>
                <w:color w:val="auto"/>
              </w:rPr>
              <w:fldChar w:fldCharType="separate"/>
            </w:r>
            <w:r>
              <w:rPr>
                <w:color w:val="auto"/>
              </w:rPr>
              <w:t>6</w:t>
            </w:r>
            <w:r>
              <w:rPr>
                <w:color w:val="auto"/>
              </w:rPr>
              <w:fldChar w:fldCharType="end"/>
            </w:r>
            <w:r>
              <w:rPr>
                <w:rFonts w:hint="eastAsia"/>
                <w:color w:val="auto"/>
              </w:rPr>
              <w:t>与相关环保政策的符合性分析</w:t>
            </w:r>
          </w:p>
          <w:tbl>
            <w:tblPr>
              <w:tblStyle w:val="33"/>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68"/>
              <w:gridCol w:w="711"/>
              <w:gridCol w:w="3117"/>
              <w:gridCol w:w="1636"/>
              <w:gridCol w:w="308"/>
            </w:tblGrid>
            <w:tr w14:paraId="2B919AA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1" w:type="pct"/>
                  <w:vAlign w:val="center"/>
                </w:tcPr>
                <w:p w14:paraId="0F38D88A">
                  <w:pPr>
                    <w:pStyle w:val="116"/>
                    <w:spacing w:line="240" w:lineRule="auto"/>
                    <w:ind w:firstLine="0" w:firstLineChars="0"/>
                    <w:jc w:val="center"/>
                    <w:rPr>
                      <w:color w:val="auto"/>
                      <w:kern w:val="0"/>
                    </w:rPr>
                  </w:pPr>
                  <w:r>
                    <w:rPr>
                      <w:rFonts w:hint="eastAsia"/>
                      <w:color w:val="auto"/>
                      <w:kern w:val="0"/>
                    </w:rPr>
                    <w:t>文件名称</w:t>
                  </w:r>
                </w:p>
              </w:tc>
              <w:tc>
                <w:tcPr>
                  <w:tcW w:w="512" w:type="pct"/>
                  <w:vAlign w:val="center"/>
                </w:tcPr>
                <w:p w14:paraId="325F9996">
                  <w:pPr>
                    <w:pStyle w:val="116"/>
                    <w:spacing w:line="240" w:lineRule="auto"/>
                    <w:ind w:firstLine="0" w:firstLineChars="0"/>
                    <w:jc w:val="center"/>
                    <w:rPr>
                      <w:color w:val="auto"/>
                      <w:kern w:val="0"/>
                    </w:rPr>
                  </w:pPr>
                  <w:r>
                    <w:rPr>
                      <w:rFonts w:hint="eastAsia"/>
                      <w:color w:val="auto"/>
                      <w:kern w:val="0"/>
                    </w:rPr>
                    <w:t>序号</w:t>
                  </w:r>
                </w:p>
              </w:tc>
              <w:tc>
                <w:tcPr>
                  <w:tcW w:w="2246" w:type="pct"/>
                  <w:vAlign w:val="center"/>
                </w:tcPr>
                <w:p w14:paraId="0FBC7E35">
                  <w:pPr>
                    <w:pStyle w:val="126"/>
                    <w:spacing w:line="240" w:lineRule="auto"/>
                    <w:ind w:firstLine="0" w:firstLineChars="0"/>
                    <w:jc w:val="center"/>
                    <w:rPr>
                      <w:color w:val="auto"/>
                      <w:kern w:val="0"/>
                    </w:rPr>
                  </w:pPr>
                  <w:r>
                    <w:rPr>
                      <w:rFonts w:hint="eastAsia"/>
                      <w:color w:val="auto"/>
                      <w:kern w:val="0"/>
                    </w:rPr>
                    <w:t>政策相关要求</w:t>
                  </w:r>
                </w:p>
              </w:tc>
              <w:tc>
                <w:tcPr>
                  <w:tcW w:w="1179" w:type="pct"/>
                  <w:vAlign w:val="center"/>
                </w:tcPr>
                <w:p w14:paraId="2C0FFFD2">
                  <w:pPr>
                    <w:pStyle w:val="116"/>
                    <w:spacing w:line="240" w:lineRule="auto"/>
                    <w:ind w:firstLine="0" w:firstLineChars="0"/>
                    <w:jc w:val="center"/>
                    <w:rPr>
                      <w:color w:val="auto"/>
                      <w:kern w:val="0"/>
                    </w:rPr>
                  </w:pPr>
                  <w:r>
                    <w:rPr>
                      <w:rFonts w:hint="eastAsia"/>
                      <w:color w:val="auto"/>
                      <w:kern w:val="0"/>
                    </w:rPr>
                    <w:t>本项目情况</w:t>
                  </w:r>
                </w:p>
              </w:tc>
              <w:tc>
                <w:tcPr>
                  <w:tcW w:w="222" w:type="pct"/>
                  <w:vAlign w:val="center"/>
                </w:tcPr>
                <w:p w14:paraId="42E5AF15">
                  <w:pPr>
                    <w:pStyle w:val="116"/>
                    <w:spacing w:line="240" w:lineRule="auto"/>
                    <w:ind w:firstLine="0" w:firstLineChars="0"/>
                    <w:jc w:val="center"/>
                    <w:rPr>
                      <w:color w:val="auto"/>
                      <w:kern w:val="0"/>
                    </w:rPr>
                  </w:pPr>
                  <w:r>
                    <w:rPr>
                      <w:rFonts w:hint="eastAsia"/>
                      <w:color w:val="auto"/>
                      <w:kern w:val="0"/>
                    </w:rPr>
                    <w:t>符合性判别</w:t>
                  </w:r>
                </w:p>
              </w:tc>
            </w:tr>
            <w:tr w14:paraId="7D87E96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1" w:type="pct"/>
                  <w:vMerge w:val="restart"/>
                  <w:vAlign w:val="center"/>
                </w:tcPr>
                <w:p w14:paraId="6617CEB0">
                  <w:pPr>
                    <w:jc w:val="center"/>
                    <w:rPr>
                      <w:color w:val="auto"/>
                      <w:szCs w:val="21"/>
                    </w:rPr>
                  </w:pPr>
                  <w:r>
                    <w:rPr>
                      <w:color w:val="auto"/>
                      <w:szCs w:val="21"/>
                    </w:rPr>
                    <w:t>河北省大气污染防治条例</w:t>
                  </w:r>
                </w:p>
              </w:tc>
              <w:tc>
                <w:tcPr>
                  <w:tcW w:w="512" w:type="pct"/>
                  <w:vAlign w:val="center"/>
                </w:tcPr>
                <w:p w14:paraId="021DC381">
                  <w:pPr>
                    <w:jc w:val="center"/>
                    <w:rPr>
                      <w:color w:val="auto"/>
                      <w:szCs w:val="21"/>
                    </w:rPr>
                  </w:pPr>
                  <w:r>
                    <w:rPr>
                      <w:color w:val="auto"/>
                      <w:szCs w:val="21"/>
                    </w:rPr>
                    <w:t>1</w:t>
                  </w:r>
                </w:p>
              </w:tc>
              <w:tc>
                <w:tcPr>
                  <w:tcW w:w="2246" w:type="pct"/>
                  <w:vAlign w:val="center"/>
                </w:tcPr>
                <w:p w14:paraId="6FF897E1">
                  <w:pPr>
                    <w:rPr>
                      <w:color w:val="auto"/>
                      <w:szCs w:val="21"/>
                    </w:rPr>
                  </w:pPr>
                  <w:r>
                    <w:rPr>
                      <w:color w:val="auto"/>
                      <w:szCs w:val="21"/>
                    </w:rPr>
                    <w:t>禁燃区内不得新建燃烧煤炭、重油、渣油等高污染燃料的设施；现有燃烧高污染燃料的设施，应当限期改用清洁能源；未改用清洁能源替代的高污染燃料设施，应当配套建设先进工艺的脱硫、脱硝、除尘装置或者采取其他措施，控制二氧化硫、氮氧化物和烟尘等排放；仍未达到大气污染物排放标准的，应当停止使用</w:t>
                  </w:r>
                </w:p>
              </w:tc>
              <w:tc>
                <w:tcPr>
                  <w:tcW w:w="1179" w:type="pct"/>
                  <w:vAlign w:val="center"/>
                </w:tcPr>
                <w:p w14:paraId="3BB884AF">
                  <w:pPr>
                    <w:rPr>
                      <w:color w:val="auto"/>
                      <w:szCs w:val="21"/>
                    </w:rPr>
                  </w:pPr>
                  <w:r>
                    <w:rPr>
                      <w:color w:val="auto"/>
                      <w:szCs w:val="21"/>
                    </w:rPr>
                    <w:t>厂区生产用热采用电能</w:t>
                  </w:r>
                  <w:r>
                    <w:rPr>
                      <w:rFonts w:hint="eastAsia"/>
                      <w:color w:val="auto"/>
                      <w:szCs w:val="21"/>
                      <w:lang w:val="en-US" w:eastAsia="zh-CN"/>
                    </w:rPr>
                    <w:t>和天然气</w:t>
                  </w:r>
                  <w:r>
                    <w:rPr>
                      <w:color w:val="auto"/>
                      <w:szCs w:val="21"/>
                    </w:rPr>
                    <w:t>，现有工程</w:t>
                  </w:r>
                  <w:r>
                    <w:rPr>
                      <w:rFonts w:hint="eastAsia"/>
                      <w:color w:val="auto"/>
                      <w:szCs w:val="21"/>
                    </w:rPr>
                    <w:t>冬季办公室取暖</w:t>
                  </w:r>
                  <w:r>
                    <w:rPr>
                      <w:color w:val="auto"/>
                      <w:szCs w:val="21"/>
                    </w:rPr>
                    <w:t>由园区集中供暖</w:t>
                  </w:r>
                  <w:r>
                    <w:rPr>
                      <w:rFonts w:hint="eastAsia"/>
                      <w:color w:val="auto"/>
                      <w:szCs w:val="21"/>
                    </w:rPr>
                    <w:t>。</w:t>
                  </w:r>
                </w:p>
              </w:tc>
              <w:tc>
                <w:tcPr>
                  <w:tcW w:w="222" w:type="pct"/>
                  <w:vAlign w:val="center"/>
                </w:tcPr>
                <w:p w14:paraId="3C5232A5">
                  <w:pPr>
                    <w:jc w:val="center"/>
                    <w:rPr>
                      <w:color w:val="auto"/>
                      <w:szCs w:val="21"/>
                    </w:rPr>
                  </w:pPr>
                  <w:r>
                    <w:rPr>
                      <w:color w:val="auto"/>
                      <w:szCs w:val="21"/>
                    </w:rPr>
                    <w:t>符合</w:t>
                  </w:r>
                </w:p>
              </w:tc>
            </w:tr>
            <w:tr w14:paraId="623BD46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1" w:type="pct"/>
                  <w:vMerge w:val="continue"/>
                  <w:vAlign w:val="center"/>
                </w:tcPr>
                <w:p w14:paraId="6322AD2D">
                  <w:pPr>
                    <w:widowControl/>
                    <w:jc w:val="center"/>
                    <w:rPr>
                      <w:color w:val="auto"/>
                      <w:szCs w:val="21"/>
                    </w:rPr>
                  </w:pPr>
                </w:p>
              </w:tc>
              <w:tc>
                <w:tcPr>
                  <w:tcW w:w="512" w:type="pct"/>
                  <w:vAlign w:val="center"/>
                </w:tcPr>
                <w:p w14:paraId="7235C7DC">
                  <w:pPr>
                    <w:jc w:val="center"/>
                    <w:rPr>
                      <w:color w:val="auto"/>
                      <w:szCs w:val="21"/>
                    </w:rPr>
                  </w:pPr>
                  <w:r>
                    <w:rPr>
                      <w:color w:val="auto"/>
                      <w:szCs w:val="21"/>
                    </w:rPr>
                    <w:t>2</w:t>
                  </w:r>
                </w:p>
              </w:tc>
              <w:tc>
                <w:tcPr>
                  <w:tcW w:w="2246" w:type="pct"/>
                  <w:vAlign w:val="center"/>
                </w:tcPr>
                <w:p w14:paraId="68C3C5D5">
                  <w:pPr>
                    <w:rPr>
                      <w:color w:val="auto"/>
                      <w:szCs w:val="21"/>
                    </w:rPr>
                  </w:pPr>
                  <w:r>
                    <w:rPr>
                      <w:color w:val="auto"/>
                      <w:szCs w:val="21"/>
                    </w:rPr>
                    <w:t>根据国家产业政策，严格控制新建、改建、技改钢铁、水泥、平板玻璃、化学合成制药、有色金属冶炼、化工等工业项目</w:t>
                  </w:r>
                </w:p>
              </w:tc>
              <w:tc>
                <w:tcPr>
                  <w:tcW w:w="1179" w:type="pct"/>
                  <w:vAlign w:val="center"/>
                </w:tcPr>
                <w:p w14:paraId="1228A518">
                  <w:pPr>
                    <w:rPr>
                      <w:color w:val="auto"/>
                      <w:szCs w:val="21"/>
                    </w:rPr>
                  </w:pPr>
                  <w:r>
                    <w:rPr>
                      <w:color w:val="auto"/>
                      <w:szCs w:val="21"/>
                    </w:rPr>
                    <w:t>本项目</w:t>
                  </w:r>
                  <w:r>
                    <w:rPr>
                      <w:color w:val="auto"/>
                      <w:spacing w:val="-6"/>
                      <w:szCs w:val="21"/>
                      <w:highlight w:val="none"/>
                    </w:rPr>
                    <w:t>属于</w:t>
                  </w:r>
                  <w:r>
                    <w:rPr>
                      <w:rFonts w:hint="eastAsia"/>
                      <w:color w:val="auto"/>
                      <w:spacing w:val="-6"/>
                      <w:szCs w:val="21"/>
                      <w:highlight w:val="none"/>
                      <w:lang w:eastAsia="zh-CN"/>
                    </w:rPr>
                    <w:t>金属制品</w:t>
                  </w:r>
                  <w:r>
                    <w:rPr>
                      <w:rFonts w:hint="eastAsia"/>
                      <w:color w:val="auto"/>
                      <w:spacing w:val="-6"/>
                      <w:szCs w:val="21"/>
                      <w:highlight w:val="none"/>
                    </w:rPr>
                    <w:t>行业</w:t>
                  </w:r>
                  <w:r>
                    <w:rPr>
                      <w:color w:val="auto"/>
                      <w:spacing w:val="-6"/>
                      <w:szCs w:val="21"/>
                      <w:highlight w:val="none"/>
                    </w:rPr>
                    <w:t>，不</w:t>
                  </w:r>
                  <w:r>
                    <w:rPr>
                      <w:color w:val="auto"/>
                      <w:spacing w:val="-6"/>
                      <w:szCs w:val="21"/>
                    </w:rPr>
                    <w:t>属于上述控制新建、改建及技改行业</w:t>
                  </w:r>
                  <w:r>
                    <w:rPr>
                      <w:rFonts w:hint="eastAsia"/>
                      <w:color w:val="auto"/>
                      <w:spacing w:val="-6"/>
                      <w:szCs w:val="21"/>
                    </w:rPr>
                    <w:t>。</w:t>
                  </w:r>
                </w:p>
              </w:tc>
              <w:tc>
                <w:tcPr>
                  <w:tcW w:w="222" w:type="pct"/>
                  <w:vAlign w:val="center"/>
                </w:tcPr>
                <w:p w14:paraId="6D1F772E">
                  <w:pPr>
                    <w:jc w:val="center"/>
                    <w:rPr>
                      <w:color w:val="auto"/>
                      <w:szCs w:val="21"/>
                    </w:rPr>
                  </w:pPr>
                  <w:r>
                    <w:rPr>
                      <w:color w:val="auto"/>
                      <w:szCs w:val="21"/>
                    </w:rPr>
                    <w:t>符合</w:t>
                  </w:r>
                </w:p>
              </w:tc>
            </w:tr>
            <w:tr w14:paraId="77C2A75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1" w:type="pct"/>
                  <w:vAlign w:val="center"/>
                </w:tcPr>
                <w:p w14:paraId="65E8EDF6">
                  <w:pPr>
                    <w:widowControl/>
                    <w:jc w:val="center"/>
                    <w:rPr>
                      <w:color w:val="auto"/>
                      <w:szCs w:val="21"/>
                    </w:rPr>
                  </w:pPr>
                  <w:r>
                    <w:rPr>
                      <w:color w:val="auto"/>
                      <w:szCs w:val="21"/>
                    </w:rPr>
                    <w:t>唐山市生态环境保护</w:t>
                  </w:r>
                  <w:r>
                    <w:rPr>
                      <w:rFonts w:hint="eastAsia"/>
                      <w:color w:val="auto"/>
                      <w:szCs w:val="21"/>
                    </w:rPr>
                    <w:t>“十四五”规划</w:t>
                  </w:r>
                </w:p>
              </w:tc>
              <w:tc>
                <w:tcPr>
                  <w:tcW w:w="512" w:type="pct"/>
                  <w:vAlign w:val="center"/>
                </w:tcPr>
                <w:p w14:paraId="0A8E45B6">
                  <w:pPr>
                    <w:jc w:val="center"/>
                    <w:rPr>
                      <w:color w:val="auto"/>
                      <w:szCs w:val="21"/>
                    </w:rPr>
                  </w:pPr>
                  <w:r>
                    <w:rPr>
                      <w:rFonts w:hint="eastAsia"/>
                      <w:color w:val="auto"/>
                      <w:szCs w:val="21"/>
                    </w:rPr>
                    <w:t>1</w:t>
                  </w:r>
                </w:p>
              </w:tc>
              <w:tc>
                <w:tcPr>
                  <w:tcW w:w="2246" w:type="pct"/>
                  <w:vAlign w:val="center"/>
                </w:tcPr>
                <w:p w14:paraId="0A16A349">
                  <w:pPr>
                    <w:adjustRightInd w:val="0"/>
                    <w:snapToGrid w:val="0"/>
                    <w:rPr>
                      <w:color w:val="auto"/>
                      <w:kern w:val="0"/>
                      <w:szCs w:val="21"/>
                    </w:rPr>
                  </w:pPr>
                  <w:r>
                    <w:rPr>
                      <w:rFonts w:hint="eastAsia"/>
                      <w:color w:val="auto"/>
                      <w:kern w:val="0"/>
                      <w:szCs w:val="21"/>
                    </w:rPr>
                    <w:t>深入打好蓝天保卫战，持续改善环境空气质量</w:t>
                  </w:r>
                  <w:r>
                    <w:rPr>
                      <w:rFonts w:hint="eastAsia"/>
                      <w:color w:val="auto"/>
                      <w:kern w:val="0"/>
                      <w:szCs w:val="21"/>
                      <w:lang w:eastAsia="zh-CN"/>
                    </w:rPr>
                    <w:t>，</w:t>
                  </w:r>
                  <w:r>
                    <w:rPr>
                      <w:rFonts w:hint="eastAsia"/>
                      <w:color w:val="auto"/>
                    </w:rPr>
                    <w:t>加强细颗粒物和臭氧协同控</w:t>
                  </w:r>
                  <w:r>
                    <w:rPr>
                      <w:rFonts w:hint="eastAsia"/>
                      <w:color w:val="auto"/>
                      <w:kern w:val="0"/>
                      <w:szCs w:val="21"/>
                    </w:rPr>
                    <w:t>制</w:t>
                  </w:r>
                  <w:r>
                    <w:rPr>
                      <w:rFonts w:hint="eastAsia"/>
                      <w:color w:val="auto"/>
                      <w:kern w:val="0"/>
                      <w:szCs w:val="21"/>
                      <w:lang w:eastAsia="zh-CN"/>
                    </w:rPr>
                    <w:t>，</w:t>
                  </w:r>
                  <w:r>
                    <w:rPr>
                      <w:rFonts w:hint="eastAsia"/>
                      <w:color w:val="auto"/>
                      <w:kern w:val="0"/>
                      <w:szCs w:val="21"/>
                    </w:rPr>
                    <w:t>加强</w:t>
                  </w:r>
                  <w:r>
                    <w:rPr>
                      <w:color w:val="auto"/>
                      <w:kern w:val="0"/>
                      <w:szCs w:val="21"/>
                    </w:rPr>
                    <w:t>PM</w:t>
                  </w:r>
                  <w:r>
                    <w:rPr>
                      <w:color w:val="auto"/>
                      <w:kern w:val="0"/>
                      <w:szCs w:val="21"/>
                      <w:vertAlign w:val="subscript"/>
                    </w:rPr>
                    <w:t>2.5</w:t>
                  </w:r>
                  <w:r>
                    <w:rPr>
                      <w:rFonts w:hint="eastAsia"/>
                      <w:color w:val="auto"/>
                      <w:kern w:val="0"/>
                      <w:szCs w:val="21"/>
                    </w:rPr>
                    <w:t>和臭氧协同控制研究，制定协同控制行动方案，推动全市</w:t>
                  </w:r>
                  <w:r>
                    <w:rPr>
                      <w:color w:val="auto"/>
                      <w:kern w:val="0"/>
                      <w:szCs w:val="21"/>
                    </w:rPr>
                    <w:t>PM</w:t>
                  </w:r>
                  <w:r>
                    <w:rPr>
                      <w:color w:val="auto"/>
                      <w:kern w:val="0"/>
                      <w:szCs w:val="21"/>
                      <w:vertAlign w:val="subscript"/>
                    </w:rPr>
                    <w:t>2.5</w:t>
                  </w:r>
                  <w:r>
                    <w:rPr>
                      <w:rFonts w:hint="eastAsia"/>
                      <w:color w:val="auto"/>
                      <w:kern w:val="0"/>
                      <w:szCs w:val="21"/>
                    </w:rPr>
                    <w:t>浓度持续下降，臭氧浓度稳定下降。加强重点区域、重点时段、重点领域、重点行业治理，实行差异化、精细化协同管控。</w:t>
                  </w:r>
                </w:p>
              </w:tc>
              <w:tc>
                <w:tcPr>
                  <w:tcW w:w="1179" w:type="pct"/>
                  <w:vAlign w:val="center"/>
                </w:tcPr>
                <w:p w14:paraId="1A8F50C1">
                  <w:pPr>
                    <w:pStyle w:val="8"/>
                    <w:snapToGrid w:val="0"/>
                    <w:ind w:firstLine="0" w:firstLineChars="0"/>
                    <w:rPr>
                      <w:color w:val="auto"/>
                    </w:rPr>
                  </w:pPr>
                  <w:r>
                    <w:rPr>
                      <w:color w:val="auto"/>
                    </w:rPr>
                    <w:t>本项目</w:t>
                  </w:r>
                  <w:r>
                    <w:rPr>
                      <w:rFonts w:hint="eastAsia"/>
                      <w:color w:val="auto"/>
                      <w:lang w:val="en-US" w:eastAsia="zh-CN"/>
                    </w:rPr>
                    <w:t>抛丸工序</w:t>
                  </w:r>
                  <w:r>
                    <w:rPr>
                      <w:color w:val="auto"/>
                      <w:highlight w:val="none"/>
                    </w:rPr>
                    <w:t>产生的颗粒物经</w:t>
                  </w:r>
                  <w:r>
                    <w:rPr>
                      <w:rFonts w:hint="eastAsia"/>
                      <w:color w:val="auto"/>
                      <w:highlight w:val="none"/>
                    </w:rPr>
                    <w:t>二级滤筒除尘器</w:t>
                  </w:r>
                  <w:r>
                    <w:rPr>
                      <w:color w:val="auto"/>
                      <w:highlight w:val="none"/>
                    </w:rPr>
                    <w:t>处理后</w:t>
                  </w:r>
                  <w:r>
                    <w:rPr>
                      <w:rFonts w:hint="eastAsia"/>
                      <w:color w:val="auto"/>
                    </w:rPr>
                    <w:t>，可达标排放，</w:t>
                  </w:r>
                  <w:r>
                    <w:rPr>
                      <w:rFonts w:hint="eastAsia"/>
                      <w:color w:val="auto"/>
                      <w:lang w:val="en-US" w:eastAsia="zh-CN"/>
                    </w:rPr>
                    <w:t>燃气加热炉废气</w:t>
                  </w:r>
                  <w:r>
                    <w:rPr>
                      <w:rFonts w:hint="eastAsia"/>
                      <w:color w:val="auto"/>
                    </w:rPr>
                    <w:t>达标排放</w:t>
                  </w:r>
                  <w:r>
                    <w:rPr>
                      <w:rFonts w:hint="eastAsia"/>
                      <w:color w:val="auto"/>
                      <w:lang w:eastAsia="zh-CN"/>
                    </w:rPr>
                    <w:t>，</w:t>
                  </w:r>
                  <w:r>
                    <w:rPr>
                      <w:rFonts w:hint="eastAsia"/>
                      <w:color w:val="auto"/>
                    </w:rPr>
                    <w:t>不会对区域大气环境产生显著影响。</w:t>
                  </w:r>
                </w:p>
              </w:tc>
              <w:tc>
                <w:tcPr>
                  <w:tcW w:w="222" w:type="pct"/>
                  <w:vAlign w:val="center"/>
                </w:tcPr>
                <w:p w14:paraId="57C28CF7">
                  <w:pPr>
                    <w:adjustRightInd w:val="0"/>
                    <w:snapToGrid w:val="0"/>
                    <w:jc w:val="center"/>
                    <w:rPr>
                      <w:color w:val="auto"/>
                      <w:szCs w:val="21"/>
                    </w:rPr>
                  </w:pPr>
                  <w:r>
                    <w:rPr>
                      <w:color w:val="auto"/>
                      <w:szCs w:val="21"/>
                    </w:rPr>
                    <w:t>符合</w:t>
                  </w:r>
                </w:p>
              </w:tc>
            </w:tr>
            <w:tr w14:paraId="5A18653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1" w:type="pct"/>
                  <w:vMerge w:val="restart"/>
                  <w:vAlign w:val="center"/>
                </w:tcPr>
                <w:p w14:paraId="1808995E">
                  <w:pPr>
                    <w:widowControl/>
                    <w:jc w:val="center"/>
                    <w:rPr>
                      <w:color w:val="auto"/>
                      <w:szCs w:val="21"/>
                    </w:rPr>
                  </w:pPr>
                  <w:r>
                    <w:rPr>
                      <w:rFonts w:hint="eastAsia"/>
                      <w:color w:val="auto"/>
                      <w:szCs w:val="21"/>
                    </w:rPr>
                    <w:t>唐山市人民政府关于印发《唐山市空气质量持续改善行动计划工作方案》的通知（唐政字〔</w:t>
                  </w:r>
                  <w:r>
                    <w:rPr>
                      <w:color w:val="auto"/>
                      <w:szCs w:val="21"/>
                    </w:rPr>
                    <w:t>2024</w:t>
                  </w:r>
                  <w:r>
                    <w:rPr>
                      <w:rFonts w:hint="eastAsia"/>
                      <w:color w:val="auto"/>
                      <w:szCs w:val="21"/>
                    </w:rPr>
                    <w:t>〕</w:t>
                  </w:r>
                  <w:r>
                    <w:rPr>
                      <w:color w:val="auto"/>
                      <w:szCs w:val="21"/>
                    </w:rPr>
                    <w:t>42</w:t>
                  </w:r>
                  <w:r>
                    <w:rPr>
                      <w:rFonts w:hint="eastAsia"/>
                      <w:color w:val="auto"/>
                      <w:szCs w:val="21"/>
                    </w:rPr>
                    <w:t>号）</w:t>
                  </w:r>
                </w:p>
              </w:tc>
              <w:tc>
                <w:tcPr>
                  <w:tcW w:w="512" w:type="pct"/>
                  <w:vMerge w:val="restart"/>
                  <w:vAlign w:val="center"/>
                </w:tcPr>
                <w:p w14:paraId="11E75AF1">
                  <w:pPr>
                    <w:jc w:val="center"/>
                    <w:rPr>
                      <w:color w:val="auto"/>
                      <w:szCs w:val="21"/>
                    </w:rPr>
                  </w:pPr>
                  <w:r>
                    <w:rPr>
                      <w:rFonts w:hint="eastAsia"/>
                      <w:color w:val="auto"/>
                      <w:szCs w:val="21"/>
                    </w:rPr>
                    <w:t>二、推动产业结构优化调整</w:t>
                  </w:r>
                </w:p>
              </w:tc>
              <w:tc>
                <w:tcPr>
                  <w:tcW w:w="2246" w:type="pct"/>
                  <w:vAlign w:val="center"/>
                </w:tcPr>
                <w:p w14:paraId="326D8A59">
                  <w:pPr>
                    <w:adjustRightInd w:val="0"/>
                    <w:snapToGrid w:val="0"/>
                    <w:rPr>
                      <w:color w:val="auto"/>
                      <w:kern w:val="0"/>
                      <w:szCs w:val="21"/>
                    </w:rPr>
                  </w:pPr>
                  <w:r>
                    <w:rPr>
                      <w:color w:val="auto"/>
                      <w:kern w:val="0"/>
                      <w:szCs w:val="21"/>
                    </w:rPr>
                    <w:t>(</w:t>
                  </w:r>
                  <w:r>
                    <w:rPr>
                      <w:rFonts w:hint="eastAsia"/>
                      <w:color w:val="auto"/>
                      <w:kern w:val="0"/>
                      <w:szCs w:val="21"/>
                    </w:rPr>
                    <w:t>一</w:t>
                  </w:r>
                  <w:r>
                    <w:rPr>
                      <w:color w:val="auto"/>
                      <w:kern w:val="0"/>
                      <w:szCs w:val="21"/>
                    </w:rPr>
                    <w:t>)</w:t>
                  </w:r>
                  <w:r>
                    <w:rPr>
                      <w:rFonts w:hint="eastAsia"/>
                      <w:color w:val="auto"/>
                      <w:kern w:val="0"/>
                      <w:szCs w:val="21"/>
                    </w:rPr>
                    <w:t>严格高耗能、高排放项目准入。坚决遏制高耗能、高排放、低水平项目盲目上马。新改扩建项目严格落实国家、省和我市产业规划、产业政策、生态环境分区管控方案、产能置换、重点污染物总量控制、污染物排放区域削减、碳排放达峰目标等相关要求。涉及产能置换的项目，被置换产能及其配套设施关停后，新建项目方可投产。</w:t>
                  </w:r>
                </w:p>
              </w:tc>
              <w:tc>
                <w:tcPr>
                  <w:tcW w:w="1179" w:type="pct"/>
                  <w:vAlign w:val="center"/>
                </w:tcPr>
                <w:p w14:paraId="661FA995">
                  <w:pPr>
                    <w:pStyle w:val="8"/>
                    <w:snapToGrid w:val="0"/>
                    <w:ind w:firstLine="0" w:firstLineChars="0"/>
                    <w:rPr>
                      <w:rFonts w:hint="default"/>
                      <w:color w:val="auto"/>
                      <w:lang w:val="en-US" w:eastAsia="zh-CN"/>
                    </w:rPr>
                  </w:pPr>
                  <w:r>
                    <w:rPr>
                      <w:color w:val="auto"/>
                    </w:rPr>
                    <w:t>本项目不属于高耗能</w:t>
                  </w:r>
                  <w:r>
                    <w:rPr>
                      <w:rFonts w:hint="eastAsia"/>
                      <w:color w:val="auto"/>
                    </w:rPr>
                    <w:t>、</w:t>
                  </w:r>
                  <w:r>
                    <w:rPr>
                      <w:color w:val="auto"/>
                    </w:rPr>
                    <w:t>高排放项目</w:t>
                  </w:r>
                  <w:r>
                    <w:rPr>
                      <w:rFonts w:hint="eastAsia"/>
                      <w:color w:val="auto"/>
                      <w:lang w:eastAsia="zh-CN"/>
                    </w:rPr>
                    <w:t>。</w:t>
                  </w:r>
                  <w:r>
                    <w:rPr>
                      <w:rFonts w:hint="eastAsia"/>
                      <w:color w:val="auto"/>
                      <w:lang w:val="en-US" w:eastAsia="zh-CN"/>
                    </w:rPr>
                    <w:t>本项目符合相关要求。</w:t>
                  </w:r>
                </w:p>
              </w:tc>
              <w:tc>
                <w:tcPr>
                  <w:tcW w:w="222" w:type="pct"/>
                  <w:vAlign w:val="center"/>
                </w:tcPr>
                <w:p w14:paraId="2BC6655A">
                  <w:pPr>
                    <w:adjustRightInd w:val="0"/>
                    <w:snapToGrid w:val="0"/>
                    <w:jc w:val="center"/>
                    <w:rPr>
                      <w:color w:val="auto"/>
                      <w:szCs w:val="21"/>
                    </w:rPr>
                  </w:pPr>
                  <w:r>
                    <w:rPr>
                      <w:color w:val="auto"/>
                      <w:szCs w:val="21"/>
                    </w:rPr>
                    <w:t>符合</w:t>
                  </w:r>
                </w:p>
              </w:tc>
            </w:tr>
            <w:tr w14:paraId="1D5C1F4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1" w:type="pct"/>
                  <w:vMerge w:val="continue"/>
                  <w:vAlign w:val="center"/>
                </w:tcPr>
                <w:p w14:paraId="368D2227">
                  <w:pPr>
                    <w:widowControl/>
                    <w:jc w:val="center"/>
                    <w:rPr>
                      <w:color w:val="auto"/>
                      <w:szCs w:val="21"/>
                    </w:rPr>
                  </w:pPr>
                </w:p>
              </w:tc>
              <w:tc>
                <w:tcPr>
                  <w:tcW w:w="512" w:type="pct"/>
                  <w:vMerge w:val="continue"/>
                  <w:vAlign w:val="center"/>
                </w:tcPr>
                <w:p w14:paraId="47351D56">
                  <w:pPr>
                    <w:jc w:val="center"/>
                    <w:rPr>
                      <w:color w:val="auto"/>
                      <w:szCs w:val="21"/>
                    </w:rPr>
                  </w:pPr>
                </w:p>
              </w:tc>
              <w:tc>
                <w:tcPr>
                  <w:tcW w:w="2246" w:type="pct"/>
                  <w:vAlign w:val="center"/>
                </w:tcPr>
                <w:p w14:paraId="63511775">
                  <w:pPr>
                    <w:adjustRightInd w:val="0"/>
                    <w:snapToGrid w:val="0"/>
                    <w:rPr>
                      <w:color w:val="auto"/>
                      <w:kern w:val="0"/>
                      <w:szCs w:val="21"/>
                    </w:rPr>
                  </w:pPr>
                  <w:r>
                    <w:rPr>
                      <w:color w:val="auto"/>
                      <w:kern w:val="0"/>
                      <w:szCs w:val="21"/>
                    </w:rPr>
                    <w:t>(</w:t>
                  </w:r>
                  <w:r>
                    <w:rPr>
                      <w:rFonts w:hint="eastAsia"/>
                      <w:color w:val="auto"/>
                      <w:kern w:val="0"/>
                      <w:szCs w:val="21"/>
                    </w:rPr>
                    <w:t>二</w:t>
                  </w:r>
                  <w:r>
                    <w:rPr>
                      <w:color w:val="auto"/>
                      <w:kern w:val="0"/>
                      <w:szCs w:val="21"/>
                    </w:rPr>
                    <w:t>)</w:t>
                  </w:r>
                  <w:r>
                    <w:rPr>
                      <w:rFonts w:hint="eastAsia"/>
                      <w:color w:val="auto"/>
                      <w:kern w:val="0"/>
                      <w:szCs w:val="21"/>
                    </w:rPr>
                    <w:t>优化产业布局。严格执行《产业结构调整指导目录</w:t>
                  </w:r>
                  <w:r>
                    <w:rPr>
                      <w:color w:val="auto"/>
                      <w:kern w:val="0"/>
                      <w:szCs w:val="21"/>
                    </w:rPr>
                    <w:t>(2024</w:t>
                  </w:r>
                  <w:r>
                    <w:rPr>
                      <w:rFonts w:hint="eastAsia"/>
                      <w:color w:val="auto"/>
                      <w:kern w:val="0"/>
                      <w:szCs w:val="21"/>
                    </w:rPr>
                    <w:t>年本</w:t>
                  </w:r>
                  <w:r>
                    <w:rPr>
                      <w:color w:val="auto"/>
                      <w:kern w:val="0"/>
                      <w:szCs w:val="21"/>
                    </w:rPr>
                    <w:t>)</w:t>
                  </w:r>
                  <w:r>
                    <w:rPr>
                      <w:rFonts w:hint="eastAsia"/>
                      <w:color w:val="auto"/>
                      <w:kern w:val="0"/>
                      <w:szCs w:val="21"/>
                    </w:rPr>
                    <w:t>》，逐步淘汰步进式烧结机和球团竖炉。加快调整优化不符合生态环境功能定位的产业布局、规模和结构。</w:t>
                  </w:r>
                </w:p>
              </w:tc>
              <w:tc>
                <w:tcPr>
                  <w:tcW w:w="1179" w:type="pct"/>
                  <w:vAlign w:val="center"/>
                </w:tcPr>
                <w:p w14:paraId="22E8CD74">
                  <w:pPr>
                    <w:pStyle w:val="8"/>
                    <w:snapToGrid w:val="0"/>
                    <w:ind w:firstLine="0" w:firstLineChars="0"/>
                    <w:rPr>
                      <w:color w:val="auto"/>
                    </w:rPr>
                  </w:pPr>
                  <w:r>
                    <w:rPr>
                      <w:color w:val="auto"/>
                    </w:rPr>
                    <w:t>本项目符合</w:t>
                  </w:r>
                  <w:r>
                    <w:rPr>
                      <w:rFonts w:hint="eastAsia" w:cs="宋体"/>
                      <w:color w:val="auto"/>
                      <w:kern w:val="0"/>
                    </w:rPr>
                    <w:t>《产业结构调整指导目录（2024年本）》的要求，不涉及所列淘汰设备，符合生态环境准入的相关要求。</w:t>
                  </w:r>
                </w:p>
              </w:tc>
              <w:tc>
                <w:tcPr>
                  <w:tcW w:w="222" w:type="pct"/>
                  <w:vAlign w:val="center"/>
                </w:tcPr>
                <w:p w14:paraId="264440F6">
                  <w:pPr>
                    <w:adjustRightInd w:val="0"/>
                    <w:snapToGrid w:val="0"/>
                    <w:jc w:val="center"/>
                    <w:rPr>
                      <w:color w:val="auto"/>
                      <w:szCs w:val="21"/>
                    </w:rPr>
                  </w:pPr>
                  <w:r>
                    <w:rPr>
                      <w:color w:val="auto"/>
                      <w:szCs w:val="21"/>
                    </w:rPr>
                    <w:t>符合</w:t>
                  </w:r>
                </w:p>
              </w:tc>
            </w:tr>
            <w:tr w14:paraId="630157D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1" w:type="pct"/>
                  <w:vMerge w:val="restart"/>
                  <w:vAlign w:val="center"/>
                </w:tcPr>
                <w:p w14:paraId="1A2FA896">
                  <w:pPr>
                    <w:widowControl/>
                    <w:jc w:val="center"/>
                    <w:rPr>
                      <w:color w:val="auto"/>
                      <w:szCs w:val="21"/>
                    </w:rPr>
                  </w:pPr>
                  <w:r>
                    <w:rPr>
                      <w:rFonts w:hint="eastAsia"/>
                      <w:color w:val="auto"/>
                      <w:szCs w:val="21"/>
                    </w:rPr>
                    <w:t>《关于印发&lt;工业炉窑大气污染综合治理方案&gt;的通知》环大气[2019]56号</w:t>
                  </w:r>
                </w:p>
              </w:tc>
              <w:tc>
                <w:tcPr>
                  <w:tcW w:w="512" w:type="pct"/>
                  <w:vAlign w:val="center"/>
                </w:tcPr>
                <w:p w14:paraId="6F94E062">
                  <w:pPr>
                    <w:jc w:val="center"/>
                    <w:rPr>
                      <w:color w:val="auto"/>
                      <w:szCs w:val="21"/>
                    </w:rPr>
                  </w:pPr>
                  <w:r>
                    <w:rPr>
                      <w:rFonts w:hint="eastAsia"/>
                      <w:color w:val="auto"/>
                      <w:kern w:val="0"/>
                      <w:szCs w:val="21"/>
                    </w:rPr>
                    <w:t>（一）加大产业结构调整力度。</w:t>
                  </w:r>
                </w:p>
              </w:tc>
              <w:tc>
                <w:tcPr>
                  <w:tcW w:w="2246" w:type="pct"/>
                  <w:vAlign w:val="center"/>
                </w:tcPr>
                <w:p w14:paraId="72B925D9">
                  <w:pPr>
                    <w:adjustRightInd w:val="0"/>
                    <w:snapToGrid w:val="0"/>
                    <w:rPr>
                      <w:color w:val="auto"/>
                      <w:kern w:val="0"/>
                      <w:szCs w:val="21"/>
                    </w:rPr>
                  </w:pPr>
                  <w:r>
                    <w:rPr>
                      <w:rFonts w:hint="eastAsia"/>
                      <w:color w:val="auto"/>
                      <w:kern w:val="0"/>
                      <w:szCs w:val="21"/>
                    </w:rPr>
                    <w:t>严格建设项目环境准入。新建涉工业炉窑的建设项目，原则上要入园区，配套建设高效环保治理设施。重点区域严格控制涉工业炉窑建设项目，严禁新增钢铁、焦化、电解铝、铸造、水泥和平板玻璃等产能；严格执行钢铁、水泥、平板玻璃等行业产能置换实施办法；原则上禁止新建燃料类煤气发生炉（园区现有企业统一建设的清洁煤制气中心除外）。</w:t>
                  </w:r>
                </w:p>
              </w:tc>
              <w:tc>
                <w:tcPr>
                  <w:tcW w:w="1179" w:type="pct"/>
                  <w:vAlign w:val="center"/>
                </w:tcPr>
                <w:p w14:paraId="4E2B91B2">
                  <w:pPr>
                    <w:pStyle w:val="8"/>
                    <w:snapToGrid w:val="0"/>
                    <w:ind w:firstLine="0" w:firstLineChars="0"/>
                    <w:rPr>
                      <w:color w:val="auto"/>
                    </w:rPr>
                  </w:pPr>
                  <w:r>
                    <w:rPr>
                      <w:rFonts w:hint="eastAsia"/>
                      <w:color w:val="auto"/>
                    </w:rPr>
                    <w:t>本项目位于唐山高新技</w:t>
                  </w:r>
                  <w:r>
                    <w:rPr>
                      <w:rFonts w:hint="eastAsia"/>
                      <w:color w:val="auto"/>
                      <w:highlight w:val="none"/>
                    </w:rPr>
                    <w:t>术产业开发区，本项目</w:t>
                  </w:r>
                  <w:r>
                    <w:rPr>
                      <w:rFonts w:hint="eastAsia"/>
                      <w:color w:val="auto"/>
                      <w:highlight w:val="none"/>
                      <w:lang w:val="en-US" w:eastAsia="zh-CN"/>
                    </w:rPr>
                    <w:t>燃气</w:t>
                  </w:r>
                  <w:r>
                    <w:rPr>
                      <w:rFonts w:hint="eastAsia"/>
                      <w:color w:val="auto"/>
                      <w:highlight w:val="none"/>
                    </w:rPr>
                    <w:t>加热炉配套</w:t>
                  </w:r>
                  <w:r>
                    <w:rPr>
                      <w:rFonts w:hint="eastAsia"/>
                      <w:color w:val="auto"/>
                      <w:highlight w:val="none"/>
                      <w:lang w:val="en-US" w:eastAsia="zh-CN"/>
                    </w:rPr>
                    <w:t>低氮燃烧器</w:t>
                  </w:r>
                  <w:r>
                    <w:rPr>
                      <w:rFonts w:hint="eastAsia"/>
                      <w:color w:val="auto"/>
                      <w:highlight w:val="none"/>
                    </w:rPr>
                    <w:t>治理设施，本项目</w:t>
                  </w:r>
                  <w:r>
                    <w:rPr>
                      <w:rFonts w:hint="eastAsia"/>
                      <w:color w:val="auto"/>
                      <w:highlight w:val="none"/>
                      <w:lang w:val="en-US" w:eastAsia="zh-CN"/>
                    </w:rPr>
                    <w:t>属于金属制品业，不属于上述禁止</w:t>
                  </w:r>
                  <w:r>
                    <w:rPr>
                      <w:rFonts w:hint="eastAsia"/>
                      <w:color w:val="auto"/>
                      <w:highlight w:val="none"/>
                    </w:rPr>
                    <w:t>不新增产能。</w:t>
                  </w:r>
                </w:p>
              </w:tc>
              <w:tc>
                <w:tcPr>
                  <w:tcW w:w="222" w:type="pct"/>
                  <w:vAlign w:val="center"/>
                </w:tcPr>
                <w:p w14:paraId="61AB06E0">
                  <w:pPr>
                    <w:adjustRightInd w:val="0"/>
                    <w:snapToGrid w:val="0"/>
                    <w:jc w:val="center"/>
                    <w:rPr>
                      <w:color w:val="auto"/>
                      <w:szCs w:val="21"/>
                    </w:rPr>
                  </w:pPr>
                  <w:r>
                    <w:rPr>
                      <w:color w:val="auto"/>
                      <w:szCs w:val="21"/>
                    </w:rPr>
                    <w:t>符合</w:t>
                  </w:r>
                </w:p>
              </w:tc>
            </w:tr>
            <w:tr w14:paraId="32D6A81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1" w:type="pct"/>
                  <w:vMerge w:val="continue"/>
                  <w:vAlign w:val="center"/>
                </w:tcPr>
                <w:p w14:paraId="69115674">
                  <w:pPr>
                    <w:widowControl/>
                    <w:jc w:val="center"/>
                    <w:rPr>
                      <w:color w:val="auto"/>
                      <w:szCs w:val="21"/>
                    </w:rPr>
                  </w:pPr>
                </w:p>
              </w:tc>
              <w:tc>
                <w:tcPr>
                  <w:tcW w:w="512" w:type="pct"/>
                  <w:vAlign w:val="center"/>
                </w:tcPr>
                <w:p w14:paraId="6E97352B">
                  <w:pPr>
                    <w:jc w:val="center"/>
                    <w:rPr>
                      <w:color w:val="auto"/>
                      <w:szCs w:val="21"/>
                    </w:rPr>
                  </w:pPr>
                  <w:r>
                    <w:rPr>
                      <w:rFonts w:hint="eastAsia"/>
                      <w:color w:val="auto"/>
                      <w:kern w:val="0"/>
                      <w:szCs w:val="21"/>
                    </w:rPr>
                    <w:t>（三）实施污染深度治理。</w:t>
                  </w:r>
                </w:p>
              </w:tc>
              <w:tc>
                <w:tcPr>
                  <w:tcW w:w="2246" w:type="pct"/>
                  <w:vAlign w:val="center"/>
                </w:tcPr>
                <w:p w14:paraId="0C91FFD1">
                  <w:pPr>
                    <w:adjustRightInd w:val="0"/>
                    <w:snapToGrid w:val="0"/>
                    <w:rPr>
                      <w:color w:val="auto"/>
                      <w:kern w:val="0"/>
                      <w:szCs w:val="21"/>
                    </w:rPr>
                  </w:pPr>
                  <w:r>
                    <w:rPr>
                      <w:rFonts w:hint="eastAsia"/>
                      <w:color w:val="auto"/>
                      <w:kern w:val="0"/>
                      <w:szCs w:val="21"/>
                    </w:rPr>
                    <w:t>推进工业炉窑全面达标排放。已有行业排放标准的工业炉窑，严格执行行业排放标准相关规定，配套建设高效脱硫脱硝除尘设施，确保稳定达标排放。已制定更严格地方排放标准的，按地方标准执行。</w:t>
                  </w:r>
                </w:p>
              </w:tc>
              <w:tc>
                <w:tcPr>
                  <w:tcW w:w="1179" w:type="pct"/>
                  <w:vAlign w:val="center"/>
                </w:tcPr>
                <w:p w14:paraId="167E3448">
                  <w:pPr>
                    <w:pStyle w:val="8"/>
                    <w:snapToGrid w:val="0"/>
                    <w:ind w:firstLine="0" w:firstLineChars="0"/>
                    <w:rPr>
                      <w:color w:val="auto"/>
                    </w:rPr>
                  </w:pPr>
                  <w:r>
                    <w:rPr>
                      <w:rFonts w:hint="eastAsia"/>
                      <w:color w:val="auto"/>
                      <w:highlight w:val="none"/>
                    </w:rPr>
                    <w:t>本项目</w:t>
                  </w:r>
                  <w:r>
                    <w:rPr>
                      <w:rFonts w:hint="eastAsia"/>
                      <w:color w:val="auto"/>
                      <w:highlight w:val="none"/>
                      <w:lang w:val="en-US" w:eastAsia="zh-CN"/>
                    </w:rPr>
                    <w:t>燃气</w:t>
                  </w:r>
                  <w:r>
                    <w:rPr>
                      <w:rFonts w:hint="eastAsia"/>
                      <w:color w:val="auto"/>
                      <w:highlight w:val="none"/>
                    </w:rPr>
                    <w:t>加热炉配套</w:t>
                  </w:r>
                  <w:r>
                    <w:rPr>
                      <w:rFonts w:hint="eastAsia"/>
                      <w:color w:val="auto"/>
                      <w:highlight w:val="none"/>
                      <w:lang w:val="en-US" w:eastAsia="zh-CN"/>
                    </w:rPr>
                    <w:t>低氮燃烧器</w:t>
                  </w:r>
                  <w:r>
                    <w:rPr>
                      <w:rFonts w:hint="eastAsia"/>
                      <w:color w:val="auto"/>
                      <w:highlight w:val="none"/>
                    </w:rPr>
                    <w:t>治理设施</w:t>
                  </w:r>
                  <w:r>
                    <w:rPr>
                      <w:rFonts w:hint="eastAsia"/>
                      <w:color w:val="auto"/>
                      <w:highlight w:val="none"/>
                      <w:lang w:eastAsia="zh-CN"/>
                    </w:rPr>
                    <w:t>，</w:t>
                  </w:r>
                  <w:r>
                    <w:rPr>
                      <w:rFonts w:hint="eastAsia"/>
                      <w:color w:val="auto"/>
                      <w:highlight w:val="none"/>
                      <w:lang w:val="en-US" w:eastAsia="zh-CN"/>
                    </w:rPr>
                    <w:t>废气</w:t>
                  </w:r>
                  <w:r>
                    <w:rPr>
                      <w:rFonts w:hint="eastAsia"/>
                      <w:color w:val="auto"/>
                      <w:kern w:val="0"/>
                      <w:szCs w:val="21"/>
                    </w:rPr>
                    <w:t>达标排放</w:t>
                  </w:r>
                  <w:r>
                    <w:rPr>
                      <w:rFonts w:hint="eastAsia"/>
                      <w:color w:val="auto"/>
                    </w:rPr>
                    <w:t>。</w:t>
                  </w:r>
                </w:p>
              </w:tc>
              <w:tc>
                <w:tcPr>
                  <w:tcW w:w="222" w:type="pct"/>
                  <w:vAlign w:val="center"/>
                </w:tcPr>
                <w:p w14:paraId="17386398">
                  <w:pPr>
                    <w:adjustRightInd w:val="0"/>
                    <w:snapToGrid w:val="0"/>
                    <w:jc w:val="center"/>
                    <w:rPr>
                      <w:color w:val="auto"/>
                      <w:szCs w:val="21"/>
                    </w:rPr>
                  </w:pPr>
                  <w:r>
                    <w:rPr>
                      <w:color w:val="auto"/>
                      <w:szCs w:val="21"/>
                    </w:rPr>
                    <w:t>符合</w:t>
                  </w:r>
                </w:p>
              </w:tc>
            </w:tr>
            <w:tr w14:paraId="2A3667B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1" w:type="pct"/>
                  <w:vMerge w:val="continue"/>
                  <w:vAlign w:val="center"/>
                </w:tcPr>
                <w:p w14:paraId="7A130C7A">
                  <w:pPr>
                    <w:widowControl/>
                    <w:jc w:val="center"/>
                    <w:rPr>
                      <w:color w:val="auto"/>
                      <w:szCs w:val="21"/>
                    </w:rPr>
                  </w:pPr>
                </w:p>
              </w:tc>
              <w:tc>
                <w:tcPr>
                  <w:tcW w:w="512" w:type="pct"/>
                  <w:vAlign w:val="center"/>
                </w:tcPr>
                <w:p w14:paraId="0356FBDB">
                  <w:pPr>
                    <w:jc w:val="center"/>
                    <w:rPr>
                      <w:color w:val="auto"/>
                      <w:szCs w:val="21"/>
                    </w:rPr>
                  </w:pPr>
                  <w:r>
                    <w:rPr>
                      <w:rFonts w:hint="eastAsia"/>
                      <w:color w:val="auto"/>
                      <w:szCs w:val="21"/>
                    </w:rPr>
                    <w:t>（四）开展工业园区和产业集群综合整治。</w:t>
                  </w:r>
                </w:p>
              </w:tc>
              <w:tc>
                <w:tcPr>
                  <w:tcW w:w="2246" w:type="pct"/>
                  <w:vAlign w:val="center"/>
                </w:tcPr>
                <w:p w14:paraId="136D90A7">
                  <w:pPr>
                    <w:adjustRightInd w:val="0"/>
                    <w:snapToGrid w:val="0"/>
                    <w:rPr>
                      <w:color w:val="auto"/>
                      <w:kern w:val="0"/>
                      <w:szCs w:val="21"/>
                    </w:rPr>
                  </w:pPr>
                  <w:r>
                    <w:rPr>
                      <w:rFonts w:hint="eastAsia"/>
                      <w:color w:val="auto"/>
                      <w:kern w:val="0"/>
                      <w:szCs w:val="21"/>
                    </w:rPr>
                    <w:t>加强涉工业炉窑企业运输结构调整，京津冀及周边地区大宗货物年货运量150万吨及以上的，原则上全部修建铁路专用线；具有铁路专用线的，大宗货物铁路运输比例应达到80%以上。</w:t>
                  </w:r>
                </w:p>
              </w:tc>
              <w:tc>
                <w:tcPr>
                  <w:tcW w:w="1179" w:type="pct"/>
                  <w:vAlign w:val="center"/>
                </w:tcPr>
                <w:p w14:paraId="67922D14">
                  <w:pPr>
                    <w:pStyle w:val="8"/>
                    <w:snapToGrid w:val="0"/>
                    <w:ind w:firstLine="0" w:firstLineChars="0"/>
                    <w:rPr>
                      <w:color w:val="auto"/>
                    </w:rPr>
                  </w:pPr>
                  <w:r>
                    <w:rPr>
                      <w:rFonts w:hint="eastAsia" w:cs="宋体"/>
                      <w:color w:val="auto"/>
                      <w:kern w:val="0"/>
                      <w:lang w:val="en-US" w:eastAsia="zh-CN"/>
                    </w:rPr>
                    <w:t>本项目</w:t>
                  </w:r>
                  <w:r>
                    <w:rPr>
                      <w:rFonts w:hint="eastAsia" w:cs="宋体"/>
                      <w:color w:val="auto"/>
                      <w:kern w:val="0"/>
                      <w:highlight w:val="none"/>
                    </w:rPr>
                    <w:t>产能为</w:t>
                  </w:r>
                  <w:r>
                    <w:rPr>
                      <w:rFonts w:hint="eastAsia" w:cs="宋体"/>
                      <w:color w:val="auto"/>
                      <w:kern w:val="0"/>
                      <w:highlight w:val="none"/>
                      <w:lang w:val="en-US" w:eastAsia="zh-CN"/>
                    </w:rPr>
                    <w:t>4.8</w:t>
                  </w:r>
                  <w:r>
                    <w:rPr>
                      <w:rFonts w:hint="eastAsia" w:cs="宋体"/>
                      <w:color w:val="auto"/>
                      <w:kern w:val="0"/>
                      <w:highlight w:val="none"/>
                    </w:rPr>
                    <w:t>万t/a，</w:t>
                  </w:r>
                  <w:r>
                    <w:rPr>
                      <w:rFonts w:hint="eastAsia"/>
                      <w:color w:val="auto"/>
                      <w:kern w:val="0"/>
                      <w:szCs w:val="21"/>
                    </w:rPr>
                    <w:t>货运量</w:t>
                  </w:r>
                  <w:r>
                    <w:rPr>
                      <w:rFonts w:hint="eastAsia"/>
                      <w:color w:val="auto"/>
                      <w:kern w:val="0"/>
                      <w:szCs w:val="21"/>
                      <w:lang w:val="en-US" w:eastAsia="zh-CN"/>
                    </w:rPr>
                    <w:t>约为5万</w:t>
                  </w:r>
                  <w:r>
                    <w:rPr>
                      <w:rFonts w:hint="eastAsia" w:cs="宋体"/>
                      <w:color w:val="auto"/>
                      <w:kern w:val="0"/>
                      <w:highlight w:val="none"/>
                    </w:rPr>
                    <w:t>t/a</w:t>
                  </w:r>
                  <w:r>
                    <w:rPr>
                      <w:rFonts w:hint="eastAsia"/>
                      <w:color w:val="auto"/>
                      <w:kern w:val="0"/>
                      <w:szCs w:val="21"/>
                      <w:lang w:val="en-US" w:eastAsia="zh-CN"/>
                    </w:rPr>
                    <w:t>，</w:t>
                  </w:r>
                  <w:r>
                    <w:rPr>
                      <w:rFonts w:hint="eastAsia" w:cs="宋体"/>
                      <w:color w:val="auto"/>
                      <w:kern w:val="0"/>
                    </w:rPr>
                    <w:t>采用国Ⅴ及以上排放标准的运输车辆运输。</w:t>
                  </w:r>
                </w:p>
              </w:tc>
              <w:tc>
                <w:tcPr>
                  <w:tcW w:w="222" w:type="pct"/>
                  <w:vAlign w:val="center"/>
                </w:tcPr>
                <w:p w14:paraId="3229B28E">
                  <w:pPr>
                    <w:adjustRightInd w:val="0"/>
                    <w:snapToGrid w:val="0"/>
                    <w:jc w:val="center"/>
                    <w:rPr>
                      <w:color w:val="auto"/>
                      <w:szCs w:val="21"/>
                    </w:rPr>
                  </w:pPr>
                  <w:r>
                    <w:rPr>
                      <w:color w:val="auto"/>
                      <w:szCs w:val="21"/>
                    </w:rPr>
                    <w:t>符合</w:t>
                  </w:r>
                </w:p>
              </w:tc>
            </w:tr>
          </w:tbl>
          <w:p w14:paraId="368B01B1">
            <w:pPr>
              <w:autoSpaceDE w:val="0"/>
              <w:autoSpaceDN w:val="0"/>
              <w:adjustRightInd w:val="0"/>
              <w:snapToGrid w:val="0"/>
              <w:spacing w:line="360" w:lineRule="auto"/>
              <w:ind w:firstLine="420" w:firstLineChars="200"/>
              <w:rPr>
                <w:color w:val="auto"/>
              </w:rPr>
            </w:pPr>
            <w:r>
              <w:rPr>
                <w:rFonts w:hint="eastAsia"/>
                <w:color w:val="auto"/>
              </w:rPr>
              <w:t>综上所述，本项目符合相关环保政策的要求。</w:t>
            </w:r>
          </w:p>
          <w:p w14:paraId="392805BF">
            <w:pPr>
              <w:pStyle w:val="122"/>
              <w:rPr>
                <w:color w:val="auto"/>
              </w:rPr>
            </w:pPr>
            <w:r>
              <w:rPr>
                <w:rFonts w:hint="eastAsia"/>
                <w:color w:val="auto"/>
              </w:rPr>
              <w:t>5、与防沙治沙相关符合性分析</w:t>
            </w:r>
          </w:p>
          <w:p w14:paraId="479E53A3">
            <w:pPr>
              <w:pStyle w:val="116"/>
              <w:ind w:firstLine="420"/>
              <w:rPr>
                <w:color w:val="auto"/>
              </w:rPr>
            </w:pPr>
            <w:r>
              <w:rPr>
                <w:rFonts w:hint="eastAsia"/>
                <w:color w:val="auto"/>
              </w:rPr>
              <w:t>根据《河北省生态环境厅办公室关于进一步做好沙区建设项目环境影响评价工作的通知》（冀环办字函[2023]326号），沙区建设项目需做好环境影响评价制度执行工作。根据《河北省防沙治沙规划(2021-2030年)》可知，唐山市涉及沙区范围为：路南区、路北区、古冶区、开平区、丰南区、丰润区、曹妃甸区、迁安市、滦州市、滦南县、乐亭县。</w:t>
            </w:r>
          </w:p>
          <w:p w14:paraId="3A5B7FF3">
            <w:pPr>
              <w:pStyle w:val="116"/>
              <w:ind w:firstLine="420"/>
              <w:rPr>
                <w:rFonts w:hint="eastAsia"/>
                <w:color w:val="auto"/>
              </w:rPr>
            </w:pPr>
            <w:r>
              <w:rPr>
                <w:rFonts w:hint="eastAsia"/>
                <w:color w:val="auto"/>
              </w:rPr>
              <w:t>本项目位于河北省</w:t>
            </w:r>
            <w:r>
              <w:rPr>
                <w:rFonts w:hint="eastAsia" w:hAnsi="宋体" w:cs="宋体"/>
                <w:color w:val="auto"/>
              </w:rPr>
              <w:t>唐山高新技术产业开发区</w:t>
            </w:r>
            <w:r>
              <w:rPr>
                <w:rFonts w:hint="eastAsia"/>
                <w:color w:val="auto"/>
              </w:rPr>
              <w:t>，距离最近的沙区为1.5km，不在沙区范围内，见下图。</w:t>
            </w:r>
          </w:p>
          <w:p w14:paraId="6298DD49">
            <w:pPr>
              <w:pStyle w:val="116"/>
              <w:ind w:firstLine="420"/>
              <w:rPr>
                <w:rFonts w:hint="eastAsia"/>
                <w:color w:val="auto"/>
              </w:rPr>
            </w:pPr>
          </w:p>
          <w:p w14:paraId="2AA7F082">
            <w:pPr>
              <w:pStyle w:val="116"/>
              <w:ind w:firstLine="420"/>
              <w:rPr>
                <w:rFonts w:hint="eastAsia"/>
                <w:color w:val="auto"/>
              </w:rPr>
            </w:pPr>
          </w:p>
          <w:p w14:paraId="1A80B57A">
            <w:pPr>
              <w:pStyle w:val="116"/>
              <w:ind w:firstLine="420"/>
              <w:rPr>
                <w:rFonts w:hint="eastAsia"/>
                <w:color w:val="auto"/>
              </w:rPr>
            </w:pPr>
          </w:p>
          <w:p w14:paraId="60C565F8">
            <w:pPr>
              <w:pStyle w:val="116"/>
              <w:ind w:firstLine="420"/>
              <w:rPr>
                <w:rFonts w:hint="eastAsia"/>
                <w:color w:val="auto"/>
              </w:rPr>
            </w:pPr>
          </w:p>
          <w:p w14:paraId="1747D667">
            <w:pPr>
              <w:pStyle w:val="116"/>
              <w:ind w:firstLine="420"/>
              <w:rPr>
                <w:rFonts w:hint="eastAsia"/>
                <w:color w:val="auto"/>
              </w:rPr>
            </w:pPr>
          </w:p>
          <w:p w14:paraId="7CA4D8AE">
            <w:pPr>
              <w:pStyle w:val="116"/>
              <w:ind w:firstLine="420"/>
              <w:rPr>
                <w:rFonts w:hint="eastAsia"/>
                <w:color w:val="auto"/>
              </w:rPr>
            </w:pPr>
          </w:p>
          <w:p w14:paraId="190639BB">
            <w:pPr>
              <w:pStyle w:val="116"/>
              <w:ind w:firstLine="420"/>
              <w:rPr>
                <w:rFonts w:hint="eastAsia"/>
                <w:color w:val="auto"/>
              </w:rPr>
            </w:pPr>
          </w:p>
          <w:p w14:paraId="57E9751B">
            <w:pPr>
              <w:pStyle w:val="2"/>
              <w:keepNext/>
              <w:ind w:left="0" w:leftChars="0" w:firstLine="0" w:firstLineChars="0"/>
              <w:jc w:val="center"/>
              <w:rPr>
                <w:color w:val="auto"/>
              </w:rPr>
            </w:pPr>
            <w:r>
              <w:rPr>
                <w:color w:val="auto"/>
              </w:rPr>
              <w:drawing>
                <wp:inline distT="0" distB="0" distL="0" distR="0">
                  <wp:extent cx="4364990" cy="2466975"/>
                  <wp:effectExtent l="19050" t="0" r="0" b="0"/>
                  <wp:docPr id="3" name="图片 3" descr="与沙化土地的关系  处理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与沙化土地的关系  处理后"/>
                          <pic:cNvPicPr>
                            <a:picLocks noChangeAspect="1" noChangeArrowheads="1"/>
                          </pic:cNvPicPr>
                        </pic:nvPicPr>
                        <pic:blipFill>
                          <a:blip r:embed="rId10"/>
                          <a:srcRect/>
                          <a:stretch>
                            <a:fillRect/>
                          </a:stretch>
                        </pic:blipFill>
                        <pic:spPr>
                          <a:xfrm>
                            <a:off x="0" y="0"/>
                            <a:ext cx="4364990" cy="2466975"/>
                          </a:xfrm>
                          <a:prstGeom prst="rect">
                            <a:avLst/>
                          </a:prstGeom>
                          <a:noFill/>
                          <a:ln w="9525">
                            <a:noFill/>
                            <a:miter lim="800000"/>
                            <a:headEnd/>
                            <a:tailEnd/>
                          </a:ln>
                        </pic:spPr>
                      </pic:pic>
                    </a:graphicData>
                  </a:graphic>
                </wp:inline>
              </w:drawing>
            </w:r>
          </w:p>
          <w:p w14:paraId="22BA4B62">
            <w:pPr>
              <w:pStyle w:val="10"/>
              <w:rPr>
                <w:color w:val="auto"/>
              </w:rPr>
            </w:pPr>
            <w:r>
              <w:rPr>
                <w:rFonts w:hint="eastAsia"/>
                <w:color w:val="auto"/>
              </w:rPr>
              <w:t>图1</w:t>
            </w:r>
            <w:r>
              <w:rPr>
                <w:rFonts w:hint="eastAsia"/>
                <w:color w:val="auto"/>
                <w:lang w:eastAsia="zh-CN"/>
              </w:rPr>
              <w:t>-</w:t>
            </w:r>
            <w:r>
              <w:rPr>
                <w:color w:val="auto"/>
              </w:rPr>
              <w:fldChar w:fldCharType="begin"/>
            </w:r>
            <w:r>
              <w:rPr>
                <w:color w:val="auto"/>
              </w:rPr>
              <w:instrText xml:space="preserve"> </w:instrText>
            </w:r>
            <w:r>
              <w:rPr>
                <w:rFonts w:hint="eastAsia"/>
                <w:color w:val="auto"/>
              </w:rPr>
              <w:instrText xml:space="preserve">SEQ 图1- \* ARABIC</w:instrText>
            </w:r>
            <w:r>
              <w:rPr>
                <w:color w:val="auto"/>
              </w:rPr>
              <w:instrText xml:space="preserve"> </w:instrText>
            </w:r>
            <w:r>
              <w:rPr>
                <w:color w:val="auto"/>
              </w:rPr>
              <w:fldChar w:fldCharType="separate"/>
            </w:r>
            <w:r>
              <w:rPr>
                <w:color w:val="auto"/>
              </w:rPr>
              <w:t>3</w:t>
            </w:r>
            <w:r>
              <w:rPr>
                <w:color w:val="auto"/>
              </w:rPr>
              <w:fldChar w:fldCharType="end"/>
            </w:r>
            <w:r>
              <w:rPr>
                <w:rFonts w:hint="eastAsia"/>
                <w:color w:val="auto"/>
              </w:rPr>
              <w:t xml:space="preserve"> 本项目与附近沙区位置关系示意图</w:t>
            </w:r>
          </w:p>
          <w:p w14:paraId="732D5769">
            <w:pPr>
              <w:pStyle w:val="116"/>
              <w:spacing w:beforeLines="50" w:line="360" w:lineRule="exact"/>
              <w:ind w:firstLine="420"/>
              <w:rPr>
                <w:color w:val="auto"/>
              </w:rPr>
            </w:pPr>
            <w:r>
              <w:rPr>
                <w:rFonts w:hint="eastAsia"/>
                <w:color w:val="auto"/>
              </w:rPr>
              <w:t>本项目</w:t>
            </w:r>
            <w:r>
              <w:rPr>
                <w:rFonts w:hint="eastAsia" w:cs="宋体"/>
                <w:color w:val="auto"/>
                <w:kern w:val="0"/>
              </w:rPr>
              <w:t>利用厂区空地进行项目建设</w:t>
            </w:r>
            <w:r>
              <w:rPr>
                <w:rFonts w:hint="eastAsia"/>
                <w:color w:val="auto"/>
                <w:highlight w:val="none"/>
              </w:rPr>
              <w:t>，</w:t>
            </w:r>
            <w:r>
              <w:rPr>
                <w:rFonts w:hint="eastAsia"/>
                <w:color w:val="auto"/>
              </w:rPr>
              <w:t>现状厂区地面大部分已进行硬化，占地区域暂无沙化现象。本项目对土地的影响主要为：运输车辆对未硬化区域的碾压易造成土壤表层发生变化，</w:t>
            </w:r>
            <w:r>
              <w:rPr>
                <w:color w:val="auto"/>
              </w:rPr>
              <w:t>造成土地沙化</w:t>
            </w:r>
            <w:r>
              <w:rPr>
                <w:rFonts w:hint="eastAsia"/>
                <w:color w:val="auto"/>
              </w:rPr>
              <w:t xml:space="preserve">。 </w:t>
            </w:r>
          </w:p>
          <w:p w14:paraId="56346F47">
            <w:pPr>
              <w:pStyle w:val="116"/>
              <w:spacing w:line="360" w:lineRule="exact"/>
              <w:ind w:firstLine="420"/>
              <w:rPr>
                <w:color w:val="auto"/>
              </w:rPr>
            </w:pPr>
            <w:r>
              <w:rPr>
                <w:rFonts w:hint="eastAsia"/>
                <w:color w:val="auto"/>
              </w:rPr>
              <w:t>本项目采取有效措施，预防土地沙化，运输过程中严格管理，尽量不对周边植被造成破坏，保存好现有植被，对碾压破坏的周边植被，进行植被恢复。</w:t>
            </w:r>
          </w:p>
          <w:p w14:paraId="685A98FD">
            <w:pPr>
              <w:pStyle w:val="116"/>
              <w:spacing w:line="360" w:lineRule="exact"/>
              <w:ind w:firstLine="420"/>
              <w:rPr>
                <w:color w:val="auto"/>
              </w:rPr>
            </w:pPr>
            <w:r>
              <w:rPr>
                <w:rFonts w:hint="eastAsia"/>
                <w:color w:val="auto"/>
              </w:rPr>
              <w:t>综上所述，通过采取以上必要的防治措施后，本项目对周围环境的影响较小。</w:t>
            </w:r>
          </w:p>
          <w:p w14:paraId="3CBF8877">
            <w:pPr>
              <w:pStyle w:val="116"/>
              <w:spacing w:line="360" w:lineRule="exact"/>
              <w:ind w:firstLine="0" w:firstLineChars="0"/>
              <w:rPr>
                <w:color w:val="auto"/>
              </w:rPr>
            </w:pPr>
          </w:p>
          <w:p w14:paraId="0F571ED6">
            <w:pPr>
              <w:pStyle w:val="116"/>
              <w:spacing w:line="360" w:lineRule="exact"/>
              <w:ind w:firstLine="0" w:firstLineChars="0"/>
              <w:rPr>
                <w:color w:val="auto"/>
              </w:rPr>
            </w:pPr>
          </w:p>
          <w:p w14:paraId="71BB89CE">
            <w:pPr>
              <w:pStyle w:val="116"/>
              <w:spacing w:line="360" w:lineRule="exact"/>
              <w:ind w:firstLine="0" w:firstLineChars="0"/>
              <w:rPr>
                <w:color w:val="auto"/>
              </w:rPr>
            </w:pPr>
          </w:p>
          <w:p w14:paraId="68D16EEE">
            <w:pPr>
              <w:pStyle w:val="116"/>
              <w:spacing w:line="360" w:lineRule="exact"/>
              <w:ind w:firstLine="0" w:firstLineChars="0"/>
              <w:rPr>
                <w:color w:val="auto"/>
              </w:rPr>
            </w:pPr>
          </w:p>
          <w:p w14:paraId="2BBCF255">
            <w:pPr>
              <w:pStyle w:val="116"/>
              <w:spacing w:line="360" w:lineRule="exact"/>
              <w:ind w:firstLine="0" w:firstLineChars="0"/>
              <w:rPr>
                <w:color w:val="auto"/>
              </w:rPr>
            </w:pPr>
          </w:p>
          <w:p w14:paraId="1FB6FE9B">
            <w:pPr>
              <w:pStyle w:val="116"/>
              <w:spacing w:line="360" w:lineRule="exact"/>
              <w:ind w:firstLine="0" w:firstLineChars="0"/>
              <w:rPr>
                <w:color w:val="auto"/>
              </w:rPr>
            </w:pPr>
          </w:p>
          <w:p w14:paraId="059BD29A">
            <w:pPr>
              <w:pStyle w:val="116"/>
              <w:spacing w:line="360" w:lineRule="exact"/>
              <w:ind w:firstLine="0" w:firstLineChars="0"/>
              <w:rPr>
                <w:color w:val="auto"/>
              </w:rPr>
            </w:pPr>
          </w:p>
          <w:p w14:paraId="22E64309">
            <w:pPr>
              <w:pStyle w:val="116"/>
              <w:spacing w:line="360" w:lineRule="exact"/>
              <w:ind w:firstLine="0" w:firstLineChars="0"/>
              <w:rPr>
                <w:color w:val="auto"/>
              </w:rPr>
            </w:pPr>
          </w:p>
          <w:p w14:paraId="5AF8F0B4">
            <w:pPr>
              <w:pStyle w:val="116"/>
              <w:spacing w:line="360" w:lineRule="exact"/>
              <w:ind w:firstLine="0" w:firstLineChars="0"/>
              <w:rPr>
                <w:color w:val="auto"/>
              </w:rPr>
            </w:pPr>
          </w:p>
          <w:p w14:paraId="3E04F41C">
            <w:pPr>
              <w:pStyle w:val="116"/>
              <w:spacing w:line="360" w:lineRule="exact"/>
              <w:ind w:firstLine="0" w:firstLineChars="0"/>
              <w:rPr>
                <w:color w:val="auto"/>
              </w:rPr>
            </w:pPr>
          </w:p>
          <w:p w14:paraId="6678AA1D">
            <w:pPr>
              <w:pStyle w:val="116"/>
              <w:spacing w:line="360" w:lineRule="exact"/>
              <w:ind w:firstLine="0" w:firstLineChars="0"/>
              <w:rPr>
                <w:color w:val="auto"/>
              </w:rPr>
            </w:pPr>
          </w:p>
          <w:p w14:paraId="4FCE8EB5">
            <w:pPr>
              <w:pStyle w:val="116"/>
              <w:spacing w:line="360" w:lineRule="exact"/>
              <w:ind w:firstLine="0" w:firstLineChars="0"/>
              <w:rPr>
                <w:color w:val="auto"/>
              </w:rPr>
            </w:pPr>
          </w:p>
          <w:p w14:paraId="2B193D9C">
            <w:pPr>
              <w:pStyle w:val="116"/>
              <w:spacing w:line="360" w:lineRule="exact"/>
              <w:ind w:firstLine="0" w:firstLineChars="0"/>
              <w:rPr>
                <w:color w:val="auto"/>
              </w:rPr>
            </w:pPr>
          </w:p>
          <w:p w14:paraId="1F9A96B0">
            <w:pPr>
              <w:pStyle w:val="116"/>
              <w:spacing w:line="360" w:lineRule="exact"/>
              <w:ind w:firstLine="0" w:firstLineChars="0"/>
              <w:rPr>
                <w:color w:val="auto"/>
              </w:rPr>
            </w:pPr>
          </w:p>
          <w:p w14:paraId="4D0894BA">
            <w:pPr>
              <w:pStyle w:val="116"/>
              <w:spacing w:line="360" w:lineRule="exact"/>
              <w:ind w:firstLine="0" w:firstLineChars="0"/>
              <w:rPr>
                <w:color w:val="auto"/>
              </w:rPr>
            </w:pPr>
          </w:p>
          <w:p w14:paraId="031BA70B">
            <w:pPr>
              <w:pStyle w:val="116"/>
              <w:spacing w:line="360" w:lineRule="exact"/>
              <w:ind w:firstLine="0" w:firstLineChars="0"/>
              <w:rPr>
                <w:color w:val="auto"/>
              </w:rPr>
            </w:pPr>
          </w:p>
          <w:p w14:paraId="0A27DCB8">
            <w:pPr>
              <w:pStyle w:val="116"/>
              <w:spacing w:line="360" w:lineRule="exact"/>
              <w:ind w:firstLine="0" w:firstLineChars="0"/>
              <w:rPr>
                <w:color w:val="auto"/>
              </w:rPr>
            </w:pPr>
          </w:p>
        </w:tc>
      </w:tr>
    </w:tbl>
    <w:p w14:paraId="7E60EF16">
      <w:pPr>
        <w:pStyle w:val="41"/>
        <w:ind w:left="420"/>
        <w:rPr>
          <w:color w:val="auto"/>
        </w:rPr>
        <w:sectPr>
          <w:footerReference r:id="rId5" w:type="default"/>
          <w:pgSz w:w="11906" w:h="16838"/>
          <w:pgMar w:top="1701" w:right="1531" w:bottom="1701" w:left="1531" w:header="851" w:footer="1077" w:gutter="0"/>
          <w:pgNumType w:start="1"/>
          <w:cols w:space="720" w:num="1"/>
          <w:docGrid w:linePitch="312" w:charSpace="0"/>
        </w:sectPr>
      </w:pPr>
    </w:p>
    <w:p w14:paraId="68B2850F">
      <w:pPr>
        <w:pStyle w:val="30"/>
        <w:spacing w:before="0" w:beforeAutospacing="0" w:after="0" w:afterAutospacing="0"/>
        <w:jc w:val="center"/>
        <w:outlineLvl w:val="0"/>
        <w:rPr>
          <w:rFonts w:ascii="Times New Roman" w:hAnsi="Times New Roman" w:eastAsia="黑体"/>
          <w:snapToGrid w:val="0"/>
          <w:color w:val="auto"/>
          <w:sz w:val="30"/>
          <w:szCs w:val="30"/>
        </w:rPr>
      </w:pPr>
      <w:bookmarkStart w:id="5" w:name="_Toc13345"/>
      <w:r>
        <w:rPr>
          <w:rFonts w:ascii="Times New Roman" w:hAnsi="Times New Roman" w:eastAsia="黑体"/>
          <w:snapToGrid w:val="0"/>
          <w:color w:val="auto"/>
          <w:sz w:val="30"/>
          <w:szCs w:val="30"/>
        </w:rPr>
        <w:t>二、建设项目工程分析</w:t>
      </w:r>
      <w:bookmarkEnd w:id="5"/>
    </w:p>
    <w:tbl>
      <w:tblPr>
        <w:tblStyle w:val="3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59"/>
        <w:gridCol w:w="8515"/>
      </w:tblGrid>
      <w:tr w14:paraId="71F728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98" w:hRule="atLeast"/>
          <w:jc w:val="center"/>
        </w:trPr>
        <w:tc>
          <w:tcPr>
            <w:tcW w:w="659" w:type="dxa"/>
            <w:shd w:val="clear" w:color="auto" w:fill="auto"/>
            <w:noWrap/>
            <w:vAlign w:val="center"/>
          </w:tcPr>
          <w:p w14:paraId="58D448EA">
            <w:pPr>
              <w:pStyle w:val="30"/>
              <w:adjustRightInd w:val="0"/>
              <w:snapToGrid w:val="0"/>
              <w:spacing w:before="0" w:beforeAutospacing="0" w:after="0" w:afterAutospacing="0"/>
              <w:jc w:val="center"/>
              <w:rPr>
                <w:rFonts w:ascii="Times New Roman" w:hAnsi="Times New Roman"/>
                <w:color w:val="auto"/>
                <w:sz w:val="21"/>
                <w:szCs w:val="21"/>
              </w:rPr>
            </w:pPr>
            <w:r>
              <w:rPr>
                <w:rFonts w:ascii="Times New Roman" w:hAnsi="Times New Roman"/>
                <w:color w:val="auto"/>
                <w:sz w:val="21"/>
                <w:szCs w:val="21"/>
              </w:rPr>
              <w:t>建设内容</w:t>
            </w:r>
          </w:p>
        </w:tc>
        <w:tc>
          <w:tcPr>
            <w:tcW w:w="8515" w:type="dxa"/>
            <w:shd w:val="clear" w:color="auto" w:fill="auto"/>
            <w:noWrap/>
          </w:tcPr>
          <w:p w14:paraId="055259BE">
            <w:pPr>
              <w:pStyle w:val="122"/>
              <w:rPr>
                <w:color w:val="auto"/>
              </w:rPr>
            </w:pPr>
            <w:r>
              <w:rPr>
                <w:rFonts w:hint="eastAsia"/>
                <w:color w:val="auto"/>
              </w:rPr>
              <w:t>1、</w:t>
            </w:r>
            <w:r>
              <w:rPr>
                <w:color w:val="auto"/>
              </w:rPr>
              <w:t>项目由来</w:t>
            </w:r>
          </w:p>
          <w:p w14:paraId="0241B2D2">
            <w:pPr>
              <w:pStyle w:val="116"/>
              <w:ind w:firstLine="420"/>
              <w:rPr>
                <w:rFonts w:hint="eastAsia"/>
                <w:color w:val="auto"/>
              </w:rPr>
            </w:pPr>
            <w:r>
              <w:rPr>
                <w:color w:val="auto"/>
              </w:rPr>
              <w:t>中冶重工（唐山）有限公司成立于</w:t>
            </w:r>
            <w:r>
              <w:rPr>
                <w:rFonts w:hint="eastAsia"/>
                <w:color w:val="auto"/>
              </w:rPr>
              <w:t>2009年9月，隶属于世界500强中国冶金科工集团旗下的中国二十二冶集团，是</w:t>
            </w:r>
            <w:r>
              <w:rPr>
                <w:rFonts w:hint="eastAsia"/>
                <w:color w:val="auto"/>
                <w:lang w:eastAsia="zh-CN"/>
              </w:rPr>
              <w:t>一家</w:t>
            </w:r>
            <w:r>
              <w:rPr>
                <w:rFonts w:hint="eastAsia"/>
                <w:color w:val="auto"/>
              </w:rPr>
              <w:t>以大型多向模锻件产品的设计、生产、销售为一体的综合生产型企业，也是</w:t>
            </w:r>
            <w:r>
              <w:rPr>
                <w:rFonts w:hint="eastAsia"/>
                <w:color w:val="auto"/>
                <w:lang w:eastAsia="zh-CN"/>
              </w:rPr>
              <w:t>一家</w:t>
            </w:r>
            <w:r>
              <w:rPr>
                <w:rFonts w:hint="eastAsia"/>
                <w:color w:val="auto"/>
              </w:rPr>
              <w:t>具有重型装备研发设计、总成制造、安装调试、技术服务综合能力的高新技术企业。企业现</w:t>
            </w:r>
            <w:r>
              <w:rPr>
                <w:rFonts w:hint="eastAsia"/>
                <w:color w:val="auto"/>
                <w:lang w:val="en-US" w:eastAsia="zh-CN"/>
              </w:rPr>
              <w:t>有</w:t>
            </w:r>
            <w:r>
              <w:rPr>
                <w:rFonts w:hint="eastAsia"/>
                <w:color w:val="auto"/>
              </w:rPr>
              <w:t>生产能力为大型锻件55000t/a、液化机等重型装备8000t/a，共计63000t/a。</w:t>
            </w:r>
          </w:p>
          <w:p w14:paraId="676D2381">
            <w:pPr>
              <w:pStyle w:val="116"/>
              <w:ind w:firstLine="420"/>
              <w:rPr>
                <w:rFonts w:hint="eastAsia"/>
                <w:color w:val="auto"/>
                <w:lang w:eastAsia="zh-CN"/>
              </w:rPr>
            </w:pPr>
            <w:r>
              <w:rPr>
                <w:rFonts w:hint="eastAsia"/>
                <w:color w:val="auto"/>
                <w:highlight w:val="none"/>
              </w:rPr>
              <w:t>在行业竞争格局和市场需求环境深刻变革的背景下，面对复杂严峻的经济形势，中冶重工（唐山）有限公司全面对标优秀企业，聚焦全面提升多向模锻产品创新能力，加速规模化绿色化智能化转型。随着制造业对节能节材及对关键零部件本身性能要求的不断提高，对锻造及铸改锻技术的需求进一步增加。</w:t>
            </w:r>
            <w:r>
              <w:rPr>
                <w:rFonts w:hint="eastAsia"/>
                <w:color w:val="auto"/>
              </w:rPr>
              <w:t>为增强产品市场竞争力，</w:t>
            </w:r>
            <w:r>
              <w:rPr>
                <w:color w:val="auto"/>
              </w:rPr>
              <w:t>企业拟投资</w:t>
            </w:r>
            <w:r>
              <w:rPr>
                <w:rFonts w:hint="eastAsia"/>
                <w:color w:val="auto"/>
                <w:lang w:val="en-US" w:eastAsia="zh-CN"/>
              </w:rPr>
              <w:t>320</w:t>
            </w:r>
            <w:r>
              <w:rPr>
                <w:rFonts w:hint="eastAsia"/>
                <w:color w:val="auto"/>
              </w:rPr>
              <w:t>00</w:t>
            </w:r>
            <w:r>
              <w:rPr>
                <w:color w:val="auto"/>
              </w:rPr>
              <w:t>万元</w:t>
            </w:r>
            <w:r>
              <w:rPr>
                <w:rFonts w:hint="eastAsia"/>
                <w:color w:val="auto"/>
                <w:lang w:val="en-US" w:eastAsia="zh-CN"/>
              </w:rPr>
              <w:t>建设</w:t>
            </w:r>
            <w:r>
              <w:rPr>
                <w:rFonts w:hint="eastAsia"/>
                <w:color w:val="auto"/>
              </w:rPr>
              <w:t>中冶重工（唐山）有限公司大型多向模锻产能提升项目，该项目已于唐山高新技术产业开发区行政审批局备案，备案编号：唐高备字〔2025〕185号</w:t>
            </w:r>
            <w:r>
              <w:rPr>
                <w:rFonts w:hint="eastAsia"/>
                <w:color w:val="auto"/>
                <w:lang w:eastAsia="zh-CN"/>
              </w:rPr>
              <w:t>。</w:t>
            </w:r>
          </w:p>
          <w:p w14:paraId="0BAFDCFA">
            <w:pPr>
              <w:pStyle w:val="116"/>
              <w:ind w:firstLine="420"/>
              <w:rPr>
                <w:rFonts w:ascii="TimesNewRomanPSMT" w:eastAsia="TimesNewRomanPSMT" w:cs="TimesNewRomanPSMT"/>
                <w:color w:val="auto"/>
                <w:kern w:val="0"/>
              </w:rPr>
            </w:pPr>
            <w:r>
              <w:rPr>
                <w:color w:val="auto"/>
              </w:rPr>
              <w:t>依据《建设项目环境影响评价分类管理名录》（2021版），本项目属于</w:t>
            </w:r>
            <w:r>
              <w:rPr>
                <w:rFonts w:hint="eastAsia"/>
                <w:color w:val="auto"/>
              </w:rPr>
              <w:t>“</w:t>
            </w:r>
            <w:r>
              <w:rPr>
                <w:rFonts w:hint="eastAsia"/>
                <w:color w:val="auto"/>
                <w:highlight w:val="none"/>
              </w:rPr>
              <w:t>三十、金属制品业33，铸造及其他金属制品制造339，其他（仅分割、焊接、组装的除外）”</w:t>
            </w:r>
            <w:r>
              <w:rPr>
                <w:color w:val="auto"/>
                <w:highlight w:val="none"/>
              </w:rPr>
              <w:t>，</w:t>
            </w:r>
            <w:r>
              <w:rPr>
                <w:color w:val="auto"/>
              </w:rPr>
              <w:t>应编制环境影响报告表，</w:t>
            </w:r>
            <w:r>
              <w:rPr>
                <w:rFonts w:hint="eastAsia"/>
                <w:color w:val="auto"/>
              </w:rPr>
              <w:t>中冶重工（唐山）有限公司</w:t>
            </w:r>
            <w:r>
              <w:rPr>
                <w:color w:val="auto"/>
              </w:rPr>
              <w:t>委托我单位承担本项目报告表的编制工作，我单位接受委托后，立即开展了现场踏勘、资料收集等工作，</w:t>
            </w:r>
            <w:r>
              <w:rPr>
                <w:rFonts w:hint="eastAsia" w:ascii="宋体" w:cs="宋体"/>
                <w:color w:val="auto"/>
                <w:kern w:val="0"/>
              </w:rPr>
              <w:t>进行了工程分析和污染因子分析，依据《环境影响评价技术导则》、《建设项目环境影响报告表编制技术指南（污染影响类）（试行）》的有关要求，编写了本环境影响报告表。</w:t>
            </w:r>
          </w:p>
          <w:p w14:paraId="5C5D0BF2">
            <w:pPr>
              <w:pStyle w:val="122"/>
              <w:rPr>
                <w:color w:val="auto"/>
              </w:rPr>
            </w:pPr>
            <w:r>
              <w:rPr>
                <w:rFonts w:hint="eastAsia"/>
                <w:color w:val="auto"/>
              </w:rPr>
              <w:t>2</w:t>
            </w:r>
            <w:r>
              <w:rPr>
                <w:color w:val="auto"/>
              </w:rPr>
              <w:t>、本项目建设内容</w:t>
            </w:r>
          </w:p>
          <w:p w14:paraId="25C06F20">
            <w:pPr>
              <w:pStyle w:val="116"/>
              <w:ind w:firstLine="420"/>
              <w:jc w:val="both"/>
              <w:rPr>
                <w:color w:val="auto"/>
              </w:rPr>
            </w:pPr>
            <w:r>
              <w:rPr>
                <w:rFonts w:hint="eastAsia"/>
                <w:color w:val="auto"/>
              </w:rPr>
              <w:t>本项目总用地面积54123.74</w:t>
            </w:r>
            <w:r>
              <w:rPr>
                <w:rFonts w:hint="eastAsia"/>
                <w:color w:val="auto"/>
                <w:lang w:val="en-US" w:eastAsia="zh-CN"/>
              </w:rPr>
              <w:t>m</w:t>
            </w:r>
            <w:r>
              <w:rPr>
                <w:rFonts w:hint="eastAsia"/>
                <w:color w:val="auto"/>
                <w:vertAlign w:val="superscript"/>
                <w:lang w:val="en-US" w:eastAsia="zh-CN"/>
              </w:rPr>
              <w:t>2</w:t>
            </w:r>
            <w:r>
              <w:rPr>
                <w:rFonts w:hint="eastAsia"/>
                <w:color w:val="auto"/>
              </w:rPr>
              <w:t>，总建筑面积33473.76</w:t>
            </w:r>
            <w:r>
              <w:rPr>
                <w:rFonts w:hint="eastAsia"/>
                <w:color w:val="auto"/>
                <w:lang w:val="en-US" w:eastAsia="zh-CN"/>
              </w:rPr>
              <w:t>m</w:t>
            </w:r>
            <w:r>
              <w:rPr>
                <w:rFonts w:hint="eastAsia"/>
                <w:color w:val="auto"/>
                <w:vertAlign w:val="superscript"/>
                <w:lang w:val="en-US" w:eastAsia="zh-CN"/>
              </w:rPr>
              <w:t>2</w:t>
            </w:r>
            <w:r>
              <w:rPr>
                <w:rFonts w:hint="eastAsia"/>
                <w:color w:val="auto"/>
              </w:rPr>
              <w:t>，主要建设高压管汇车间、自由锻与热处理车间、成品库、锅炉房、门卫及泵房、室外道路及管网等。配置31.5MN自由锻液压机成套设备、φ80钢球锻轧生产线、φ100钢球锻造生产线及先进生产配套设备。项目建成后，将打通现有生产工艺盲点，完善多向模锻工序链条，预计年产锻造类产品4.8万吨。其中高压管汇车间和锅炉房本次只进行土建部分，不安装设备。</w:t>
            </w:r>
          </w:p>
          <w:p w14:paraId="2FC096E8">
            <w:pPr>
              <w:snapToGrid w:val="0"/>
              <w:spacing w:line="360" w:lineRule="auto"/>
              <w:ind w:firstLine="420" w:firstLineChars="200"/>
              <w:rPr>
                <w:color w:val="auto"/>
                <w:szCs w:val="21"/>
              </w:rPr>
            </w:pPr>
            <w:r>
              <w:rPr>
                <w:color w:val="auto"/>
                <w:kern w:val="0"/>
                <w:szCs w:val="21"/>
              </w:rPr>
              <w:t>本项目</w:t>
            </w:r>
            <w:r>
              <w:rPr>
                <w:color w:val="auto"/>
                <w:szCs w:val="21"/>
              </w:rPr>
              <w:t>建设内容详见下表。</w:t>
            </w:r>
          </w:p>
          <w:p w14:paraId="4004B3CF">
            <w:pPr>
              <w:pStyle w:val="10"/>
              <w:rPr>
                <w:color w:val="auto"/>
              </w:rPr>
            </w:pPr>
            <w:r>
              <w:rPr>
                <w:rFonts w:hint="eastAsia"/>
                <w:color w:val="auto"/>
              </w:rPr>
              <w:t>表2</w:t>
            </w:r>
            <w:r>
              <w:rPr>
                <w:rFonts w:hint="eastAsia"/>
                <w:color w:val="auto"/>
                <w:lang w:eastAsia="zh-CN"/>
              </w:rPr>
              <w:t>-</w:t>
            </w:r>
            <w:r>
              <w:rPr>
                <w:color w:val="auto"/>
              </w:rPr>
              <w:fldChar w:fldCharType="begin"/>
            </w:r>
            <w:r>
              <w:rPr>
                <w:color w:val="auto"/>
              </w:rPr>
              <w:instrText xml:space="preserve"> </w:instrText>
            </w:r>
            <w:r>
              <w:rPr>
                <w:rFonts w:hint="eastAsia"/>
                <w:color w:val="auto"/>
              </w:rPr>
              <w:instrText xml:space="preserve">SEQ 表2- \* ARABIC</w:instrText>
            </w:r>
            <w:r>
              <w:rPr>
                <w:color w:val="auto"/>
              </w:rPr>
              <w:instrText xml:space="preserve"> </w:instrText>
            </w:r>
            <w:r>
              <w:rPr>
                <w:color w:val="auto"/>
              </w:rPr>
              <w:fldChar w:fldCharType="separate"/>
            </w:r>
            <w:r>
              <w:rPr>
                <w:color w:val="auto"/>
              </w:rPr>
              <w:t>1</w:t>
            </w:r>
            <w:r>
              <w:rPr>
                <w:color w:val="auto"/>
              </w:rPr>
              <w:fldChar w:fldCharType="end"/>
            </w:r>
            <w:r>
              <w:rPr>
                <w:rFonts w:hint="eastAsia"/>
                <w:color w:val="auto"/>
                <w:szCs w:val="21"/>
              </w:rPr>
              <w:t>本</w:t>
            </w:r>
            <w:r>
              <w:rPr>
                <w:color w:val="auto"/>
                <w:szCs w:val="21"/>
              </w:rPr>
              <w:t>项目主要建设内容一览表</w:t>
            </w:r>
          </w:p>
          <w:tbl>
            <w:tblPr>
              <w:tblStyle w:val="33"/>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8"/>
              <w:gridCol w:w="1366"/>
              <w:gridCol w:w="2060"/>
              <w:gridCol w:w="3068"/>
              <w:gridCol w:w="1077"/>
            </w:tblGrid>
            <w:tr w14:paraId="2B61DA1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38" w:type="pct"/>
                  <w:vAlign w:val="center"/>
                </w:tcPr>
                <w:p w14:paraId="7267F185">
                  <w:pPr>
                    <w:spacing w:line="240" w:lineRule="auto"/>
                    <w:jc w:val="center"/>
                    <w:rPr>
                      <w:color w:val="auto"/>
                      <w:highlight w:val="none"/>
                    </w:rPr>
                  </w:pPr>
                  <w:r>
                    <w:rPr>
                      <w:color w:val="auto"/>
                      <w:highlight w:val="none"/>
                    </w:rPr>
                    <w:t>工程分类</w:t>
                  </w:r>
                </w:p>
              </w:tc>
              <w:tc>
                <w:tcPr>
                  <w:tcW w:w="822" w:type="pct"/>
                  <w:vAlign w:val="center"/>
                </w:tcPr>
                <w:p w14:paraId="1D632118">
                  <w:pPr>
                    <w:spacing w:line="240" w:lineRule="auto"/>
                    <w:jc w:val="center"/>
                    <w:rPr>
                      <w:color w:val="auto"/>
                      <w:highlight w:val="none"/>
                    </w:rPr>
                  </w:pPr>
                  <w:r>
                    <w:rPr>
                      <w:color w:val="auto"/>
                      <w:highlight w:val="none"/>
                    </w:rPr>
                    <w:t>建设内容</w:t>
                  </w:r>
                </w:p>
              </w:tc>
              <w:tc>
                <w:tcPr>
                  <w:tcW w:w="3089" w:type="pct"/>
                  <w:gridSpan w:val="2"/>
                  <w:vAlign w:val="center"/>
                </w:tcPr>
                <w:p w14:paraId="1B73ECAD">
                  <w:pPr>
                    <w:spacing w:line="240" w:lineRule="auto"/>
                    <w:jc w:val="center"/>
                    <w:rPr>
                      <w:color w:val="auto"/>
                      <w:highlight w:val="none"/>
                    </w:rPr>
                  </w:pPr>
                  <w:r>
                    <w:rPr>
                      <w:color w:val="auto"/>
                      <w:highlight w:val="none"/>
                    </w:rPr>
                    <w:t>建设详情</w:t>
                  </w:r>
                </w:p>
              </w:tc>
              <w:tc>
                <w:tcPr>
                  <w:tcW w:w="648" w:type="pct"/>
                  <w:vAlign w:val="center"/>
                </w:tcPr>
                <w:p w14:paraId="3AE8CACF">
                  <w:pPr>
                    <w:spacing w:line="240" w:lineRule="auto"/>
                    <w:jc w:val="center"/>
                    <w:rPr>
                      <w:color w:val="auto"/>
                      <w:highlight w:val="none"/>
                    </w:rPr>
                  </w:pPr>
                  <w:r>
                    <w:rPr>
                      <w:color w:val="auto"/>
                      <w:highlight w:val="none"/>
                    </w:rPr>
                    <w:t>备注</w:t>
                  </w:r>
                </w:p>
              </w:tc>
            </w:tr>
            <w:tr w14:paraId="45BD916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438" w:type="pct"/>
                  <w:vMerge w:val="restart"/>
                  <w:vAlign w:val="center"/>
                </w:tcPr>
                <w:p w14:paraId="4404428B">
                  <w:pPr>
                    <w:spacing w:line="240" w:lineRule="auto"/>
                    <w:jc w:val="center"/>
                    <w:rPr>
                      <w:color w:val="auto"/>
                      <w:highlight w:val="none"/>
                    </w:rPr>
                  </w:pPr>
                  <w:r>
                    <w:rPr>
                      <w:color w:val="auto"/>
                      <w:highlight w:val="none"/>
                    </w:rPr>
                    <w:t>主体工程</w:t>
                  </w:r>
                </w:p>
              </w:tc>
              <w:tc>
                <w:tcPr>
                  <w:tcW w:w="822" w:type="pct"/>
                  <w:shd w:val="clear" w:color="auto" w:fill="auto"/>
                  <w:vAlign w:val="center"/>
                </w:tcPr>
                <w:p w14:paraId="27C82FC4">
                  <w:pPr>
                    <w:adjustRightInd w:val="0"/>
                    <w:spacing w:line="240" w:lineRule="auto"/>
                    <w:jc w:val="center"/>
                    <w:textAlignment w:val="baseline"/>
                    <w:rPr>
                      <w:rFonts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高压管汇车间</w:t>
                  </w:r>
                </w:p>
              </w:tc>
              <w:tc>
                <w:tcPr>
                  <w:tcW w:w="3089" w:type="pct"/>
                  <w:gridSpan w:val="2"/>
                  <w:vAlign w:val="center"/>
                </w:tcPr>
                <w:p w14:paraId="4AB02125">
                  <w:pPr>
                    <w:spacing w:line="240" w:lineRule="auto"/>
                    <w:rPr>
                      <w:color w:val="auto"/>
                      <w:highlight w:val="none"/>
                    </w:rPr>
                  </w:pPr>
                  <w:r>
                    <w:rPr>
                      <w:rFonts w:hint="eastAsia"/>
                      <w:color w:val="auto"/>
                      <w:highlight w:val="none"/>
                    </w:rPr>
                    <w:t>1层，占地面积</w:t>
                  </w:r>
                  <w:r>
                    <w:rPr>
                      <w:rFonts w:hint="eastAsia"/>
                      <w:color w:val="auto"/>
                      <w:highlight w:val="none"/>
                      <w:lang w:eastAsia="zh-CN"/>
                    </w:rPr>
                    <w:t>10961.17</w:t>
                  </w:r>
                  <w:r>
                    <w:rPr>
                      <w:rFonts w:hint="eastAsia"/>
                      <w:color w:val="auto"/>
                      <w:highlight w:val="none"/>
                    </w:rPr>
                    <w:t>m</w:t>
                  </w:r>
                  <w:r>
                    <w:rPr>
                      <w:rFonts w:hint="eastAsia"/>
                      <w:color w:val="auto"/>
                      <w:highlight w:val="none"/>
                      <w:vertAlign w:val="superscript"/>
                    </w:rPr>
                    <w:t>2</w:t>
                  </w:r>
                  <w:r>
                    <w:rPr>
                      <w:rFonts w:hint="eastAsia"/>
                      <w:color w:val="auto"/>
                      <w:highlight w:val="none"/>
                    </w:rPr>
                    <w:t>，建筑面积</w:t>
                  </w:r>
                  <w:r>
                    <w:rPr>
                      <w:rFonts w:hint="eastAsia"/>
                      <w:color w:val="auto"/>
                      <w:highlight w:val="none"/>
                      <w:lang w:eastAsia="zh-CN"/>
                    </w:rPr>
                    <w:t>10961.17</w:t>
                  </w:r>
                  <w:r>
                    <w:rPr>
                      <w:rFonts w:hint="eastAsia"/>
                      <w:color w:val="auto"/>
                      <w:highlight w:val="none"/>
                    </w:rPr>
                    <w:t>m</w:t>
                  </w:r>
                  <w:r>
                    <w:rPr>
                      <w:rFonts w:hint="eastAsia"/>
                      <w:color w:val="auto"/>
                      <w:highlight w:val="none"/>
                      <w:vertAlign w:val="superscript"/>
                    </w:rPr>
                    <w:t>2</w:t>
                  </w:r>
                </w:p>
              </w:tc>
              <w:tc>
                <w:tcPr>
                  <w:tcW w:w="648" w:type="pct"/>
                  <w:vAlign w:val="center"/>
                </w:tcPr>
                <w:p w14:paraId="10226916">
                  <w:pPr>
                    <w:spacing w:line="240" w:lineRule="auto"/>
                    <w:jc w:val="center"/>
                    <w:rPr>
                      <w:rFonts w:hint="eastAsia" w:eastAsia="宋体"/>
                      <w:color w:val="auto"/>
                      <w:highlight w:val="none"/>
                      <w:lang w:val="en-US" w:eastAsia="zh-CN"/>
                    </w:rPr>
                  </w:pPr>
                  <w:r>
                    <w:rPr>
                      <w:rFonts w:hint="eastAsia"/>
                      <w:color w:val="auto"/>
                      <w:lang w:val="en-US" w:eastAsia="zh-CN"/>
                    </w:rPr>
                    <w:t>不安装设备</w:t>
                  </w:r>
                </w:p>
              </w:tc>
            </w:tr>
            <w:tr w14:paraId="4C52B10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438" w:type="pct"/>
                  <w:vMerge w:val="continue"/>
                  <w:vAlign w:val="center"/>
                </w:tcPr>
                <w:p w14:paraId="068612F5">
                  <w:pPr>
                    <w:spacing w:line="240" w:lineRule="auto"/>
                    <w:jc w:val="center"/>
                    <w:rPr>
                      <w:color w:val="auto"/>
                      <w:highlight w:val="none"/>
                    </w:rPr>
                  </w:pPr>
                </w:p>
              </w:tc>
              <w:tc>
                <w:tcPr>
                  <w:tcW w:w="822" w:type="pct"/>
                  <w:shd w:val="clear" w:color="auto" w:fill="auto"/>
                  <w:vAlign w:val="center"/>
                </w:tcPr>
                <w:p w14:paraId="59E7D530">
                  <w:pPr>
                    <w:adjustRightInd w:val="0"/>
                    <w:snapToGrid w:val="0"/>
                    <w:spacing w:line="240" w:lineRule="auto"/>
                    <w:jc w:val="center"/>
                    <w:rPr>
                      <w:rFonts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自由锻与热处理车间</w:t>
                  </w:r>
                </w:p>
              </w:tc>
              <w:tc>
                <w:tcPr>
                  <w:tcW w:w="3089" w:type="pct"/>
                  <w:gridSpan w:val="2"/>
                  <w:vAlign w:val="center"/>
                </w:tcPr>
                <w:p w14:paraId="2B9FFB45">
                  <w:pPr>
                    <w:spacing w:line="240" w:lineRule="auto"/>
                    <w:rPr>
                      <w:rFonts w:hint="eastAsia" w:eastAsia="宋体"/>
                      <w:color w:val="auto"/>
                      <w:highlight w:val="none"/>
                      <w:lang w:val="en-US" w:eastAsia="zh-CN"/>
                    </w:rPr>
                  </w:pPr>
                  <w:r>
                    <w:rPr>
                      <w:rFonts w:hint="eastAsia"/>
                      <w:color w:val="auto"/>
                      <w:highlight w:val="none"/>
                    </w:rPr>
                    <w:t>1层，占地面积</w:t>
                  </w:r>
                  <w:r>
                    <w:rPr>
                      <w:rFonts w:hint="default"/>
                      <w:color w:val="auto"/>
                      <w:szCs w:val="21"/>
                      <w:highlight w:val="none"/>
                      <w:lang w:val="en-US" w:eastAsia="zh-CN"/>
                    </w:rPr>
                    <w:t>19946.36</w:t>
                  </w:r>
                  <w:r>
                    <w:rPr>
                      <w:rFonts w:hint="eastAsia"/>
                      <w:color w:val="auto"/>
                      <w:highlight w:val="none"/>
                    </w:rPr>
                    <w:t>m</w:t>
                  </w:r>
                  <w:r>
                    <w:rPr>
                      <w:rFonts w:hint="eastAsia"/>
                      <w:color w:val="auto"/>
                      <w:highlight w:val="none"/>
                      <w:vertAlign w:val="superscript"/>
                    </w:rPr>
                    <w:t>2</w:t>
                  </w:r>
                  <w:r>
                    <w:rPr>
                      <w:rFonts w:hint="eastAsia"/>
                      <w:color w:val="auto"/>
                      <w:highlight w:val="none"/>
                    </w:rPr>
                    <w:t>，建筑面积</w:t>
                  </w:r>
                  <w:r>
                    <w:rPr>
                      <w:rFonts w:hint="default"/>
                      <w:color w:val="auto"/>
                      <w:szCs w:val="21"/>
                      <w:highlight w:val="none"/>
                      <w:lang w:val="en-US" w:eastAsia="zh-CN"/>
                    </w:rPr>
                    <w:t>19946.36</w:t>
                  </w:r>
                  <w:r>
                    <w:rPr>
                      <w:rFonts w:hint="eastAsia"/>
                      <w:color w:val="auto"/>
                      <w:highlight w:val="none"/>
                    </w:rPr>
                    <w:t>m</w:t>
                  </w:r>
                  <w:r>
                    <w:rPr>
                      <w:rFonts w:hint="eastAsia"/>
                      <w:color w:val="auto"/>
                      <w:highlight w:val="none"/>
                      <w:vertAlign w:val="superscript"/>
                    </w:rPr>
                    <w:t>2</w:t>
                  </w:r>
                  <w:r>
                    <w:rPr>
                      <w:rFonts w:hint="eastAsia"/>
                      <w:color w:val="auto"/>
                      <w:highlight w:val="none"/>
                    </w:rPr>
                    <w:t>，</w:t>
                  </w:r>
                  <w:r>
                    <w:rPr>
                      <w:rFonts w:hint="eastAsia"/>
                      <w:color w:val="auto"/>
                      <w:highlight w:val="none"/>
                      <w:lang w:val="en-US" w:eastAsia="zh-CN"/>
                    </w:rPr>
                    <w:t>建设</w:t>
                  </w:r>
                  <w:r>
                    <w:rPr>
                      <w:rFonts w:hint="eastAsia"/>
                      <w:color w:val="auto"/>
                    </w:rPr>
                    <w:t>31.5MN自由锻液压机成套设备、φ80钢球锻轧生产线、φ100钢球锻造生产线</w:t>
                  </w:r>
                  <w:r>
                    <w:rPr>
                      <w:rFonts w:hint="eastAsia"/>
                      <w:color w:val="auto"/>
                      <w:lang w:val="en-US" w:eastAsia="zh-CN"/>
                    </w:rPr>
                    <w:t>等</w:t>
                  </w:r>
                </w:p>
              </w:tc>
              <w:tc>
                <w:tcPr>
                  <w:tcW w:w="648" w:type="pct"/>
                  <w:vAlign w:val="center"/>
                </w:tcPr>
                <w:p w14:paraId="4A8F0DED">
                  <w:pPr>
                    <w:spacing w:line="240" w:lineRule="auto"/>
                    <w:jc w:val="center"/>
                    <w:rPr>
                      <w:rFonts w:hint="eastAsia" w:eastAsia="宋体"/>
                      <w:color w:val="auto"/>
                      <w:highlight w:val="none"/>
                      <w:lang w:val="en-US" w:eastAsia="zh-CN"/>
                    </w:rPr>
                  </w:pPr>
                  <w:r>
                    <w:rPr>
                      <w:rFonts w:hint="eastAsia"/>
                      <w:color w:val="auto"/>
                      <w:highlight w:val="none"/>
                      <w:lang w:val="en-US" w:eastAsia="zh-CN"/>
                    </w:rPr>
                    <w:t>新建</w:t>
                  </w:r>
                </w:p>
              </w:tc>
            </w:tr>
            <w:tr w14:paraId="77589ED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38" w:type="pct"/>
                  <w:vMerge w:val="restart"/>
                  <w:vAlign w:val="center"/>
                </w:tcPr>
                <w:p w14:paraId="0624D3CB">
                  <w:pPr>
                    <w:spacing w:line="240" w:lineRule="auto"/>
                    <w:jc w:val="center"/>
                    <w:rPr>
                      <w:rFonts w:hint="default" w:eastAsia="宋体"/>
                      <w:color w:val="auto"/>
                      <w:highlight w:val="none"/>
                      <w:lang w:val="en-US" w:eastAsia="zh-CN"/>
                    </w:rPr>
                  </w:pPr>
                  <w:r>
                    <w:rPr>
                      <w:rFonts w:hint="eastAsia"/>
                      <w:color w:val="auto"/>
                      <w:highlight w:val="none"/>
                      <w:lang w:val="en-US" w:eastAsia="zh-CN"/>
                    </w:rPr>
                    <w:t>储运工程</w:t>
                  </w:r>
                </w:p>
              </w:tc>
              <w:tc>
                <w:tcPr>
                  <w:tcW w:w="822" w:type="pct"/>
                  <w:vAlign w:val="center"/>
                </w:tcPr>
                <w:p w14:paraId="682098AD">
                  <w:pPr>
                    <w:spacing w:line="240" w:lineRule="auto"/>
                    <w:jc w:val="center"/>
                    <w:rPr>
                      <w:rFonts w:hint="eastAsia" w:eastAsia="宋体"/>
                      <w:color w:val="auto"/>
                      <w:highlight w:val="yellow"/>
                      <w:lang w:val="en-US" w:eastAsia="zh-CN"/>
                    </w:rPr>
                  </w:pPr>
                  <w:r>
                    <w:rPr>
                      <w:rFonts w:hint="eastAsia"/>
                      <w:color w:val="auto"/>
                      <w:highlight w:val="none"/>
                      <w:lang w:val="en-US" w:eastAsia="zh-CN"/>
                    </w:rPr>
                    <w:t>成品库</w:t>
                  </w:r>
                </w:p>
              </w:tc>
              <w:tc>
                <w:tcPr>
                  <w:tcW w:w="3089" w:type="pct"/>
                  <w:gridSpan w:val="2"/>
                  <w:vAlign w:val="center"/>
                </w:tcPr>
                <w:p w14:paraId="2726E7E9">
                  <w:pPr>
                    <w:spacing w:line="240" w:lineRule="auto"/>
                    <w:rPr>
                      <w:rFonts w:hint="eastAsia"/>
                      <w:color w:val="auto"/>
                      <w:highlight w:val="yellow"/>
                    </w:rPr>
                  </w:pPr>
                  <w:r>
                    <w:rPr>
                      <w:rFonts w:hint="eastAsia"/>
                      <w:color w:val="auto"/>
                      <w:highlight w:val="none"/>
                    </w:rPr>
                    <w:t>1层，占地面积</w:t>
                  </w:r>
                  <w:r>
                    <w:rPr>
                      <w:rFonts w:hint="default"/>
                      <w:color w:val="auto"/>
                      <w:szCs w:val="21"/>
                      <w:highlight w:val="none"/>
                      <w:lang w:val="en-US" w:eastAsia="zh-CN"/>
                    </w:rPr>
                    <w:t>1971.83</w:t>
                  </w:r>
                  <w:r>
                    <w:rPr>
                      <w:rFonts w:hint="eastAsia"/>
                      <w:color w:val="auto"/>
                      <w:highlight w:val="none"/>
                    </w:rPr>
                    <w:t>m</w:t>
                  </w:r>
                  <w:r>
                    <w:rPr>
                      <w:rFonts w:hint="eastAsia"/>
                      <w:color w:val="auto"/>
                      <w:highlight w:val="none"/>
                      <w:vertAlign w:val="superscript"/>
                    </w:rPr>
                    <w:t>2</w:t>
                  </w:r>
                  <w:r>
                    <w:rPr>
                      <w:rFonts w:hint="eastAsia"/>
                      <w:color w:val="auto"/>
                      <w:highlight w:val="none"/>
                    </w:rPr>
                    <w:t>，建筑面积</w:t>
                  </w:r>
                  <w:r>
                    <w:rPr>
                      <w:rFonts w:hint="default"/>
                      <w:color w:val="auto"/>
                      <w:szCs w:val="21"/>
                      <w:highlight w:val="none"/>
                      <w:lang w:val="en-US" w:eastAsia="zh-CN"/>
                    </w:rPr>
                    <w:t>1971.83</w:t>
                  </w:r>
                  <w:r>
                    <w:rPr>
                      <w:rFonts w:hint="eastAsia"/>
                      <w:color w:val="auto"/>
                      <w:highlight w:val="none"/>
                    </w:rPr>
                    <w:t>m</w:t>
                  </w:r>
                  <w:r>
                    <w:rPr>
                      <w:rFonts w:hint="eastAsia"/>
                      <w:color w:val="auto"/>
                      <w:highlight w:val="none"/>
                      <w:vertAlign w:val="superscript"/>
                    </w:rPr>
                    <w:t>2</w:t>
                  </w:r>
                </w:p>
              </w:tc>
              <w:tc>
                <w:tcPr>
                  <w:tcW w:w="648" w:type="pct"/>
                  <w:vAlign w:val="center"/>
                </w:tcPr>
                <w:p w14:paraId="316743DB">
                  <w:pPr>
                    <w:spacing w:line="240" w:lineRule="auto"/>
                    <w:jc w:val="center"/>
                    <w:rPr>
                      <w:color w:val="auto"/>
                      <w:highlight w:val="yellow"/>
                    </w:rPr>
                  </w:pPr>
                  <w:r>
                    <w:rPr>
                      <w:rFonts w:hint="eastAsia"/>
                      <w:color w:val="auto"/>
                      <w:highlight w:val="none"/>
                      <w:lang w:val="en-US" w:eastAsia="zh-CN"/>
                    </w:rPr>
                    <w:t>新建</w:t>
                  </w:r>
                </w:p>
              </w:tc>
            </w:tr>
            <w:tr w14:paraId="70649BE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38" w:type="pct"/>
                  <w:vMerge w:val="continue"/>
                  <w:vAlign w:val="center"/>
                </w:tcPr>
                <w:p w14:paraId="652C8A20">
                  <w:pPr>
                    <w:spacing w:line="240" w:lineRule="auto"/>
                    <w:jc w:val="center"/>
                    <w:rPr>
                      <w:color w:val="auto"/>
                      <w:highlight w:val="none"/>
                    </w:rPr>
                  </w:pPr>
                </w:p>
              </w:tc>
              <w:tc>
                <w:tcPr>
                  <w:tcW w:w="822" w:type="pct"/>
                  <w:vAlign w:val="center"/>
                </w:tcPr>
                <w:p w14:paraId="0207976A">
                  <w:pPr>
                    <w:spacing w:line="240" w:lineRule="auto"/>
                    <w:jc w:val="center"/>
                    <w:rPr>
                      <w:rFonts w:hint="default"/>
                      <w:color w:val="auto"/>
                      <w:highlight w:val="none"/>
                      <w:lang w:val="en-US" w:eastAsia="zh-CN"/>
                    </w:rPr>
                  </w:pPr>
                  <w:r>
                    <w:rPr>
                      <w:rFonts w:hint="eastAsia"/>
                      <w:color w:val="auto"/>
                      <w:highlight w:val="none"/>
                      <w:lang w:val="en-US" w:eastAsia="zh-CN"/>
                    </w:rPr>
                    <w:t>车间内转运</w:t>
                  </w:r>
                </w:p>
              </w:tc>
              <w:tc>
                <w:tcPr>
                  <w:tcW w:w="3089" w:type="pct"/>
                  <w:gridSpan w:val="2"/>
                  <w:vAlign w:val="center"/>
                </w:tcPr>
                <w:p w14:paraId="47ACBECD">
                  <w:pPr>
                    <w:spacing w:line="240" w:lineRule="auto"/>
                    <w:rPr>
                      <w:rFonts w:hint="eastAsia" w:cs="宋体"/>
                      <w:color w:val="auto"/>
                      <w:kern w:val="0"/>
                      <w:highlight w:val="none"/>
                    </w:rPr>
                  </w:pPr>
                  <w:r>
                    <w:rPr>
                      <w:rFonts w:hint="eastAsia" w:ascii="Times New Roman" w:hAnsi="Times New Roman" w:cs="Times New Roman"/>
                      <w:color w:val="auto"/>
                      <w:sz w:val="21"/>
                      <w:szCs w:val="21"/>
                    </w:rPr>
                    <w:t>由天车吊运</w:t>
                  </w:r>
                </w:p>
              </w:tc>
              <w:tc>
                <w:tcPr>
                  <w:tcW w:w="648" w:type="pct"/>
                  <w:vAlign w:val="center"/>
                </w:tcPr>
                <w:p w14:paraId="5B5F1FE7">
                  <w:pPr>
                    <w:spacing w:line="240" w:lineRule="auto"/>
                    <w:jc w:val="center"/>
                    <w:rPr>
                      <w:rFonts w:hint="eastAsia"/>
                      <w:color w:val="auto"/>
                      <w:highlight w:val="none"/>
                      <w:lang w:val="en-US" w:eastAsia="zh-CN"/>
                    </w:rPr>
                  </w:pPr>
                  <w:r>
                    <w:rPr>
                      <w:rFonts w:hint="eastAsia"/>
                      <w:color w:val="auto"/>
                      <w:highlight w:val="none"/>
                      <w:lang w:val="en-US" w:eastAsia="zh-CN"/>
                    </w:rPr>
                    <w:t>新建</w:t>
                  </w:r>
                </w:p>
              </w:tc>
            </w:tr>
            <w:tr w14:paraId="72D6D4D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38" w:type="pct"/>
                  <w:vMerge w:val="continue"/>
                  <w:vAlign w:val="center"/>
                </w:tcPr>
                <w:p w14:paraId="6531284A">
                  <w:pPr>
                    <w:spacing w:line="240" w:lineRule="auto"/>
                    <w:jc w:val="center"/>
                    <w:rPr>
                      <w:color w:val="auto"/>
                      <w:highlight w:val="none"/>
                    </w:rPr>
                  </w:pPr>
                </w:p>
              </w:tc>
              <w:tc>
                <w:tcPr>
                  <w:tcW w:w="822" w:type="pct"/>
                  <w:vAlign w:val="center"/>
                </w:tcPr>
                <w:p w14:paraId="73E8F12E">
                  <w:pPr>
                    <w:spacing w:line="240" w:lineRule="auto"/>
                    <w:jc w:val="center"/>
                    <w:rPr>
                      <w:rFonts w:hint="eastAsia" w:eastAsia="宋体"/>
                      <w:color w:val="auto"/>
                      <w:highlight w:val="none"/>
                      <w:lang w:val="en-US" w:eastAsia="zh-CN"/>
                    </w:rPr>
                  </w:pPr>
                  <w:r>
                    <w:rPr>
                      <w:rFonts w:hint="eastAsia"/>
                      <w:color w:val="auto"/>
                      <w:highlight w:val="none"/>
                      <w:lang w:val="en-US" w:eastAsia="zh-CN"/>
                    </w:rPr>
                    <w:t>厂外运输</w:t>
                  </w:r>
                </w:p>
              </w:tc>
              <w:tc>
                <w:tcPr>
                  <w:tcW w:w="3089" w:type="pct"/>
                  <w:gridSpan w:val="2"/>
                  <w:vAlign w:val="center"/>
                </w:tcPr>
                <w:p w14:paraId="78A18A61">
                  <w:pPr>
                    <w:spacing w:line="240" w:lineRule="auto"/>
                    <w:rPr>
                      <w:rFonts w:hint="eastAsia"/>
                      <w:color w:val="auto"/>
                      <w:highlight w:val="none"/>
                    </w:rPr>
                  </w:pPr>
                  <w:r>
                    <w:rPr>
                      <w:rFonts w:hint="eastAsia" w:cs="宋体"/>
                      <w:color w:val="auto"/>
                      <w:kern w:val="0"/>
                      <w:highlight w:val="none"/>
                    </w:rPr>
                    <w:t>使用国Ⅴ及以上排放标准的运输车辆</w:t>
                  </w:r>
                </w:p>
              </w:tc>
              <w:tc>
                <w:tcPr>
                  <w:tcW w:w="648" w:type="pct"/>
                  <w:vAlign w:val="center"/>
                </w:tcPr>
                <w:p w14:paraId="0B0E1543">
                  <w:pPr>
                    <w:spacing w:line="240" w:lineRule="auto"/>
                    <w:jc w:val="center"/>
                    <w:rPr>
                      <w:rFonts w:hint="eastAsia" w:eastAsia="宋体"/>
                      <w:color w:val="auto"/>
                      <w:highlight w:val="none"/>
                      <w:lang w:val="en-US" w:eastAsia="zh-CN"/>
                    </w:rPr>
                  </w:pPr>
                  <w:r>
                    <w:rPr>
                      <w:rFonts w:hint="eastAsia"/>
                      <w:color w:val="auto"/>
                      <w:highlight w:val="none"/>
                      <w:lang w:val="en-US" w:eastAsia="zh-CN"/>
                    </w:rPr>
                    <w:t>/</w:t>
                  </w:r>
                </w:p>
              </w:tc>
            </w:tr>
            <w:tr w14:paraId="2CB8D37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38" w:type="pct"/>
                  <w:vAlign w:val="center"/>
                </w:tcPr>
                <w:p w14:paraId="4AEC737F">
                  <w:pPr>
                    <w:spacing w:line="240" w:lineRule="auto"/>
                    <w:jc w:val="center"/>
                    <w:rPr>
                      <w:rFonts w:hint="default" w:eastAsia="宋体"/>
                      <w:color w:val="auto"/>
                      <w:highlight w:val="none"/>
                      <w:lang w:val="en-US" w:eastAsia="zh-CN"/>
                    </w:rPr>
                  </w:pPr>
                  <w:r>
                    <w:rPr>
                      <w:rFonts w:hint="eastAsia"/>
                      <w:color w:val="auto"/>
                      <w:highlight w:val="none"/>
                      <w:lang w:val="en-US" w:eastAsia="zh-CN"/>
                    </w:rPr>
                    <w:t>依托工程</w:t>
                  </w:r>
                </w:p>
              </w:tc>
              <w:tc>
                <w:tcPr>
                  <w:tcW w:w="822" w:type="pct"/>
                  <w:vAlign w:val="center"/>
                </w:tcPr>
                <w:p w14:paraId="6FBC9CF2">
                  <w:pPr>
                    <w:spacing w:line="240" w:lineRule="auto"/>
                    <w:jc w:val="center"/>
                    <w:rPr>
                      <w:rFonts w:hint="default" w:eastAsia="宋体"/>
                      <w:color w:val="auto"/>
                      <w:highlight w:val="none"/>
                      <w:lang w:val="en-US" w:eastAsia="zh-CN"/>
                    </w:rPr>
                  </w:pPr>
                  <w:r>
                    <w:rPr>
                      <w:rFonts w:hint="eastAsia"/>
                      <w:color w:val="auto"/>
                      <w:highlight w:val="none"/>
                      <w:lang w:val="en-US" w:eastAsia="zh-CN"/>
                    </w:rPr>
                    <w:t>抛丸、打磨等工序</w:t>
                  </w:r>
                </w:p>
              </w:tc>
              <w:tc>
                <w:tcPr>
                  <w:tcW w:w="3089" w:type="pct"/>
                  <w:gridSpan w:val="2"/>
                  <w:vAlign w:val="center"/>
                </w:tcPr>
                <w:p w14:paraId="38A999D0">
                  <w:pPr>
                    <w:spacing w:line="240" w:lineRule="auto"/>
                    <w:rPr>
                      <w:rFonts w:hint="default" w:eastAsia="宋体"/>
                      <w:color w:val="auto"/>
                      <w:highlight w:val="none"/>
                      <w:lang w:val="en-US" w:eastAsia="zh-CN"/>
                    </w:rPr>
                  </w:pPr>
                  <w:r>
                    <w:rPr>
                      <w:rFonts w:hint="eastAsia"/>
                      <w:color w:val="auto"/>
                      <w:highlight w:val="none"/>
                      <w:lang w:val="en-US" w:eastAsia="zh-CN"/>
                    </w:rPr>
                    <w:t>自由锻生产线生产衬板抛丸、打磨等工序依托现有工程</w:t>
                  </w:r>
                </w:p>
              </w:tc>
              <w:tc>
                <w:tcPr>
                  <w:tcW w:w="648" w:type="pct"/>
                  <w:vAlign w:val="center"/>
                </w:tcPr>
                <w:p w14:paraId="5770EC00">
                  <w:pPr>
                    <w:spacing w:line="240" w:lineRule="auto"/>
                    <w:jc w:val="center"/>
                    <w:rPr>
                      <w:color w:val="auto"/>
                      <w:highlight w:val="none"/>
                    </w:rPr>
                  </w:pPr>
                  <w:r>
                    <w:rPr>
                      <w:color w:val="auto"/>
                      <w:highlight w:val="none"/>
                    </w:rPr>
                    <w:t>依托现有</w:t>
                  </w:r>
                </w:p>
              </w:tc>
            </w:tr>
            <w:tr w14:paraId="3B76978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38" w:type="pct"/>
                  <w:vMerge w:val="restart"/>
                  <w:vAlign w:val="center"/>
                </w:tcPr>
                <w:p w14:paraId="70C954F8">
                  <w:pPr>
                    <w:spacing w:line="240" w:lineRule="auto"/>
                    <w:jc w:val="center"/>
                    <w:rPr>
                      <w:color w:val="auto"/>
                      <w:highlight w:val="none"/>
                    </w:rPr>
                  </w:pPr>
                  <w:r>
                    <w:rPr>
                      <w:color w:val="auto"/>
                      <w:highlight w:val="none"/>
                    </w:rPr>
                    <w:t>辅助工程</w:t>
                  </w:r>
                </w:p>
              </w:tc>
              <w:tc>
                <w:tcPr>
                  <w:tcW w:w="822" w:type="pct"/>
                  <w:vAlign w:val="center"/>
                </w:tcPr>
                <w:p w14:paraId="31550C5F">
                  <w:pPr>
                    <w:spacing w:line="240" w:lineRule="auto"/>
                    <w:jc w:val="center"/>
                    <w:rPr>
                      <w:color w:val="auto"/>
                      <w:highlight w:val="none"/>
                    </w:rPr>
                  </w:pPr>
                  <w:r>
                    <w:rPr>
                      <w:rFonts w:hint="eastAsia"/>
                      <w:color w:val="auto"/>
                      <w:highlight w:val="none"/>
                    </w:rPr>
                    <w:t>综合楼</w:t>
                  </w:r>
                </w:p>
              </w:tc>
              <w:tc>
                <w:tcPr>
                  <w:tcW w:w="3089" w:type="pct"/>
                  <w:gridSpan w:val="2"/>
                  <w:vAlign w:val="center"/>
                </w:tcPr>
                <w:p w14:paraId="454D4D13">
                  <w:pPr>
                    <w:spacing w:line="240" w:lineRule="auto"/>
                    <w:rPr>
                      <w:color w:val="auto"/>
                      <w:highlight w:val="none"/>
                    </w:rPr>
                  </w:pPr>
                  <w:r>
                    <w:rPr>
                      <w:rFonts w:hint="eastAsia"/>
                      <w:color w:val="auto"/>
                      <w:highlight w:val="none"/>
                    </w:rPr>
                    <w:t>5层，</w:t>
                  </w:r>
                  <w:r>
                    <w:rPr>
                      <w:rFonts w:hint="eastAsia"/>
                      <w:color w:val="auto"/>
                      <w:szCs w:val="21"/>
                      <w:highlight w:val="none"/>
                    </w:rPr>
                    <w:t>高27.3m，</w:t>
                  </w:r>
                  <w:r>
                    <w:rPr>
                      <w:rFonts w:hint="eastAsia"/>
                      <w:color w:val="auto"/>
                      <w:highlight w:val="none"/>
                    </w:rPr>
                    <w:t>占地面积2225m</w:t>
                  </w:r>
                  <w:r>
                    <w:rPr>
                      <w:rFonts w:hint="eastAsia"/>
                      <w:color w:val="auto"/>
                      <w:highlight w:val="none"/>
                      <w:vertAlign w:val="superscript"/>
                    </w:rPr>
                    <w:t>2</w:t>
                  </w:r>
                  <w:r>
                    <w:rPr>
                      <w:rFonts w:hint="eastAsia"/>
                      <w:color w:val="auto"/>
                      <w:highlight w:val="none"/>
                    </w:rPr>
                    <w:t>，建筑面积11124m</w:t>
                  </w:r>
                  <w:r>
                    <w:rPr>
                      <w:rFonts w:hint="eastAsia"/>
                      <w:color w:val="auto"/>
                      <w:highlight w:val="none"/>
                      <w:vertAlign w:val="superscript"/>
                    </w:rPr>
                    <w:t>2</w:t>
                  </w:r>
                </w:p>
              </w:tc>
              <w:tc>
                <w:tcPr>
                  <w:tcW w:w="648" w:type="pct"/>
                  <w:vAlign w:val="center"/>
                </w:tcPr>
                <w:p w14:paraId="66654603">
                  <w:pPr>
                    <w:spacing w:line="240" w:lineRule="auto"/>
                    <w:jc w:val="center"/>
                    <w:rPr>
                      <w:color w:val="auto"/>
                      <w:highlight w:val="none"/>
                    </w:rPr>
                  </w:pPr>
                  <w:r>
                    <w:rPr>
                      <w:color w:val="auto"/>
                      <w:highlight w:val="none"/>
                    </w:rPr>
                    <w:t>依托现有</w:t>
                  </w:r>
                </w:p>
              </w:tc>
            </w:tr>
            <w:tr w14:paraId="4DE565E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38" w:type="pct"/>
                  <w:vMerge w:val="continue"/>
                  <w:vAlign w:val="center"/>
                </w:tcPr>
                <w:p w14:paraId="14435CCB">
                  <w:pPr>
                    <w:spacing w:line="240" w:lineRule="auto"/>
                    <w:jc w:val="center"/>
                    <w:rPr>
                      <w:color w:val="auto"/>
                      <w:highlight w:val="none"/>
                    </w:rPr>
                  </w:pPr>
                </w:p>
              </w:tc>
              <w:tc>
                <w:tcPr>
                  <w:tcW w:w="822" w:type="pct"/>
                  <w:vAlign w:val="center"/>
                </w:tcPr>
                <w:p w14:paraId="1BFDEEEA">
                  <w:pPr>
                    <w:spacing w:line="240" w:lineRule="auto"/>
                    <w:jc w:val="center"/>
                    <w:rPr>
                      <w:rFonts w:hint="eastAsia"/>
                      <w:color w:val="auto"/>
                      <w:highlight w:val="none"/>
                    </w:rPr>
                  </w:pPr>
                  <w:r>
                    <w:rPr>
                      <w:rFonts w:hint="eastAsia"/>
                      <w:color w:val="auto"/>
                      <w:highlight w:val="none"/>
                    </w:rPr>
                    <w:t>锅炉房</w:t>
                  </w:r>
                </w:p>
              </w:tc>
              <w:tc>
                <w:tcPr>
                  <w:tcW w:w="3089" w:type="pct"/>
                  <w:gridSpan w:val="2"/>
                  <w:shd w:val="clear" w:color="auto" w:fill="auto"/>
                  <w:vAlign w:val="center"/>
                </w:tcPr>
                <w:p w14:paraId="59EAE89E">
                  <w:pPr>
                    <w:spacing w:line="240" w:lineRule="auto"/>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1层，占地面积</w:t>
                  </w:r>
                  <w:r>
                    <w:rPr>
                      <w:rFonts w:hint="default"/>
                      <w:color w:val="auto"/>
                      <w:szCs w:val="21"/>
                      <w:highlight w:val="none"/>
                      <w:lang w:val="en-US" w:eastAsia="zh-CN"/>
                    </w:rPr>
                    <w:t>218.98</w:t>
                  </w:r>
                  <w:r>
                    <w:rPr>
                      <w:rFonts w:hint="eastAsia"/>
                      <w:color w:val="auto"/>
                      <w:highlight w:val="none"/>
                    </w:rPr>
                    <w:t>m</w:t>
                  </w:r>
                  <w:r>
                    <w:rPr>
                      <w:rFonts w:hint="eastAsia"/>
                      <w:color w:val="auto"/>
                      <w:highlight w:val="none"/>
                      <w:vertAlign w:val="superscript"/>
                    </w:rPr>
                    <w:t>2</w:t>
                  </w:r>
                  <w:r>
                    <w:rPr>
                      <w:rFonts w:hint="eastAsia"/>
                      <w:color w:val="auto"/>
                      <w:highlight w:val="none"/>
                    </w:rPr>
                    <w:t>，建筑面积</w:t>
                  </w:r>
                  <w:r>
                    <w:rPr>
                      <w:rFonts w:hint="default"/>
                      <w:color w:val="auto"/>
                      <w:szCs w:val="21"/>
                      <w:highlight w:val="none"/>
                      <w:lang w:val="en-US" w:eastAsia="zh-CN"/>
                    </w:rPr>
                    <w:t>218.98</w:t>
                  </w:r>
                  <w:r>
                    <w:rPr>
                      <w:rFonts w:hint="eastAsia"/>
                      <w:color w:val="auto"/>
                      <w:highlight w:val="none"/>
                    </w:rPr>
                    <w:t>m</w:t>
                  </w:r>
                  <w:r>
                    <w:rPr>
                      <w:rFonts w:hint="eastAsia"/>
                      <w:color w:val="auto"/>
                      <w:highlight w:val="none"/>
                      <w:vertAlign w:val="superscript"/>
                    </w:rPr>
                    <w:t>2</w:t>
                  </w:r>
                </w:p>
              </w:tc>
              <w:tc>
                <w:tcPr>
                  <w:tcW w:w="648" w:type="pct"/>
                  <w:shd w:val="clear" w:color="auto" w:fill="auto"/>
                  <w:vAlign w:val="center"/>
                </w:tcPr>
                <w:p w14:paraId="7A5BD357">
                  <w:pPr>
                    <w:spacing w:line="240" w:lineRule="auto"/>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新建，</w:t>
                  </w:r>
                  <w:r>
                    <w:rPr>
                      <w:rFonts w:hint="eastAsia"/>
                      <w:color w:val="auto"/>
                      <w:lang w:val="en-US" w:eastAsia="zh-CN"/>
                    </w:rPr>
                    <w:t>不安装设备</w:t>
                  </w:r>
                </w:p>
              </w:tc>
            </w:tr>
            <w:tr w14:paraId="0299FDF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38" w:type="pct"/>
                  <w:vMerge w:val="continue"/>
                  <w:vAlign w:val="center"/>
                </w:tcPr>
                <w:p w14:paraId="6CC52AA1">
                  <w:pPr>
                    <w:spacing w:line="240" w:lineRule="auto"/>
                    <w:jc w:val="center"/>
                    <w:rPr>
                      <w:color w:val="auto"/>
                      <w:highlight w:val="none"/>
                    </w:rPr>
                  </w:pPr>
                </w:p>
              </w:tc>
              <w:tc>
                <w:tcPr>
                  <w:tcW w:w="822" w:type="pct"/>
                  <w:shd w:val="clear" w:color="auto" w:fill="auto"/>
                  <w:vAlign w:val="center"/>
                </w:tcPr>
                <w:p w14:paraId="3C351339">
                  <w:pPr>
                    <w:spacing w:line="240" w:lineRule="auto"/>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szCs w:val="21"/>
                      <w:highlight w:val="none"/>
                    </w:rPr>
                    <w:t>门卫及泵房</w:t>
                  </w:r>
                </w:p>
              </w:tc>
              <w:tc>
                <w:tcPr>
                  <w:tcW w:w="3089" w:type="pct"/>
                  <w:gridSpan w:val="2"/>
                  <w:shd w:val="clear" w:color="auto" w:fill="auto"/>
                  <w:vAlign w:val="center"/>
                </w:tcPr>
                <w:p w14:paraId="0318A74F">
                  <w:pPr>
                    <w:spacing w:line="240" w:lineRule="auto"/>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1层，占地面积</w:t>
                  </w:r>
                  <w:r>
                    <w:rPr>
                      <w:rFonts w:hint="default"/>
                      <w:color w:val="auto"/>
                      <w:szCs w:val="21"/>
                      <w:highlight w:val="none"/>
                      <w:lang w:val="en-US" w:eastAsia="zh-CN"/>
                    </w:rPr>
                    <w:t>112.92</w:t>
                  </w:r>
                  <w:r>
                    <w:rPr>
                      <w:rFonts w:hint="eastAsia"/>
                      <w:color w:val="auto"/>
                      <w:highlight w:val="none"/>
                    </w:rPr>
                    <w:t>m</w:t>
                  </w:r>
                  <w:r>
                    <w:rPr>
                      <w:rFonts w:hint="eastAsia"/>
                      <w:color w:val="auto"/>
                      <w:highlight w:val="none"/>
                      <w:vertAlign w:val="superscript"/>
                    </w:rPr>
                    <w:t>2</w:t>
                  </w:r>
                  <w:r>
                    <w:rPr>
                      <w:rFonts w:hint="eastAsia"/>
                      <w:color w:val="auto"/>
                      <w:highlight w:val="none"/>
                    </w:rPr>
                    <w:t>，建筑面积</w:t>
                  </w:r>
                  <w:r>
                    <w:rPr>
                      <w:rFonts w:hint="default"/>
                      <w:color w:val="auto"/>
                      <w:szCs w:val="21"/>
                      <w:highlight w:val="none"/>
                      <w:lang w:val="en-US" w:eastAsia="zh-CN"/>
                    </w:rPr>
                    <w:t>112.92</w:t>
                  </w:r>
                  <w:r>
                    <w:rPr>
                      <w:rFonts w:hint="eastAsia"/>
                      <w:color w:val="auto"/>
                      <w:highlight w:val="none"/>
                    </w:rPr>
                    <w:t>m</w:t>
                  </w:r>
                  <w:r>
                    <w:rPr>
                      <w:rFonts w:hint="eastAsia"/>
                      <w:color w:val="auto"/>
                      <w:highlight w:val="none"/>
                      <w:vertAlign w:val="superscript"/>
                    </w:rPr>
                    <w:t>2</w:t>
                  </w:r>
                </w:p>
              </w:tc>
              <w:tc>
                <w:tcPr>
                  <w:tcW w:w="648" w:type="pct"/>
                  <w:shd w:val="clear" w:color="auto" w:fill="auto"/>
                  <w:vAlign w:val="center"/>
                </w:tcPr>
                <w:p w14:paraId="194904E7">
                  <w:pPr>
                    <w:spacing w:line="240" w:lineRule="auto"/>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新建</w:t>
                  </w:r>
                </w:p>
              </w:tc>
            </w:tr>
            <w:tr w14:paraId="30ADEFF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38" w:type="pct"/>
                  <w:vMerge w:val="continue"/>
                  <w:vAlign w:val="center"/>
                </w:tcPr>
                <w:p w14:paraId="6972E14D">
                  <w:pPr>
                    <w:spacing w:line="240" w:lineRule="auto"/>
                    <w:jc w:val="center"/>
                    <w:rPr>
                      <w:color w:val="auto"/>
                      <w:highlight w:val="none"/>
                    </w:rPr>
                  </w:pPr>
                </w:p>
              </w:tc>
              <w:tc>
                <w:tcPr>
                  <w:tcW w:w="822" w:type="pct"/>
                  <w:shd w:val="clear" w:color="auto" w:fill="auto"/>
                  <w:vAlign w:val="center"/>
                </w:tcPr>
                <w:p w14:paraId="75B687FF">
                  <w:pPr>
                    <w:spacing w:line="240" w:lineRule="auto"/>
                    <w:jc w:val="center"/>
                    <w:rPr>
                      <w:rFonts w:ascii="Times New Roman" w:hAnsi="Times New Roman" w:eastAsia="宋体" w:cs="Times New Roman"/>
                      <w:color w:val="auto"/>
                      <w:kern w:val="2"/>
                      <w:sz w:val="21"/>
                      <w:szCs w:val="24"/>
                      <w:highlight w:val="none"/>
                      <w:lang w:val="en-US" w:eastAsia="zh-CN" w:bidi="ar-SA"/>
                    </w:rPr>
                  </w:pPr>
                  <w:r>
                    <w:rPr>
                      <w:rFonts w:hint="eastAsia"/>
                      <w:color w:val="auto"/>
                      <w:highlight w:val="none"/>
                    </w:rPr>
                    <w:t>危废间</w:t>
                  </w:r>
                </w:p>
              </w:tc>
              <w:tc>
                <w:tcPr>
                  <w:tcW w:w="3089" w:type="pct"/>
                  <w:gridSpan w:val="2"/>
                  <w:shd w:val="clear" w:color="auto" w:fill="auto"/>
                  <w:vAlign w:val="center"/>
                </w:tcPr>
                <w:p w14:paraId="76642B4F">
                  <w:pPr>
                    <w:spacing w:line="240" w:lineRule="auto"/>
                    <w:rPr>
                      <w:rFonts w:ascii="Times New Roman" w:hAnsi="Times New Roman" w:eastAsia="宋体" w:cs="Times New Roman"/>
                      <w:color w:val="auto"/>
                      <w:kern w:val="2"/>
                      <w:sz w:val="21"/>
                      <w:szCs w:val="24"/>
                      <w:highlight w:val="none"/>
                      <w:lang w:val="en-US" w:eastAsia="zh-CN" w:bidi="ar-SA"/>
                    </w:rPr>
                  </w:pPr>
                  <w:r>
                    <w:rPr>
                      <w:rFonts w:hint="eastAsia"/>
                      <w:color w:val="auto"/>
                      <w:highlight w:val="none"/>
                    </w:rPr>
                    <w:t>1层，占地面积25m</w:t>
                  </w:r>
                  <w:r>
                    <w:rPr>
                      <w:rFonts w:hint="eastAsia"/>
                      <w:color w:val="auto"/>
                      <w:highlight w:val="none"/>
                      <w:vertAlign w:val="superscript"/>
                    </w:rPr>
                    <w:t>2</w:t>
                  </w:r>
                  <w:r>
                    <w:rPr>
                      <w:rFonts w:hint="eastAsia"/>
                      <w:color w:val="auto"/>
                      <w:highlight w:val="none"/>
                    </w:rPr>
                    <w:t>，建筑面积25m</w:t>
                  </w:r>
                  <w:r>
                    <w:rPr>
                      <w:rFonts w:hint="eastAsia"/>
                      <w:color w:val="auto"/>
                      <w:highlight w:val="none"/>
                      <w:vertAlign w:val="superscript"/>
                    </w:rPr>
                    <w:t>2</w:t>
                  </w:r>
                  <w:r>
                    <w:rPr>
                      <w:rFonts w:hint="eastAsia"/>
                      <w:color w:val="auto"/>
                      <w:highlight w:val="none"/>
                    </w:rPr>
                    <w:t>，位于重型车间西南角</w:t>
                  </w:r>
                </w:p>
              </w:tc>
              <w:tc>
                <w:tcPr>
                  <w:tcW w:w="648" w:type="pct"/>
                  <w:shd w:val="clear" w:color="auto" w:fill="auto"/>
                  <w:vAlign w:val="center"/>
                </w:tcPr>
                <w:p w14:paraId="0DE4D52D">
                  <w:pPr>
                    <w:spacing w:line="240" w:lineRule="auto"/>
                    <w:jc w:val="center"/>
                    <w:rPr>
                      <w:rFonts w:ascii="Times New Roman" w:hAnsi="Times New Roman" w:eastAsia="宋体" w:cs="Times New Roman"/>
                      <w:color w:val="auto"/>
                      <w:kern w:val="2"/>
                      <w:sz w:val="21"/>
                      <w:szCs w:val="24"/>
                      <w:highlight w:val="none"/>
                      <w:lang w:val="en-US" w:eastAsia="zh-CN" w:bidi="ar-SA"/>
                    </w:rPr>
                  </w:pPr>
                  <w:r>
                    <w:rPr>
                      <w:color w:val="auto"/>
                      <w:highlight w:val="none"/>
                    </w:rPr>
                    <w:t>依托现有</w:t>
                  </w:r>
                </w:p>
              </w:tc>
            </w:tr>
            <w:tr w14:paraId="7520A05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38" w:type="pct"/>
                  <w:vMerge w:val="restart"/>
                  <w:vAlign w:val="center"/>
                </w:tcPr>
                <w:p w14:paraId="7F712313">
                  <w:pPr>
                    <w:spacing w:line="240" w:lineRule="auto"/>
                    <w:jc w:val="center"/>
                    <w:rPr>
                      <w:color w:val="auto"/>
                      <w:highlight w:val="none"/>
                    </w:rPr>
                  </w:pPr>
                  <w:r>
                    <w:rPr>
                      <w:color w:val="auto"/>
                      <w:highlight w:val="none"/>
                    </w:rPr>
                    <w:t>公用工程</w:t>
                  </w:r>
                </w:p>
              </w:tc>
              <w:tc>
                <w:tcPr>
                  <w:tcW w:w="822" w:type="pct"/>
                  <w:vAlign w:val="center"/>
                </w:tcPr>
                <w:p w14:paraId="0636E5A9">
                  <w:pPr>
                    <w:spacing w:line="240" w:lineRule="auto"/>
                    <w:jc w:val="center"/>
                    <w:rPr>
                      <w:color w:val="auto"/>
                      <w:highlight w:val="none"/>
                    </w:rPr>
                  </w:pPr>
                  <w:r>
                    <w:rPr>
                      <w:color w:val="auto"/>
                      <w:highlight w:val="none"/>
                    </w:rPr>
                    <w:t>供水</w:t>
                  </w:r>
                </w:p>
              </w:tc>
              <w:tc>
                <w:tcPr>
                  <w:tcW w:w="3089" w:type="pct"/>
                  <w:gridSpan w:val="2"/>
                  <w:vAlign w:val="center"/>
                </w:tcPr>
                <w:p w14:paraId="26048826">
                  <w:pPr>
                    <w:spacing w:line="240" w:lineRule="auto"/>
                    <w:rPr>
                      <w:color w:val="auto"/>
                      <w:highlight w:val="none"/>
                    </w:rPr>
                  </w:pPr>
                  <w:r>
                    <w:rPr>
                      <w:rFonts w:hint="eastAsia"/>
                      <w:color w:val="auto"/>
                      <w:highlight w:val="none"/>
                    </w:rPr>
                    <w:t>本项目市政管网供水</w:t>
                  </w:r>
                </w:p>
              </w:tc>
              <w:tc>
                <w:tcPr>
                  <w:tcW w:w="648" w:type="pct"/>
                  <w:vMerge w:val="restart"/>
                  <w:vAlign w:val="center"/>
                </w:tcPr>
                <w:p w14:paraId="115A56A9">
                  <w:pPr>
                    <w:spacing w:line="240" w:lineRule="auto"/>
                    <w:jc w:val="center"/>
                    <w:rPr>
                      <w:color w:val="auto"/>
                      <w:highlight w:val="none"/>
                    </w:rPr>
                  </w:pPr>
                  <w:r>
                    <w:rPr>
                      <w:color w:val="auto"/>
                      <w:highlight w:val="none"/>
                    </w:rPr>
                    <w:t>依托现有</w:t>
                  </w:r>
                </w:p>
              </w:tc>
            </w:tr>
            <w:tr w14:paraId="6A36B96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38" w:type="pct"/>
                  <w:vMerge w:val="continue"/>
                  <w:vAlign w:val="center"/>
                </w:tcPr>
                <w:p w14:paraId="433CD901">
                  <w:pPr>
                    <w:spacing w:line="240" w:lineRule="auto"/>
                    <w:jc w:val="center"/>
                    <w:rPr>
                      <w:color w:val="auto"/>
                      <w:highlight w:val="yellow"/>
                    </w:rPr>
                  </w:pPr>
                </w:p>
              </w:tc>
              <w:tc>
                <w:tcPr>
                  <w:tcW w:w="822" w:type="pct"/>
                  <w:vAlign w:val="center"/>
                </w:tcPr>
                <w:p w14:paraId="58CFA577">
                  <w:pPr>
                    <w:spacing w:line="240" w:lineRule="auto"/>
                    <w:jc w:val="center"/>
                    <w:rPr>
                      <w:color w:val="auto"/>
                      <w:highlight w:val="none"/>
                    </w:rPr>
                  </w:pPr>
                  <w:r>
                    <w:rPr>
                      <w:color w:val="auto"/>
                      <w:highlight w:val="none"/>
                    </w:rPr>
                    <w:t>供电</w:t>
                  </w:r>
                </w:p>
              </w:tc>
              <w:tc>
                <w:tcPr>
                  <w:tcW w:w="3089" w:type="pct"/>
                  <w:gridSpan w:val="2"/>
                  <w:vAlign w:val="center"/>
                </w:tcPr>
                <w:p w14:paraId="5B27DBF4">
                  <w:pPr>
                    <w:spacing w:line="240" w:lineRule="auto"/>
                    <w:rPr>
                      <w:color w:val="auto"/>
                      <w:highlight w:val="none"/>
                    </w:rPr>
                  </w:pPr>
                  <w:r>
                    <w:rPr>
                      <w:rFonts w:hint="eastAsia"/>
                      <w:color w:val="auto"/>
                      <w:highlight w:val="none"/>
                    </w:rPr>
                    <w:t>依托开发区</w:t>
                  </w:r>
                  <w:r>
                    <w:rPr>
                      <w:color w:val="auto"/>
                      <w:highlight w:val="none"/>
                    </w:rPr>
                    <w:t>电网供给</w:t>
                  </w:r>
                </w:p>
              </w:tc>
              <w:tc>
                <w:tcPr>
                  <w:tcW w:w="648" w:type="pct"/>
                  <w:vMerge w:val="continue"/>
                  <w:vAlign w:val="center"/>
                </w:tcPr>
                <w:p w14:paraId="6CDA86C8">
                  <w:pPr>
                    <w:spacing w:line="240" w:lineRule="auto"/>
                    <w:jc w:val="center"/>
                    <w:rPr>
                      <w:color w:val="auto"/>
                      <w:highlight w:val="yellow"/>
                    </w:rPr>
                  </w:pPr>
                </w:p>
              </w:tc>
            </w:tr>
            <w:tr w14:paraId="41E9167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38" w:type="pct"/>
                  <w:vMerge w:val="continue"/>
                  <w:vAlign w:val="center"/>
                </w:tcPr>
                <w:p w14:paraId="4FCFD1F7">
                  <w:pPr>
                    <w:spacing w:line="240" w:lineRule="auto"/>
                    <w:jc w:val="center"/>
                    <w:rPr>
                      <w:color w:val="auto"/>
                      <w:highlight w:val="yellow"/>
                    </w:rPr>
                  </w:pPr>
                </w:p>
              </w:tc>
              <w:tc>
                <w:tcPr>
                  <w:tcW w:w="822" w:type="pct"/>
                  <w:shd w:val="clear" w:color="auto" w:fill="auto"/>
                  <w:vAlign w:val="center"/>
                </w:tcPr>
                <w:p w14:paraId="79DF95F1">
                  <w:pPr>
                    <w:jc w:val="center"/>
                    <w:rPr>
                      <w:rFonts w:ascii="Times New Roman" w:hAnsi="Times New Roman" w:eastAsia="宋体" w:cs="Times New Roman"/>
                      <w:color w:val="auto"/>
                      <w:kern w:val="2"/>
                      <w:sz w:val="21"/>
                      <w:szCs w:val="24"/>
                      <w:lang w:val="en-US" w:eastAsia="zh-CN" w:bidi="ar-SA"/>
                    </w:rPr>
                  </w:pPr>
                  <w:r>
                    <w:rPr>
                      <w:color w:val="auto"/>
                    </w:rPr>
                    <w:t>供热</w:t>
                  </w:r>
                </w:p>
              </w:tc>
              <w:tc>
                <w:tcPr>
                  <w:tcW w:w="3089" w:type="pct"/>
                  <w:gridSpan w:val="2"/>
                  <w:shd w:val="clear" w:color="auto" w:fill="auto"/>
                  <w:vAlign w:val="center"/>
                </w:tcPr>
                <w:p w14:paraId="1A25CD45">
                  <w:pPr>
                    <w:rPr>
                      <w:rFonts w:hint="default" w:ascii="Times New Roman" w:hAnsi="Times New Roman" w:eastAsia="宋体" w:cs="Times New Roman"/>
                      <w:color w:val="auto"/>
                      <w:kern w:val="2"/>
                      <w:sz w:val="21"/>
                      <w:szCs w:val="24"/>
                      <w:lang w:val="en-US" w:eastAsia="zh-CN" w:bidi="ar-SA"/>
                    </w:rPr>
                  </w:pPr>
                  <w:r>
                    <w:rPr>
                      <w:rFonts w:hint="eastAsia"/>
                      <w:color w:val="auto"/>
                    </w:rPr>
                    <w:t>厂区内各厂房建筑内釆暖由唐山高新技术产业园集中供热系统提供热源，热媒为</w:t>
                  </w:r>
                  <w:r>
                    <w:rPr>
                      <w:color w:val="auto"/>
                    </w:rPr>
                    <w:t>95/70</w:t>
                  </w:r>
                  <w:r>
                    <w:rPr>
                      <w:rFonts w:hint="eastAsia"/>
                      <w:color w:val="auto"/>
                      <w:lang w:eastAsia="zh-CN"/>
                    </w:rPr>
                    <w:t>°C</w:t>
                  </w:r>
                  <w:r>
                    <w:rPr>
                      <w:rFonts w:hint="eastAsia"/>
                      <w:color w:val="auto"/>
                    </w:rPr>
                    <w:t>热水</w:t>
                  </w:r>
                  <w:r>
                    <w:rPr>
                      <w:rFonts w:hint="eastAsia"/>
                      <w:color w:val="auto"/>
                      <w:lang w:eastAsia="zh-CN"/>
                    </w:rPr>
                    <w:t>，</w:t>
                  </w:r>
                  <w:r>
                    <w:rPr>
                      <w:rFonts w:hint="eastAsia"/>
                      <w:color w:val="auto"/>
                      <w:lang w:val="en-US" w:eastAsia="zh-CN"/>
                    </w:rPr>
                    <w:t>生产用热由天然气和电能供热</w:t>
                  </w:r>
                </w:p>
              </w:tc>
              <w:tc>
                <w:tcPr>
                  <w:tcW w:w="648" w:type="pct"/>
                  <w:vMerge w:val="continue"/>
                  <w:vAlign w:val="center"/>
                </w:tcPr>
                <w:p w14:paraId="090E3BAE">
                  <w:pPr>
                    <w:spacing w:line="240" w:lineRule="auto"/>
                    <w:jc w:val="center"/>
                    <w:rPr>
                      <w:color w:val="auto"/>
                      <w:highlight w:val="yellow"/>
                    </w:rPr>
                  </w:pPr>
                </w:p>
              </w:tc>
            </w:tr>
            <w:tr w14:paraId="33609BE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38" w:type="pct"/>
                  <w:vMerge w:val="continue"/>
                  <w:vAlign w:val="center"/>
                </w:tcPr>
                <w:p w14:paraId="2C4E8C9B">
                  <w:pPr>
                    <w:spacing w:line="240" w:lineRule="auto"/>
                    <w:jc w:val="center"/>
                    <w:rPr>
                      <w:color w:val="auto"/>
                      <w:highlight w:val="yellow"/>
                    </w:rPr>
                  </w:pPr>
                </w:p>
              </w:tc>
              <w:tc>
                <w:tcPr>
                  <w:tcW w:w="822" w:type="pct"/>
                  <w:shd w:val="clear" w:color="auto" w:fill="auto"/>
                  <w:vAlign w:val="center"/>
                </w:tcPr>
                <w:p w14:paraId="14017D59">
                  <w:pPr>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供气</w:t>
                  </w:r>
                </w:p>
              </w:tc>
              <w:tc>
                <w:tcPr>
                  <w:tcW w:w="3089" w:type="pct"/>
                  <w:gridSpan w:val="2"/>
                  <w:shd w:val="clear" w:color="auto" w:fill="auto"/>
                  <w:vAlign w:val="center"/>
                </w:tcPr>
                <w:p w14:paraId="2A396CB6">
                  <w:pPr>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cs="Times New Roman" w:eastAsiaTheme="minorEastAsia"/>
                      <w:color w:val="auto"/>
                      <w:sz w:val="21"/>
                      <w:szCs w:val="21"/>
                      <w:highlight w:val="none"/>
                    </w:rPr>
                    <w:t>唐山市燃气集团有限企业供应</w:t>
                  </w:r>
                  <w:r>
                    <w:rPr>
                      <w:rFonts w:hint="default" w:ascii="Times New Roman" w:hAnsi="Times New Roman" w:cs="Times New Roman" w:eastAsiaTheme="minorEastAsia"/>
                      <w:color w:val="auto"/>
                      <w:sz w:val="21"/>
                      <w:szCs w:val="21"/>
                      <w:highlight w:val="none"/>
                      <w:lang w:eastAsia="zh-CN"/>
                    </w:rPr>
                    <w:t>，市政燃气管网</w:t>
                  </w:r>
                </w:p>
              </w:tc>
              <w:tc>
                <w:tcPr>
                  <w:tcW w:w="648" w:type="pct"/>
                  <w:vAlign w:val="center"/>
                </w:tcPr>
                <w:p w14:paraId="3B0CB2A8">
                  <w:pPr>
                    <w:spacing w:line="240" w:lineRule="auto"/>
                    <w:jc w:val="center"/>
                    <w:rPr>
                      <w:color w:val="auto"/>
                      <w:highlight w:val="yellow"/>
                    </w:rPr>
                  </w:pPr>
                  <w:r>
                    <w:rPr>
                      <w:rFonts w:hint="eastAsia"/>
                      <w:color w:val="auto"/>
                      <w:highlight w:val="none"/>
                      <w:lang w:val="en-US" w:eastAsia="zh-CN"/>
                    </w:rPr>
                    <w:t>新建</w:t>
                  </w:r>
                </w:p>
              </w:tc>
            </w:tr>
            <w:tr w14:paraId="46E2F4D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438" w:type="pct"/>
                  <w:vMerge w:val="restart"/>
                  <w:vAlign w:val="center"/>
                </w:tcPr>
                <w:p w14:paraId="2E18A99F">
                  <w:pPr>
                    <w:spacing w:line="240" w:lineRule="auto"/>
                    <w:jc w:val="center"/>
                    <w:rPr>
                      <w:color w:val="auto"/>
                      <w:highlight w:val="none"/>
                    </w:rPr>
                  </w:pPr>
                  <w:r>
                    <w:rPr>
                      <w:color w:val="auto"/>
                      <w:highlight w:val="none"/>
                    </w:rPr>
                    <w:t>环保工程</w:t>
                  </w:r>
                </w:p>
              </w:tc>
              <w:tc>
                <w:tcPr>
                  <w:tcW w:w="822" w:type="pct"/>
                  <w:vMerge w:val="restart"/>
                  <w:vAlign w:val="center"/>
                </w:tcPr>
                <w:p w14:paraId="5A7D4282">
                  <w:pPr>
                    <w:spacing w:line="240" w:lineRule="auto"/>
                    <w:jc w:val="center"/>
                    <w:rPr>
                      <w:color w:val="auto"/>
                      <w:highlight w:val="none"/>
                    </w:rPr>
                  </w:pPr>
                  <w:r>
                    <w:rPr>
                      <w:color w:val="auto"/>
                      <w:highlight w:val="none"/>
                    </w:rPr>
                    <w:t>废气</w:t>
                  </w:r>
                </w:p>
              </w:tc>
              <w:tc>
                <w:tcPr>
                  <w:tcW w:w="1241" w:type="pct"/>
                  <w:vAlign w:val="center"/>
                </w:tcPr>
                <w:p w14:paraId="1AF24EC9">
                  <w:pPr>
                    <w:adjustRightInd w:val="0"/>
                    <w:snapToGrid w:val="0"/>
                    <w:jc w:val="center"/>
                    <w:rPr>
                      <w:rFonts w:hint="eastAsia" w:eastAsia="宋体"/>
                      <w:color w:val="auto"/>
                      <w:highlight w:val="none"/>
                      <w:lang w:eastAsia="zh-CN"/>
                    </w:rPr>
                  </w:pPr>
                  <w:r>
                    <w:rPr>
                      <w:rFonts w:hint="eastAsia" w:ascii="Times New Roman" w:hAnsi="Times New Roman" w:cs="Times New Roman"/>
                      <w:color w:val="auto"/>
                      <w:sz w:val="21"/>
                      <w:szCs w:val="21"/>
                      <w:highlight w:val="none"/>
                      <w:lang w:eastAsia="zh-CN"/>
                    </w:rPr>
                    <w:t>轧线回火炉</w:t>
                  </w:r>
                  <w:r>
                    <w:rPr>
                      <w:rFonts w:hint="eastAsia" w:cs="Times New Roman"/>
                      <w:b w:val="0"/>
                      <w:bCs w:val="0"/>
                      <w:color w:val="auto"/>
                      <w:kern w:val="0"/>
                      <w:sz w:val="21"/>
                      <w:szCs w:val="21"/>
                      <w:highlight w:val="none"/>
                      <w:lang w:val="en-US" w:eastAsia="zh-CN"/>
                    </w:rPr>
                    <w:t>1#</w:t>
                  </w:r>
                  <w:r>
                    <w:rPr>
                      <w:rFonts w:hint="eastAsia" w:cs="Times New Roman"/>
                      <w:color w:val="auto"/>
                      <w:sz w:val="21"/>
                      <w:szCs w:val="21"/>
                      <w:highlight w:val="none"/>
                      <w:lang w:eastAsia="zh-CN"/>
                    </w:rPr>
                    <w:t>，</w:t>
                  </w:r>
                  <w:r>
                    <w:rPr>
                      <w:rFonts w:hint="eastAsia" w:ascii="Times New Roman" w:hAnsi="Times New Roman" w:cs="Times New Roman"/>
                      <w:color w:val="auto"/>
                      <w:sz w:val="21"/>
                      <w:szCs w:val="21"/>
                      <w:highlight w:val="none"/>
                      <w:lang w:eastAsia="zh-CN"/>
                    </w:rPr>
                    <w:t>锻线回火炉</w:t>
                  </w:r>
                  <w:r>
                    <w:rPr>
                      <w:rFonts w:hint="eastAsia" w:cs="Times New Roman"/>
                      <w:b w:val="0"/>
                      <w:bCs w:val="0"/>
                      <w:color w:val="auto"/>
                      <w:kern w:val="0"/>
                      <w:sz w:val="21"/>
                      <w:szCs w:val="21"/>
                      <w:highlight w:val="none"/>
                      <w:lang w:val="en-US" w:eastAsia="zh-CN"/>
                    </w:rPr>
                    <w:t>2#</w:t>
                  </w:r>
                  <w:r>
                    <w:rPr>
                      <w:rFonts w:hint="eastAsia" w:ascii="Times New Roman" w:hAnsi="Times New Roman" w:cs="Times New Roman"/>
                      <w:color w:val="auto"/>
                      <w:sz w:val="21"/>
                      <w:szCs w:val="21"/>
                      <w:highlight w:val="none"/>
                      <w:lang w:eastAsia="zh-CN"/>
                    </w:rPr>
                    <w:t>、环形炉</w:t>
                  </w:r>
                </w:p>
              </w:tc>
              <w:tc>
                <w:tcPr>
                  <w:tcW w:w="1848" w:type="pct"/>
                  <w:vAlign w:val="center"/>
                </w:tcPr>
                <w:p w14:paraId="215C94BA">
                  <w:pPr>
                    <w:spacing w:line="240" w:lineRule="auto"/>
                    <w:rPr>
                      <w:rFonts w:hint="eastAsia" w:eastAsia="宋体"/>
                      <w:color w:val="auto"/>
                      <w:highlight w:val="none"/>
                      <w:lang w:eastAsia="zh-CN"/>
                    </w:rPr>
                  </w:pPr>
                  <w:r>
                    <w:rPr>
                      <w:rFonts w:hint="default" w:ascii="Times New Roman" w:hAnsi="Times New Roman" w:eastAsia="宋体" w:cs="Times New Roman"/>
                      <w:color w:val="auto"/>
                      <w:spacing w:val="-5"/>
                      <w:sz w:val="21"/>
                      <w:szCs w:val="21"/>
                      <w:highlight w:val="none"/>
                    </w:rPr>
                    <w:t>安装低氮燃烧器</w:t>
                  </w:r>
                  <w:r>
                    <w:rPr>
                      <w:rFonts w:hint="eastAsia" w:cs="Times New Roman"/>
                      <w:color w:val="auto"/>
                      <w:spacing w:val="-5"/>
                      <w:sz w:val="21"/>
                      <w:szCs w:val="21"/>
                      <w:highlight w:val="none"/>
                      <w:lang w:eastAsia="zh-CN"/>
                    </w:rPr>
                    <w:t>，</w:t>
                  </w:r>
                  <w:r>
                    <w:rPr>
                      <w:rFonts w:hint="default" w:ascii="Times New Roman" w:hAnsi="Times New Roman" w:cs="Times New Roman"/>
                      <w:color w:val="auto"/>
                      <w:spacing w:val="-8"/>
                      <w:sz w:val="21"/>
                      <w:szCs w:val="21"/>
                      <w:highlight w:val="none"/>
                      <w:lang w:val="en-US" w:eastAsia="zh-CN"/>
                    </w:rPr>
                    <w:t>经1根27m高排气筒</w:t>
                  </w:r>
                  <w:r>
                    <w:rPr>
                      <w:rFonts w:hint="default" w:ascii="Times New Roman" w:hAnsi="Times New Roman" w:cs="Times New Roman"/>
                      <w:color w:val="auto"/>
                      <w:spacing w:val="-2"/>
                      <w:sz w:val="21"/>
                      <w:szCs w:val="21"/>
                      <w:highlight w:val="none"/>
                      <w:lang w:eastAsia="zh-CN"/>
                    </w:rPr>
                    <w:t>（</w:t>
                  </w:r>
                  <w:r>
                    <w:rPr>
                      <w:rFonts w:hint="default" w:ascii="Times New Roman" w:hAnsi="Times New Roman" w:cs="Times New Roman"/>
                      <w:color w:val="auto"/>
                      <w:spacing w:val="-2"/>
                      <w:sz w:val="21"/>
                      <w:szCs w:val="21"/>
                      <w:highlight w:val="none"/>
                      <w:lang w:val="en-US" w:eastAsia="zh-CN"/>
                    </w:rPr>
                    <w:t>DA005</w:t>
                  </w:r>
                  <w:r>
                    <w:rPr>
                      <w:rFonts w:hint="default" w:ascii="Times New Roman" w:hAnsi="Times New Roman" w:cs="Times New Roman"/>
                      <w:color w:val="auto"/>
                      <w:spacing w:val="-2"/>
                      <w:sz w:val="21"/>
                      <w:szCs w:val="21"/>
                      <w:highlight w:val="none"/>
                      <w:lang w:eastAsia="zh-CN"/>
                    </w:rPr>
                    <w:t>）</w:t>
                  </w:r>
                  <w:r>
                    <w:rPr>
                      <w:rFonts w:hint="default" w:ascii="Times New Roman" w:hAnsi="Times New Roman" w:cs="Times New Roman"/>
                      <w:color w:val="auto"/>
                      <w:spacing w:val="-2"/>
                      <w:sz w:val="21"/>
                      <w:szCs w:val="21"/>
                      <w:highlight w:val="none"/>
                      <w:lang w:val="en-US" w:eastAsia="zh-CN"/>
                    </w:rPr>
                    <w:t>排放</w:t>
                  </w:r>
                </w:p>
              </w:tc>
              <w:tc>
                <w:tcPr>
                  <w:tcW w:w="648" w:type="pct"/>
                  <w:vAlign w:val="center"/>
                </w:tcPr>
                <w:p w14:paraId="2E836DCC">
                  <w:pPr>
                    <w:spacing w:line="240" w:lineRule="auto"/>
                    <w:jc w:val="center"/>
                    <w:rPr>
                      <w:color w:val="auto"/>
                      <w:highlight w:val="none"/>
                    </w:rPr>
                  </w:pPr>
                  <w:r>
                    <w:rPr>
                      <w:rFonts w:hint="eastAsia"/>
                      <w:color w:val="auto"/>
                      <w:highlight w:val="none"/>
                    </w:rPr>
                    <w:t>新增</w:t>
                  </w:r>
                </w:p>
              </w:tc>
            </w:tr>
            <w:tr w14:paraId="147C0ED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438" w:type="pct"/>
                  <w:vMerge w:val="continue"/>
                  <w:vAlign w:val="center"/>
                </w:tcPr>
                <w:p w14:paraId="5D614B70">
                  <w:pPr>
                    <w:spacing w:line="240" w:lineRule="auto"/>
                    <w:jc w:val="center"/>
                    <w:rPr>
                      <w:color w:val="auto"/>
                      <w:highlight w:val="none"/>
                    </w:rPr>
                  </w:pPr>
                </w:p>
              </w:tc>
              <w:tc>
                <w:tcPr>
                  <w:tcW w:w="822" w:type="pct"/>
                  <w:vMerge w:val="continue"/>
                  <w:vAlign w:val="center"/>
                </w:tcPr>
                <w:p w14:paraId="737082D0">
                  <w:pPr>
                    <w:spacing w:line="240" w:lineRule="auto"/>
                    <w:jc w:val="center"/>
                    <w:rPr>
                      <w:color w:val="auto"/>
                      <w:highlight w:val="none"/>
                    </w:rPr>
                  </w:pPr>
                </w:p>
              </w:tc>
              <w:tc>
                <w:tcPr>
                  <w:tcW w:w="1241" w:type="pct"/>
                  <w:vAlign w:val="center"/>
                </w:tcPr>
                <w:p w14:paraId="3709A7D6">
                  <w:pPr>
                    <w:snapToGrid w:val="0"/>
                    <w:jc w:val="center"/>
                    <w:rPr>
                      <w:rFonts w:hint="default" w:eastAsia="宋体"/>
                      <w:color w:val="auto"/>
                      <w:highlight w:val="none"/>
                      <w:lang w:val="en-US" w:eastAsia="zh-CN"/>
                    </w:rPr>
                  </w:pPr>
                  <w:r>
                    <w:rPr>
                      <w:rFonts w:hint="eastAsia"/>
                      <w:color w:val="auto"/>
                      <w:highlight w:val="none"/>
                      <w:lang w:val="en-US" w:eastAsia="zh-CN"/>
                    </w:rPr>
                    <w:t>自由锻生产线</w:t>
                  </w:r>
                  <w:r>
                    <w:rPr>
                      <w:rFonts w:hint="eastAsia"/>
                      <w:color w:val="auto"/>
                      <w:szCs w:val="21"/>
                      <w:highlight w:val="none"/>
                      <w:lang w:val="en-US" w:eastAsia="zh-CN"/>
                    </w:rPr>
                    <w:t>燃气加热炉（</w:t>
                  </w:r>
                  <w:r>
                    <w:rPr>
                      <w:rFonts w:hint="eastAsia" w:cs="Times New Roman"/>
                      <w:b w:val="0"/>
                      <w:bCs w:val="0"/>
                      <w:color w:val="auto"/>
                      <w:kern w:val="0"/>
                      <w:sz w:val="21"/>
                      <w:szCs w:val="21"/>
                      <w:highlight w:val="none"/>
                      <w:lang w:val="en-US" w:eastAsia="zh-CN"/>
                    </w:rPr>
                    <w:t>1#、2#、3#</w:t>
                  </w:r>
                  <w:r>
                    <w:rPr>
                      <w:rFonts w:hint="eastAsia"/>
                      <w:color w:val="auto"/>
                      <w:szCs w:val="21"/>
                      <w:highlight w:val="none"/>
                      <w:lang w:val="en-US" w:eastAsia="zh-CN"/>
                    </w:rPr>
                    <w:t>）</w:t>
                  </w:r>
                </w:p>
              </w:tc>
              <w:tc>
                <w:tcPr>
                  <w:tcW w:w="1848" w:type="pct"/>
                  <w:shd w:val="clear" w:color="auto" w:fill="auto"/>
                  <w:vAlign w:val="center"/>
                </w:tcPr>
                <w:p w14:paraId="160D5D5F">
                  <w:pPr>
                    <w:spacing w:line="240" w:lineRule="auto"/>
                    <w:rPr>
                      <w:rFonts w:hint="eastAsia"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spacing w:val="-5"/>
                      <w:sz w:val="21"/>
                      <w:szCs w:val="21"/>
                      <w:highlight w:val="none"/>
                    </w:rPr>
                    <w:t>安装低氮燃烧器</w:t>
                  </w:r>
                  <w:r>
                    <w:rPr>
                      <w:rFonts w:hint="eastAsia" w:cs="Times New Roman"/>
                      <w:color w:val="auto"/>
                      <w:spacing w:val="-5"/>
                      <w:sz w:val="21"/>
                      <w:szCs w:val="21"/>
                      <w:highlight w:val="none"/>
                      <w:lang w:eastAsia="zh-CN"/>
                    </w:rPr>
                    <w:t>，</w:t>
                  </w:r>
                  <w:r>
                    <w:rPr>
                      <w:rFonts w:hint="default" w:ascii="Times New Roman" w:hAnsi="Times New Roman" w:cs="Times New Roman"/>
                      <w:color w:val="auto"/>
                      <w:spacing w:val="-8"/>
                      <w:sz w:val="21"/>
                      <w:szCs w:val="21"/>
                      <w:highlight w:val="none"/>
                      <w:lang w:val="en-US" w:eastAsia="zh-CN"/>
                    </w:rPr>
                    <w:t>经1根27m高排气筒</w:t>
                  </w:r>
                  <w:r>
                    <w:rPr>
                      <w:rFonts w:hint="default" w:ascii="Times New Roman" w:hAnsi="Times New Roman" w:cs="Times New Roman"/>
                      <w:color w:val="auto"/>
                      <w:spacing w:val="-2"/>
                      <w:sz w:val="21"/>
                      <w:szCs w:val="21"/>
                      <w:highlight w:val="none"/>
                      <w:lang w:eastAsia="zh-CN"/>
                    </w:rPr>
                    <w:t>（</w:t>
                  </w:r>
                  <w:r>
                    <w:rPr>
                      <w:rFonts w:hint="default" w:ascii="Times New Roman" w:hAnsi="Times New Roman" w:cs="Times New Roman"/>
                      <w:color w:val="auto"/>
                      <w:spacing w:val="-2"/>
                      <w:sz w:val="21"/>
                      <w:szCs w:val="21"/>
                      <w:highlight w:val="none"/>
                      <w:lang w:val="en-US" w:eastAsia="zh-CN"/>
                    </w:rPr>
                    <w:t>DA00</w:t>
                  </w:r>
                  <w:r>
                    <w:rPr>
                      <w:rFonts w:hint="eastAsia" w:ascii="Times New Roman" w:hAnsi="Times New Roman" w:cs="Times New Roman"/>
                      <w:color w:val="auto"/>
                      <w:spacing w:val="-2"/>
                      <w:sz w:val="21"/>
                      <w:szCs w:val="21"/>
                      <w:highlight w:val="none"/>
                      <w:lang w:val="en-US" w:eastAsia="zh-CN"/>
                    </w:rPr>
                    <w:t>6</w:t>
                  </w:r>
                  <w:r>
                    <w:rPr>
                      <w:rFonts w:hint="default" w:ascii="Times New Roman" w:hAnsi="Times New Roman" w:cs="Times New Roman"/>
                      <w:color w:val="auto"/>
                      <w:spacing w:val="-2"/>
                      <w:sz w:val="21"/>
                      <w:szCs w:val="21"/>
                      <w:highlight w:val="none"/>
                      <w:lang w:eastAsia="zh-CN"/>
                    </w:rPr>
                    <w:t>）</w:t>
                  </w:r>
                  <w:r>
                    <w:rPr>
                      <w:rFonts w:hint="default" w:ascii="Times New Roman" w:hAnsi="Times New Roman" w:cs="Times New Roman"/>
                      <w:color w:val="auto"/>
                      <w:spacing w:val="-2"/>
                      <w:sz w:val="21"/>
                      <w:szCs w:val="21"/>
                      <w:highlight w:val="none"/>
                      <w:lang w:val="en-US" w:eastAsia="zh-CN"/>
                    </w:rPr>
                    <w:t>排放</w:t>
                  </w:r>
                </w:p>
              </w:tc>
              <w:tc>
                <w:tcPr>
                  <w:tcW w:w="648" w:type="pct"/>
                  <w:shd w:val="clear" w:color="auto" w:fill="auto"/>
                  <w:vAlign w:val="center"/>
                </w:tcPr>
                <w:p w14:paraId="6C22082D">
                  <w:pPr>
                    <w:spacing w:line="240" w:lineRule="auto"/>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新增</w:t>
                  </w:r>
                </w:p>
              </w:tc>
            </w:tr>
            <w:tr w14:paraId="32ABAA5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438" w:type="pct"/>
                  <w:vMerge w:val="continue"/>
                  <w:vAlign w:val="center"/>
                </w:tcPr>
                <w:p w14:paraId="2218F663">
                  <w:pPr>
                    <w:spacing w:line="240" w:lineRule="auto"/>
                    <w:jc w:val="center"/>
                    <w:rPr>
                      <w:rFonts w:hint="eastAsia" w:eastAsia="宋体"/>
                      <w:color w:val="auto"/>
                      <w:highlight w:val="none"/>
                      <w:lang w:eastAsia="zh-CN"/>
                    </w:rPr>
                  </w:pPr>
                </w:p>
              </w:tc>
              <w:tc>
                <w:tcPr>
                  <w:tcW w:w="822" w:type="pct"/>
                  <w:vMerge w:val="continue"/>
                  <w:vAlign w:val="center"/>
                </w:tcPr>
                <w:p w14:paraId="34652536">
                  <w:pPr>
                    <w:spacing w:line="240" w:lineRule="auto"/>
                    <w:jc w:val="center"/>
                    <w:rPr>
                      <w:rFonts w:hint="eastAsia" w:eastAsia="宋体"/>
                      <w:color w:val="auto"/>
                      <w:highlight w:val="none"/>
                      <w:lang w:eastAsia="zh-CN"/>
                    </w:rPr>
                  </w:pPr>
                </w:p>
              </w:tc>
              <w:tc>
                <w:tcPr>
                  <w:tcW w:w="1241" w:type="pct"/>
                  <w:vAlign w:val="center"/>
                </w:tcPr>
                <w:p w14:paraId="05803FA9">
                  <w:pPr>
                    <w:spacing w:line="240" w:lineRule="auto"/>
                    <w:jc w:val="center"/>
                    <w:rPr>
                      <w:rFonts w:hint="eastAsia"/>
                      <w:color w:val="auto"/>
                      <w:highlight w:val="none"/>
                    </w:rPr>
                  </w:pPr>
                  <w:r>
                    <w:rPr>
                      <w:rFonts w:hint="eastAsia"/>
                      <w:color w:val="auto"/>
                      <w:highlight w:val="none"/>
                      <w:lang w:val="en-US" w:eastAsia="zh-CN"/>
                    </w:rPr>
                    <w:t>自由锻生产线</w:t>
                  </w:r>
                  <w:r>
                    <w:rPr>
                      <w:rFonts w:hint="eastAsia"/>
                      <w:color w:val="auto"/>
                      <w:szCs w:val="21"/>
                      <w:highlight w:val="none"/>
                      <w:lang w:val="en-US" w:eastAsia="zh-CN"/>
                    </w:rPr>
                    <w:t>燃气回火炉</w:t>
                  </w:r>
                  <w:r>
                    <w:rPr>
                      <w:rFonts w:hint="eastAsia" w:cs="Times New Roman"/>
                      <w:b w:val="0"/>
                      <w:bCs w:val="0"/>
                      <w:color w:val="auto"/>
                      <w:kern w:val="0"/>
                      <w:sz w:val="21"/>
                      <w:szCs w:val="21"/>
                      <w:highlight w:val="none"/>
                      <w:lang w:val="en-US" w:eastAsia="zh-CN"/>
                    </w:rPr>
                    <w:t>3#</w:t>
                  </w:r>
                </w:p>
              </w:tc>
              <w:tc>
                <w:tcPr>
                  <w:tcW w:w="1848" w:type="pct"/>
                  <w:vAlign w:val="center"/>
                </w:tcPr>
                <w:p w14:paraId="48242543">
                  <w:pPr>
                    <w:spacing w:line="240" w:lineRule="auto"/>
                    <w:jc w:val="center"/>
                    <w:rPr>
                      <w:rFonts w:hint="eastAsia"/>
                      <w:color w:val="auto"/>
                      <w:highlight w:val="none"/>
                    </w:rPr>
                  </w:pPr>
                  <w:r>
                    <w:rPr>
                      <w:rFonts w:hint="default" w:ascii="Times New Roman" w:hAnsi="Times New Roman" w:eastAsia="宋体" w:cs="Times New Roman"/>
                      <w:color w:val="auto"/>
                      <w:spacing w:val="-5"/>
                      <w:sz w:val="21"/>
                      <w:szCs w:val="21"/>
                      <w:highlight w:val="none"/>
                    </w:rPr>
                    <w:t>安装低氮燃烧器</w:t>
                  </w:r>
                  <w:r>
                    <w:rPr>
                      <w:rFonts w:hint="eastAsia" w:cs="Times New Roman"/>
                      <w:color w:val="auto"/>
                      <w:spacing w:val="-5"/>
                      <w:sz w:val="21"/>
                      <w:szCs w:val="21"/>
                      <w:highlight w:val="none"/>
                      <w:lang w:eastAsia="zh-CN"/>
                    </w:rPr>
                    <w:t>，</w:t>
                  </w:r>
                  <w:r>
                    <w:rPr>
                      <w:rFonts w:hint="default" w:ascii="Times New Roman" w:hAnsi="Times New Roman" w:cs="Times New Roman"/>
                      <w:color w:val="auto"/>
                      <w:spacing w:val="-8"/>
                      <w:sz w:val="21"/>
                      <w:szCs w:val="21"/>
                      <w:highlight w:val="none"/>
                      <w:lang w:val="en-US" w:eastAsia="zh-CN"/>
                    </w:rPr>
                    <w:t>经1根27m高排气筒</w:t>
                  </w:r>
                  <w:r>
                    <w:rPr>
                      <w:rFonts w:hint="default" w:ascii="Times New Roman" w:hAnsi="Times New Roman" w:cs="Times New Roman"/>
                      <w:color w:val="auto"/>
                      <w:spacing w:val="-2"/>
                      <w:sz w:val="21"/>
                      <w:szCs w:val="21"/>
                      <w:highlight w:val="none"/>
                      <w:lang w:eastAsia="zh-CN"/>
                    </w:rPr>
                    <w:t>（</w:t>
                  </w:r>
                  <w:r>
                    <w:rPr>
                      <w:rFonts w:hint="default" w:ascii="Times New Roman" w:hAnsi="Times New Roman" w:cs="Times New Roman"/>
                      <w:color w:val="auto"/>
                      <w:spacing w:val="-2"/>
                      <w:sz w:val="21"/>
                      <w:szCs w:val="21"/>
                      <w:highlight w:val="none"/>
                      <w:lang w:val="en-US" w:eastAsia="zh-CN"/>
                    </w:rPr>
                    <w:t>DA00</w:t>
                  </w:r>
                  <w:r>
                    <w:rPr>
                      <w:rFonts w:hint="eastAsia" w:ascii="Times New Roman" w:hAnsi="Times New Roman" w:cs="Times New Roman"/>
                      <w:color w:val="auto"/>
                      <w:spacing w:val="-2"/>
                      <w:sz w:val="21"/>
                      <w:szCs w:val="21"/>
                      <w:highlight w:val="none"/>
                      <w:lang w:val="en-US" w:eastAsia="zh-CN"/>
                    </w:rPr>
                    <w:t>7</w:t>
                  </w:r>
                  <w:r>
                    <w:rPr>
                      <w:rFonts w:hint="default" w:ascii="Times New Roman" w:hAnsi="Times New Roman" w:cs="Times New Roman"/>
                      <w:color w:val="auto"/>
                      <w:spacing w:val="-2"/>
                      <w:sz w:val="21"/>
                      <w:szCs w:val="21"/>
                      <w:highlight w:val="none"/>
                      <w:lang w:eastAsia="zh-CN"/>
                    </w:rPr>
                    <w:t>）</w:t>
                  </w:r>
                  <w:r>
                    <w:rPr>
                      <w:rFonts w:hint="default" w:ascii="Times New Roman" w:hAnsi="Times New Roman" w:cs="Times New Roman"/>
                      <w:color w:val="auto"/>
                      <w:spacing w:val="-2"/>
                      <w:sz w:val="21"/>
                      <w:szCs w:val="21"/>
                      <w:highlight w:val="none"/>
                      <w:lang w:val="en-US" w:eastAsia="zh-CN"/>
                    </w:rPr>
                    <w:t>排放</w:t>
                  </w:r>
                </w:p>
              </w:tc>
              <w:tc>
                <w:tcPr>
                  <w:tcW w:w="648" w:type="pct"/>
                  <w:vAlign w:val="center"/>
                </w:tcPr>
                <w:p w14:paraId="0AC2E098">
                  <w:pPr>
                    <w:spacing w:line="240" w:lineRule="auto"/>
                    <w:jc w:val="center"/>
                    <w:rPr>
                      <w:color w:val="auto"/>
                      <w:highlight w:val="none"/>
                    </w:rPr>
                  </w:pPr>
                  <w:r>
                    <w:rPr>
                      <w:rFonts w:hint="eastAsia"/>
                      <w:color w:val="auto"/>
                      <w:highlight w:val="none"/>
                    </w:rPr>
                    <w:t>新增</w:t>
                  </w:r>
                </w:p>
              </w:tc>
            </w:tr>
            <w:tr w14:paraId="5050931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438" w:type="pct"/>
                  <w:vMerge w:val="continue"/>
                  <w:vAlign w:val="center"/>
                </w:tcPr>
                <w:p w14:paraId="256777C1">
                  <w:pPr>
                    <w:spacing w:line="240" w:lineRule="auto"/>
                    <w:jc w:val="center"/>
                    <w:rPr>
                      <w:rFonts w:hint="eastAsia" w:eastAsia="宋体"/>
                      <w:color w:val="auto"/>
                      <w:highlight w:val="none"/>
                      <w:lang w:eastAsia="zh-CN"/>
                    </w:rPr>
                  </w:pPr>
                </w:p>
              </w:tc>
              <w:tc>
                <w:tcPr>
                  <w:tcW w:w="822" w:type="pct"/>
                  <w:vMerge w:val="continue"/>
                  <w:vAlign w:val="center"/>
                </w:tcPr>
                <w:p w14:paraId="111EC7C9">
                  <w:pPr>
                    <w:spacing w:line="240" w:lineRule="auto"/>
                    <w:jc w:val="center"/>
                    <w:rPr>
                      <w:rFonts w:hint="eastAsia" w:eastAsia="宋体"/>
                      <w:color w:val="auto"/>
                      <w:highlight w:val="none"/>
                      <w:lang w:eastAsia="zh-CN"/>
                    </w:rPr>
                  </w:pPr>
                </w:p>
              </w:tc>
              <w:tc>
                <w:tcPr>
                  <w:tcW w:w="1241" w:type="pct"/>
                  <w:vAlign w:val="center"/>
                </w:tcPr>
                <w:p w14:paraId="778A76B5">
                  <w:pPr>
                    <w:spacing w:line="240" w:lineRule="auto"/>
                    <w:jc w:val="center"/>
                    <w:rPr>
                      <w:rFonts w:hint="eastAsia" w:eastAsia="宋体"/>
                      <w:color w:val="auto"/>
                      <w:highlight w:val="yellow"/>
                      <w:lang w:eastAsia="zh-CN"/>
                    </w:rPr>
                  </w:pPr>
                  <w:r>
                    <w:rPr>
                      <w:rFonts w:hint="eastAsia"/>
                      <w:color w:val="auto"/>
                      <w:highlight w:val="none"/>
                    </w:rPr>
                    <w:t>抛丸工序</w:t>
                  </w:r>
                </w:p>
              </w:tc>
              <w:tc>
                <w:tcPr>
                  <w:tcW w:w="1848" w:type="pct"/>
                  <w:vAlign w:val="center"/>
                </w:tcPr>
                <w:p w14:paraId="071D7FFF">
                  <w:pPr>
                    <w:spacing w:line="240" w:lineRule="auto"/>
                    <w:jc w:val="center"/>
                    <w:rPr>
                      <w:rFonts w:hint="eastAsia" w:eastAsia="宋体"/>
                      <w:color w:val="auto"/>
                      <w:highlight w:val="yellow"/>
                      <w:lang w:eastAsia="zh-CN"/>
                    </w:rPr>
                  </w:pPr>
                  <w:r>
                    <w:rPr>
                      <w:rFonts w:hint="eastAsia"/>
                      <w:color w:val="auto"/>
                      <w:highlight w:val="none"/>
                    </w:rPr>
                    <w:t>废气经二级滤筒除尘器处理后，</w:t>
                  </w:r>
                  <w:r>
                    <w:rPr>
                      <w:rFonts w:hint="eastAsia"/>
                      <w:color w:val="auto"/>
                      <w:highlight w:val="none"/>
                      <w:lang w:eastAsia="zh-CN"/>
                    </w:rPr>
                    <w:t>通过1根25m高排气筒（DA004）排放</w:t>
                  </w:r>
                </w:p>
              </w:tc>
              <w:tc>
                <w:tcPr>
                  <w:tcW w:w="648" w:type="pct"/>
                  <w:vAlign w:val="center"/>
                </w:tcPr>
                <w:p w14:paraId="5E36917D">
                  <w:pPr>
                    <w:spacing w:line="240" w:lineRule="auto"/>
                    <w:jc w:val="center"/>
                    <w:rPr>
                      <w:rFonts w:hint="eastAsia" w:eastAsia="宋体"/>
                      <w:color w:val="auto"/>
                      <w:highlight w:val="yellow"/>
                      <w:lang w:eastAsia="zh-CN"/>
                    </w:rPr>
                  </w:pPr>
                  <w:r>
                    <w:rPr>
                      <w:color w:val="auto"/>
                      <w:highlight w:val="none"/>
                    </w:rPr>
                    <w:t>依托现有</w:t>
                  </w:r>
                </w:p>
              </w:tc>
            </w:tr>
            <w:tr w14:paraId="7FB863E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438" w:type="pct"/>
                  <w:vMerge w:val="continue"/>
                  <w:vAlign w:val="center"/>
                </w:tcPr>
                <w:p w14:paraId="14200BBB">
                  <w:pPr>
                    <w:spacing w:line="240" w:lineRule="auto"/>
                    <w:jc w:val="center"/>
                    <w:rPr>
                      <w:color w:val="auto"/>
                      <w:highlight w:val="none"/>
                    </w:rPr>
                  </w:pPr>
                </w:p>
              </w:tc>
              <w:tc>
                <w:tcPr>
                  <w:tcW w:w="822" w:type="pct"/>
                  <w:vAlign w:val="center"/>
                </w:tcPr>
                <w:p w14:paraId="0D61E186">
                  <w:pPr>
                    <w:spacing w:line="240" w:lineRule="auto"/>
                    <w:jc w:val="center"/>
                    <w:rPr>
                      <w:color w:val="auto"/>
                      <w:highlight w:val="none"/>
                    </w:rPr>
                  </w:pPr>
                  <w:r>
                    <w:rPr>
                      <w:color w:val="auto"/>
                      <w:highlight w:val="none"/>
                    </w:rPr>
                    <w:t>噪声</w:t>
                  </w:r>
                </w:p>
              </w:tc>
              <w:tc>
                <w:tcPr>
                  <w:tcW w:w="3089" w:type="pct"/>
                  <w:gridSpan w:val="2"/>
                  <w:vAlign w:val="center"/>
                </w:tcPr>
                <w:p w14:paraId="6D17349F">
                  <w:pPr>
                    <w:spacing w:line="240" w:lineRule="auto"/>
                    <w:rPr>
                      <w:color w:val="auto"/>
                      <w:highlight w:val="none"/>
                    </w:rPr>
                  </w:pPr>
                  <w:r>
                    <w:rPr>
                      <w:color w:val="auto"/>
                      <w:highlight w:val="none"/>
                    </w:rPr>
                    <w:t>设备</w:t>
                  </w:r>
                  <w:r>
                    <w:rPr>
                      <w:rFonts w:hint="eastAsia"/>
                      <w:color w:val="auto"/>
                      <w:highlight w:val="none"/>
                    </w:rPr>
                    <w:t>置于</w:t>
                  </w:r>
                  <w:r>
                    <w:rPr>
                      <w:color w:val="auto"/>
                      <w:highlight w:val="none"/>
                    </w:rPr>
                    <w:t>全封闭车间内，采取低噪声设备，设备基础减震，建筑隔声等措施</w:t>
                  </w:r>
                </w:p>
              </w:tc>
              <w:tc>
                <w:tcPr>
                  <w:tcW w:w="648" w:type="pct"/>
                  <w:vAlign w:val="center"/>
                </w:tcPr>
                <w:p w14:paraId="545D0AC0">
                  <w:pPr>
                    <w:spacing w:line="240" w:lineRule="auto"/>
                    <w:jc w:val="center"/>
                    <w:rPr>
                      <w:color w:val="auto"/>
                      <w:highlight w:val="yellow"/>
                    </w:rPr>
                  </w:pPr>
                  <w:r>
                    <w:rPr>
                      <w:rFonts w:hint="eastAsia"/>
                      <w:color w:val="auto"/>
                      <w:highlight w:val="none"/>
                    </w:rPr>
                    <w:t>新增</w:t>
                  </w:r>
                </w:p>
              </w:tc>
            </w:tr>
            <w:tr w14:paraId="63C5F43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438" w:type="pct"/>
                  <w:vMerge w:val="continue"/>
                  <w:vAlign w:val="center"/>
                </w:tcPr>
                <w:p w14:paraId="3CEC6EAB">
                  <w:pPr>
                    <w:spacing w:line="240" w:lineRule="auto"/>
                    <w:jc w:val="center"/>
                    <w:rPr>
                      <w:color w:val="auto"/>
                      <w:highlight w:val="none"/>
                    </w:rPr>
                  </w:pPr>
                </w:p>
              </w:tc>
              <w:tc>
                <w:tcPr>
                  <w:tcW w:w="822" w:type="pct"/>
                  <w:vAlign w:val="center"/>
                </w:tcPr>
                <w:p w14:paraId="4B6F8C78">
                  <w:pPr>
                    <w:spacing w:line="240" w:lineRule="auto"/>
                    <w:jc w:val="center"/>
                    <w:rPr>
                      <w:color w:val="auto"/>
                      <w:highlight w:val="none"/>
                    </w:rPr>
                  </w:pPr>
                  <w:r>
                    <w:rPr>
                      <w:color w:val="auto"/>
                      <w:highlight w:val="none"/>
                    </w:rPr>
                    <w:t>固废</w:t>
                  </w:r>
                </w:p>
              </w:tc>
              <w:tc>
                <w:tcPr>
                  <w:tcW w:w="3089" w:type="pct"/>
                  <w:gridSpan w:val="2"/>
                  <w:vAlign w:val="center"/>
                </w:tcPr>
                <w:p w14:paraId="3EFD8617">
                  <w:pPr>
                    <w:spacing w:line="240" w:lineRule="auto"/>
                    <w:rPr>
                      <w:color w:val="auto"/>
                      <w:highlight w:val="none"/>
                    </w:rPr>
                  </w:pPr>
                  <w:r>
                    <w:rPr>
                      <w:rFonts w:hint="eastAsia"/>
                      <w:color w:val="auto"/>
                      <w:highlight w:val="none"/>
                      <w:lang w:val="en-US" w:eastAsia="zh-CN"/>
                    </w:rPr>
                    <w:t>下料、打磨工序产生的</w:t>
                  </w:r>
                  <w:r>
                    <w:rPr>
                      <w:rFonts w:hint="eastAsia"/>
                      <w:color w:val="auto"/>
                      <w:highlight w:val="none"/>
                    </w:rPr>
                    <w:t>氧化铁屑</w:t>
                  </w:r>
                  <w:r>
                    <w:rPr>
                      <w:rFonts w:hint="eastAsia"/>
                      <w:color w:val="auto"/>
                      <w:highlight w:val="none"/>
                      <w:lang w:eastAsia="zh-CN"/>
                    </w:rPr>
                    <w:t>，</w:t>
                  </w:r>
                  <w:r>
                    <w:rPr>
                      <w:color w:val="auto"/>
                      <w:highlight w:val="none"/>
                    </w:rPr>
                    <w:t>抛丸工序产生的废</w:t>
                  </w:r>
                  <w:r>
                    <w:rPr>
                      <w:rFonts w:hint="eastAsia"/>
                      <w:color w:val="auto"/>
                      <w:highlight w:val="none"/>
                    </w:rPr>
                    <w:t>钢丸、氧化铁屑，</w:t>
                  </w:r>
                  <w:r>
                    <w:rPr>
                      <w:rFonts w:hint="eastAsia"/>
                      <w:color w:val="auto"/>
                      <w:highlight w:val="none"/>
                      <w:lang w:val="en-US" w:eastAsia="zh-CN"/>
                    </w:rPr>
                    <w:t>生产过程中产生的</w:t>
                  </w:r>
                  <w:r>
                    <w:rPr>
                      <w:rFonts w:hint="eastAsia" w:ascii="Times New Roman" w:hAnsi="Times New Roman" w:cs="Times New Roman"/>
                      <w:color w:val="auto"/>
                      <w:sz w:val="21"/>
                      <w:szCs w:val="21"/>
                      <w:highlight w:val="none"/>
                    </w:rPr>
                    <w:t>不合格产品</w:t>
                  </w:r>
                  <w:r>
                    <w:rPr>
                      <w:rFonts w:hint="eastAsia" w:cs="Times New Roman"/>
                      <w:color w:val="auto"/>
                      <w:sz w:val="21"/>
                      <w:szCs w:val="21"/>
                      <w:highlight w:val="none"/>
                      <w:lang w:eastAsia="zh-CN"/>
                    </w:rPr>
                    <w:t>，</w:t>
                  </w:r>
                  <w:r>
                    <w:rPr>
                      <w:color w:val="auto"/>
                      <w:highlight w:val="none"/>
                    </w:rPr>
                    <w:t>滤筒除尘器产生的除尘灰</w:t>
                  </w:r>
                  <w:r>
                    <w:rPr>
                      <w:rFonts w:hint="eastAsia"/>
                      <w:color w:val="auto"/>
                      <w:highlight w:val="none"/>
                    </w:rPr>
                    <w:t>、</w:t>
                  </w:r>
                  <w:r>
                    <w:rPr>
                      <w:color w:val="auto"/>
                      <w:highlight w:val="none"/>
                    </w:rPr>
                    <w:t>废滤筒</w:t>
                  </w:r>
                  <w:r>
                    <w:rPr>
                      <w:rFonts w:hint="eastAsia"/>
                      <w:color w:val="auto"/>
                      <w:highlight w:val="none"/>
                    </w:rPr>
                    <w:t>，</w:t>
                  </w:r>
                  <w:r>
                    <w:rPr>
                      <w:color w:val="auto"/>
                      <w:highlight w:val="none"/>
                    </w:rPr>
                    <w:t>集中收集后</w:t>
                  </w:r>
                  <w:r>
                    <w:rPr>
                      <w:rFonts w:hint="eastAsia"/>
                      <w:color w:val="auto"/>
                      <w:highlight w:val="none"/>
                    </w:rPr>
                    <w:t>外售；</w:t>
                  </w:r>
                  <w:r>
                    <w:rPr>
                      <w:color w:val="auto"/>
                      <w:highlight w:val="none"/>
                    </w:rPr>
                    <w:t>危险废物</w:t>
                  </w:r>
                  <w:r>
                    <w:rPr>
                      <w:rFonts w:hint="eastAsia"/>
                      <w:color w:val="auto"/>
                      <w:highlight w:val="none"/>
                      <w:lang w:eastAsia="zh-CN"/>
                    </w:rPr>
                    <w:t>废润滑油、废液压油、废油桶、废含油抹布</w:t>
                  </w:r>
                  <w:r>
                    <w:rPr>
                      <w:rFonts w:hint="eastAsia"/>
                      <w:color w:val="auto"/>
                      <w:highlight w:val="none"/>
                    </w:rPr>
                    <w:t>，</w:t>
                  </w:r>
                  <w:r>
                    <w:rPr>
                      <w:color w:val="auto"/>
                      <w:highlight w:val="none"/>
                    </w:rPr>
                    <w:t>暂存于危废间，交由有资质单位集中处理</w:t>
                  </w:r>
                </w:p>
              </w:tc>
              <w:tc>
                <w:tcPr>
                  <w:tcW w:w="648" w:type="pct"/>
                  <w:vAlign w:val="center"/>
                </w:tcPr>
                <w:p w14:paraId="0ACCC3D3">
                  <w:pPr>
                    <w:spacing w:line="240" w:lineRule="auto"/>
                    <w:jc w:val="center"/>
                    <w:rPr>
                      <w:color w:val="auto"/>
                      <w:highlight w:val="none"/>
                    </w:rPr>
                  </w:pPr>
                  <w:r>
                    <w:rPr>
                      <w:rFonts w:hint="eastAsia"/>
                      <w:color w:val="auto"/>
                      <w:highlight w:val="none"/>
                    </w:rPr>
                    <w:t>新增</w:t>
                  </w:r>
                </w:p>
              </w:tc>
            </w:tr>
            <w:tr w14:paraId="0CD10EC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438" w:type="pct"/>
                  <w:vMerge w:val="continue"/>
                  <w:vAlign w:val="center"/>
                </w:tcPr>
                <w:p w14:paraId="247A2FD7">
                  <w:pPr>
                    <w:spacing w:line="240" w:lineRule="auto"/>
                    <w:jc w:val="center"/>
                    <w:rPr>
                      <w:color w:val="auto"/>
                      <w:highlight w:val="yellow"/>
                    </w:rPr>
                  </w:pPr>
                </w:p>
              </w:tc>
              <w:tc>
                <w:tcPr>
                  <w:tcW w:w="822" w:type="pct"/>
                  <w:vAlign w:val="center"/>
                </w:tcPr>
                <w:p w14:paraId="5E4DEEA2">
                  <w:pPr>
                    <w:spacing w:line="240" w:lineRule="auto"/>
                    <w:jc w:val="center"/>
                    <w:rPr>
                      <w:rFonts w:hint="default" w:eastAsia="宋体"/>
                      <w:color w:val="auto"/>
                      <w:highlight w:val="none"/>
                      <w:lang w:val="en-US" w:eastAsia="zh-CN"/>
                    </w:rPr>
                  </w:pPr>
                  <w:r>
                    <w:rPr>
                      <w:rFonts w:hint="eastAsia"/>
                      <w:color w:val="auto"/>
                      <w:highlight w:val="none"/>
                      <w:lang w:val="en-US" w:eastAsia="zh-CN"/>
                    </w:rPr>
                    <w:t>防渗</w:t>
                  </w:r>
                </w:p>
              </w:tc>
              <w:tc>
                <w:tcPr>
                  <w:tcW w:w="3089" w:type="pct"/>
                  <w:gridSpan w:val="2"/>
                  <w:vAlign w:val="center"/>
                </w:tcPr>
                <w:p w14:paraId="618D55C9">
                  <w:pPr>
                    <w:pStyle w:val="116"/>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cs="宋体"/>
                      <w:color w:val="auto"/>
                      <w:highlight w:val="none"/>
                    </w:rPr>
                  </w:pPr>
                  <w:r>
                    <w:rPr>
                      <w:rFonts w:hint="eastAsia" w:cs="宋体"/>
                      <w:color w:val="auto"/>
                      <w:highlight w:val="none"/>
                    </w:rPr>
                    <w:t>简单防渗区：如办公区等其他辅助区域，只需进行地面硬化或绿化，不要求防渗系数。本项目依托企业</w:t>
                  </w:r>
                  <w:r>
                    <w:rPr>
                      <w:rFonts w:cs="宋体"/>
                      <w:color w:val="auto"/>
                      <w:highlight w:val="none"/>
                    </w:rPr>
                    <w:t>现有办公楼</w:t>
                  </w:r>
                  <w:r>
                    <w:rPr>
                      <w:rFonts w:hint="eastAsia" w:cs="宋体"/>
                      <w:color w:val="auto"/>
                      <w:highlight w:val="none"/>
                    </w:rPr>
                    <w:t>，</w:t>
                  </w:r>
                  <w:r>
                    <w:rPr>
                      <w:rFonts w:cs="宋体"/>
                      <w:color w:val="auto"/>
                      <w:highlight w:val="none"/>
                    </w:rPr>
                    <w:t>已</w:t>
                  </w:r>
                  <w:r>
                    <w:rPr>
                      <w:rFonts w:hint="eastAsia" w:cs="宋体"/>
                      <w:color w:val="auto"/>
                      <w:highlight w:val="none"/>
                      <w:lang w:eastAsia="zh-CN"/>
                    </w:rPr>
                    <w:t>作</w:t>
                  </w:r>
                  <w:r>
                    <w:rPr>
                      <w:rFonts w:cs="宋体"/>
                      <w:color w:val="auto"/>
                      <w:highlight w:val="none"/>
                    </w:rPr>
                    <w:t>简单防渗处理</w:t>
                  </w:r>
                  <w:r>
                    <w:rPr>
                      <w:rFonts w:hint="eastAsia" w:cs="宋体"/>
                      <w:color w:val="auto"/>
                      <w:highlight w:val="none"/>
                    </w:rPr>
                    <w:t>，</w:t>
                  </w:r>
                  <w:r>
                    <w:rPr>
                      <w:rFonts w:cs="宋体"/>
                      <w:color w:val="auto"/>
                      <w:highlight w:val="none"/>
                    </w:rPr>
                    <w:t>满足要求</w:t>
                  </w:r>
                  <w:r>
                    <w:rPr>
                      <w:rFonts w:hint="eastAsia" w:cs="宋体"/>
                      <w:color w:val="auto"/>
                      <w:highlight w:val="none"/>
                    </w:rPr>
                    <w:t>。</w:t>
                  </w:r>
                </w:p>
                <w:p w14:paraId="368EB088">
                  <w:pPr>
                    <w:pStyle w:val="116"/>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cs="宋体"/>
                      <w:color w:val="auto"/>
                      <w:highlight w:val="none"/>
                    </w:rPr>
                  </w:pPr>
                  <w:r>
                    <w:rPr>
                      <w:rFonts w:hint="eastAsia" w:cs="宋体"/>
                      <w:color w:val="auto"/>
                      <w:highlight w:val="none"/>
                    </w:rPr>
                    <w:t>一般污染防渗区：项目生产车间</w:t>
                  </w:r>
                  <w:r>
                    <w:rPr>
                      <w:rFonts w:hint="eastAsia" w:cs="宋体"/>
                      <w:color w:val="auto"/>
                      <w:highlight w:val="none"/>
                      <w:lang w:eastAsia="zh-CN"/>
                    </w:rPr>
                    <w:t>、</w:t>
                  </w:r>
                  <w:r>
                    <w:rPr>
                      <w:rFonts w:hint="eastAsia" w:cs="宋体"/>
                      <w:color w:val="auto"/>
                      <w:highlight w:val="none"/>
                      <w:lang w:val="en-US" w:eastAsia="zh-CN"/>
                    </w:rPr>
                    <w:t>成品库、热处理水池等</w:t>
                  </w:r>
                  <w:r>
                    <w:rPr>
                      <w:rFonts w:hint="eastAsia" w:cs="宋体"/>
                      <w:color w:val="auto"/>
                      <w:highlight w:val="none"/>
                    </w:rPr>
                    <w:t>，防渗性能等效黏土防渗层Mb≥1.5m，渗透系数k≤1×10</w:t>
                  </w:r>
                  <w:r>
                    <w:rPr>
                      <w:rFonts w:hint="eastAsia" w:cs="宋体"/>
                      <w:color w:val="auto"/>
                      <w:highlight w:val="none"/>
                      <w:vertAlign w:val="superscript"/>
                    </w:rPr>
                    <w:t>-7</w:t>
                  </w:r>
                  <w:r>
                    <w:rPr>
                      <w:rFonts w:hint="eastAsia" w:cs="宋体"/>
                      <w:color w:val="auto"/>
                      <w:highlight w:val="none"/>
                    </w:rPr>
                    <w:t>cm/s。</w:t>
                  </w:r>
                </w:p>
                <w:p w14:paraId="690BC48B">
                  <w:pPr>
                    <w:pStyle w:val="116"/>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color w:val="auto"/>
                      <w:highlight w:val="none"/>
                    </w:rPr>
                  </w:pPr>
                  <w:r>
                    <w:rPr>
                      <w:rFonts w:hint="eastAsia" w:cs="宋体"/>
                      <w:color w:val="auto"/>
                      <w:highlight w:val="none"/>
                    </w:rPr>
                    <w:t>重点污染防渗区：危废间，依托现有危废间，危废间采用坚固的材料建造，表面无裂缝，地面与裙角采取了表面防渗措施，铺设防渗材料，渗透系数k≤1×10</w:t>
                  </w:r>
                  <w:r>
                    <w:rPr>
                      <w:rFonts w:hint="eastAsia" w:cs="宋体"/>
                      <w:color w:val="auto"/>
                      <w:highlight w:val="none"/>
                      <w:vertAlign w:val="superscript"/>
                    </w:rPr>
                    <w:t>-10</w:t>
                  </w:r>
                  <w:r>
                    <w:rPr>
                      <w:rFonts w:hint="eastAsia" w:cs="宋体"/>
                      <w:color w:val="auto"/>
                      <w:highlight w:val="none"/>
                    </w:rPr>
                    <w:t>cm/s，满足防渗要求。</w:t>
                  </w:r>
                </w:p>
              </w:tc>
              <w:tc>
                <w:tcPr>
                  <w:tcW w:w="648" w:type="pct"/>
                  <w:vAlign w:val="center"/>
                </w:tcPr>
                <w:p w14:paraId="07B95B05">
                  <w:pPr>
                    <w:spacing w:line="240" w:lineRule="auto"/>
                    <w:jc w:val="center"/>
                    <w:rPr>
                      <w:rFonts w:hint="eastAsia"/>
                      <w:color w:val="auto"/>
                      <w:highlight w:val="none"/>
                    </w:rPr>
                  </w:pPr>
                  <w:r>
                    <w:rPr>
                      <w:rFonts w:hint="eastAsia"/>
                      <w:color w:val="auto"/>
                      <w:highlight w:val="none"/>
                    </w:rPr>
                    <w:t>/</w:t>
                  </w:r>
                </w:p>
              </w:tc>
            </w:tr>
          </w:tbl>
          <w:p w14:paraId="504C406B">
            <w:pPr>
              <w:pStyle w:val="116"/>
              <w:spacing w:beforeLines="50"/>
              <w:ind w:firstLine="420"/>
              <w:rPr>
                <w:color w:val="auto"/>
              </w:rPr>
            </w:pPr>
            <w:r>
              <w:rPr>
                <w:color w:val="auto"/>
              </w:rPr>
              <w:t>本项目建筑物指标情况见下表。</w:t>
            </w:r>
          </w:p>
          <w:p w14:paraId="6420BBB1">
            <w:pPr>
              <w:pStyle w:val="10"/>
              <w:rPr>
                <w:color w:val="auto"/>
              </w:rPr>
            </w:pPr>
            <w:r>
              <w:rPr>
                <w:rFonts w:hint="eastAsia"/>
                <w:color w:val="auto"/>
              </w:rPr>
              <w:t>表2</w:t>
            </w:r>
            <w:r>
              <w:rPr>
                <w:rFonts w:hint="eastAsia"/>
                <w:color w:val="auto"/>
                <w:lang w:eastAsia="zh-CN"/>
              </w:rPr>
              <w:t>-</w:t>
            </w:r>
            <w:r>
              <w:rPr>
                <w:color w:val="auto"/>
              </w:rPr>
              <w:fldChar w:fldCharType="begin"/>
            </w:r>
            <w:r>
              <w:rPr>
                <w:color w:val="auto"/>
              </w:rPr>
              <w:instrText xml:space="preserve"> </w:instrText>
            </w:r>
            <w:r>
              <w:rPr>
                <w:rFonts w:hint="eastAsia"/>
                <w:color w:val="auto"/>
              </w:rPr>
              <w:instrText xml:space="preserve">SEQ 表2- \* ARABIC</w:instrText>
            </w:r>
            <w:r>
              <w:rPr>
                <w:color w:val="auto"/>
              </w:rPr>
              <w:instrText xml:space="preserve"> </w:instrText>
            </w:r>
            <w:r>
              <w:rPr>
                <w:color w:val="auto"/>
              </w:rPr>
              <w:fldChar w:fldCharType="separate"/>
            </w:r>
            <w:r>
              <w:rPr>
                <w:color w:val="auto"/>
              </w:rPr>
              <w:t>2</w:t>
            </w:r>
            <w:r>
              <w:rPr>
                <w:color w:val="auto"/>
              </w:rPr>
              <w:fldChar w:fldCharType="end"/>
            </w:r>
            <w:r>
              <w:rPr>
                <w:rFonts w:hint="eastAsia"/>
                <w:color w:val="auto"/>
                <w:szCs w:val="21"/>
                <w:lang w:val="en-US" w:eastAsia="zh-CN"/>
              </w:rPr>
              <w:t>本项目</w:t>
            </w:r>
            <w:r>
              <w:rPr>
                <w:color w:val="auto"/>
                <w:szCs w:val="21"/>
              </w:rPr>
              <w:t>建构筑物一览表</w:t>
            </w:r>
          </w:p>
          <w:tbl>
            <w:tblPr>
              <w:tblStyle w:val="33"/>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490"/>
              <w:gridCol w:w="1593"/>
              <w:gridCol w:w="2599"/>
              <w:gridCol w:w="688"/>
              <w:gridCol w:w="1192"/>
            </w:tblGrid>
            <w:tr w14:paraId="6CE9D65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41" w:type="pct"/>
                  <w:gridSpan w:val="2"/>
                  <w:noWrap/>
                  <w:vAlign w:val="center"/>
                </w:tcPr>
                <w:p w14:paraId="225D9B39">
                  <w:pPr>
                    <w:spacing w:line="240" w:lineRule="auto"/>
                    <w:jc w:val="center"/>
                    <w:rPr>
                      <w:color w:val="auto"/>
                      <w:szCs w:val="21"/>
                      <w:highlight w:val="none"/>
                    </w:rPr>
                  </w:pPr>
                  <w:r>
                    <w:rPr>
                      <w:color w:val="auto"/>
                      <w:szCs w:val="21"/>
                      <w:highlight w:val="none"/>
                    </w:rPr>
                    <w:t>建筑物名称</w:t>
                  </w:r>
                </w:p>
              </w:tc>
              <w:tc>
                <w:tcPr>
                  <w:tcW w:w="959" w:type="pct"/>
                  <w:noWrap/>
                  <w:vAlign w:val="center"/>
                </w:tcPr>
                <w:p w14:paraId="376253A4">
                  <w:pPr>
                    <w:spacing w:line="240" w:lineRule="auto"/>
                    <w:jc w:val="center"/>
                    <w:rPr>
                      <w:color w:val="auto"/>
                      <w:szCs w:val="21"/>
                      <w:highlight w:val="none"/>
                    </w:rPr>
                  </w:pPr>
                  <w:r>
                    <w:rPr>
                      <w:rFonts w:hint="eastAsia"/>
                      <w:color w:val="auto"/>
                      <w:szCs w:val="21"/>
                      <w:highlight w:val="none"/>
                    </w:rPr>
                    <w:t>占地</w:t>
                  </w:r>
                  <w:r>
                    <w:rPr>
                      <w:color w:val="auto"/>
                      <w:szCs w:val="21"/>
                      <w:highlight w:val="none"/>
                    </w:rPr>
                    <w:t>面积</w:t>
                  </w:r>
                  <w:r>
                    <w:rPr>
                      <w:rFonts w:hint="eastAsia"/>
                      <w:color w:val="auto"/>
                      <w:szCs w:val="21"/>
                      <w:highlight w:val="none"/>
                    </w:rPr>
                    <w:t>（m</w:t>
                  </w:r>
                  <w:r>
                    <w:rPr>
                      <w:rFonts w:hint="eastAsia"/>
                      <w:color w:val="auto"/>
                      <w:szCs w:val="21"/>
                      <w:highlight w:val="none"/>
                      <w:vertAlign w:val="superscript"/>
                    </w:rPr>
                    <w:t>2</w:t>
                  </w:r>
                  <w:r>
                    <w:rPr>
                      <w:rFonts w:hint="eastAsia"/>
                      <w:color w:val="auto"/>
                      <w:szCs w:val="21"/>
                      <w:highlight w:val="none"/>
                    </w:rPr>
                    <w:t>）</w:t>
                  </w:r>
                </w:p>
              </w:tc>
              <w:tc>
                <w:tcPr>
                  <w:tcW w:w="1565" w:type="pct"/>
                  <w:noWrap/>
                  <w:vAlign w:val="center"/>
                </w:tcPr>
                <w:p w14:paraId="7835CE13">
                  <w:pPr>
                    <w:spacing w:line="240" w:lineRule="auto"/>
                    <w:jc w:val="center"/>
                    <w:rPr>
                      <w:color w:val="auto"/>
                      <w:szCs w:val="21"/>
                      <w:highlight w:val="none"/>
                    </w:rPr>
                  </w:pPr>
                  <w:r>
                    <w:rPr>
                      <w:color w:val="auto"/>
                      <w:szCs w:val="21"/>
                      <w:highlight w:val="none"/>
                    </w:rPr>
                    <w:t>围护结构形式</w:t>
                  </w:r>
                </w:p>
              </w:tc>
              <w:tc>
                <w:tcPr>
                  <w:tcW w:w="414" w:type="pct"/>
                  <w:noWrap/>
                  <w:vAlign w:val="center"/>
                </w:tcPr>
                <w:p w14:paraId="79A618E5">
                  <w:pPr>
                    <w:spacing w:line="240" w:lineRule="auto"/>
                    <w:jc w:val="center"/>
                    <w:rPr>
                      <w:color w:val="auto"/>
                      <w:szCs w:val="21"/>
                      <w:highlight w:val="none"/>
                    </w:rPr>
                  </w:pPr>
                  <w:r>
                    <w:rPr>
                      <w:color w:val="auto"/>
                      <w:szCs w:val="21"/>
                      <w:highlight w:val="none"/>
                    </w:rPr>
                    <w:t>层数</w:t>
                  </w:r>
                </w:p>
              </w:tc>
              <w:tc>
                <w:tcPr>
                  <w:tcW w:w="718" w:type="pct"/>
                  <w:noWrap/>
                  <w:vAlign w:val="center"/>
                </w:tcPr>
                <w:p w14:paraId="44EC8219">
                  <w:pPr>
                    <w:spacing w:line="240" w:lineRule="auto"/>
                    <w:jc w:val="center"/>
                    <w:rPr>
                      <w:color w:val="auto"/>
                      <w:szCs w:val="21"/>
                      <w:highlight w:val="none"/>
                    </w:rPr>
                  </w:pPr>
                  <w:r>
                    <w:rPr>
                      <w:color w:val="auto"/>
                      <w:szCs w:val="21"/>
                      <w:highlight w:val="none"/>
                    </w:rPr>
                    <w:t>备注</w:t>
                  </w:r>
                </w:p>
              </w:tc>
            </w:tr>
            <w:tr w14:paraId="3B020BA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341" w:type="pct"/>
                  <w:gridSpan w:val="2"/>
                  <w:noWrap/>
                  <w:vAlign w:val="center"/>
                </w:tcPr>
                <w:p w14:paraId="539DBF45">
                  <w:pPr>
                    <w:adjustRightInd w:val="0"/>
                    <w:spacing w:line="240" w:lineRule="auto"/>
                    <w:jc w:val="center"/>
                    <w:textAlignment w:val="baseline"/>
                    <w:rPr>
                      <w:rFonts w:hint="eastAsia"/>
                      <w:color w:val="auto"/>
                      <w:szCs w:val="21"/>
                      <w:highlight w:val="none"/>
                    </w:rPr>
                  </w:pPr>
                  <w:r>
                    <w:rPr>
                      <w:rFonts w:hint="eastAsia"/>
                      <w:color w:val="auto"/>
                      <w:szCs w:val="21"/>
                      <w:highlight w:val="none"/>
                    </w:rPr>
                    <w:t>总建筑面积</w:t>
                  </w:r>
                </w:p>
              </w:tc>
              <w:tc>
                <w:tcPr>
                  <w:tcW w:w="959" w:type="pct"/>
                  <w:noWrap/>
                  <w:vAlign w:val="center"/>
                </w:tcPr>
                <w:p w14:paraId="639FBE66">
                  <w:pPr>
                    <w:autoSpaceDE w:val="0"/>
                    <w:autoSpaceDN w:val="0"/>
                    <w:adjustRightInd w:val="0"/>
                    <w:spacing w:line="240" w:lineRule="auto"/>
                    <w:jc w:val="center"/>
                    <w:rPr>
                      <w:rFonts w:hint="eastAsia"/>
                      <w:color w:val="auto"/>
                      <w:szCs w:val="21"/>
                      <w:highlight w:val="none"/>
                    </w:rPr>
                  </w:pPr>
                  <w:r>
                    <w:rPr>
                      <w:rFonts w:hint="default"/>
                      <w:color w:val="auto"/>
                      <w:szCs w:val="21"/>
                      <w:highlight w:val="none"/>
                      <w:lang w:val="en-US" w:eastAsia="zh-CN"/>
                    </w:rPr>
                    <w:t>33473.76</w:t>
                  </w:r>
                </w:p>
              </w:tc>
              <w:tc>
                <w:tcPr>
                  <w:tcW w:w="1565" w:type="pct"/>
                  <w:noWrap/>
                  <w:vAlign w:val="center"/>
                </w:tcPr>
                <w:p w14:paraId="2A4A9D26">
                  <w:pPr>
                    <w:autoSpaceDE w:val="0"/>
                    <w:autoSpaceDN w:val="0"/>
                    <w:adjustRightInd w:val="0"/>
                    <w:spacing w:line="240" w:lineRule="auto"/>
                    <w:jc w:val="center"/>
                    <w:rPr>
                      <w:rFonts w:hint="eastAsia"/>
                      <w:color w:val="auto"/>
                      <w:szCs w:val="21"/>
                      <w:highlight w:val="none"/>
                    </w:rPr>
                  </w:pPr>
                </w:p>
              </w:tc>
              <w:tc>
                <w:tcPr>
                  <w:tcW w:w="414" w:type="pct"/>
                  <w:noWrap/>
                  <w:vAlign w:val="center"/>
                </w:tcPr>
                <w:p w14:paraId="5DF513BA">
                  <w:pPr>
                    <w:autoSpaceDE w:val="0"/>
                    <w:autoSpaceDN w:val="0"/>
                    <w:adjustRightInd w:val="0"/>
                    <w:spacing w:line="240" w:lineRule="auto"/>
                    <w:jc w:val="center"/>
                    <w:rPr>
                      <w:rFonts w:hint="eastAsia"/>
                      <w:color w:val="auto"/>
                      <w:szCs w:val="21"/>
                      <w:highlight w:val="none"/>
                    </w:rPr>
                  </w:pPr>
                  <w:r>
                    <w:rPr>
                      <w:rFonts w:hint="eastAsia"/>
                      <w:color w:val="auto"/>
                      <w:szCs w:val="21"/>
                      <w:highlight w:val="none"/>
                    </w:rPr>
                    <w:t>1</w:t>
                  </w:r>
                </w:p>
              </w:tc>
              <w:tc>
                <w:tcPr>
                  <w:tcW w:w="718" w:type="pct"/>
                  <w:shd w:val="clear" w:color="auto" w:fill="auto"/>
                  <w:noWrap/>
                  <w:vAlign w:val="center"/>
                </w:tcPr>
                <w:p w14:paraId="325DEA22">
                  <w:pPr>
                    <w:spacing w:line="240" w:lineRule="auto"/>
                    <w:jc w:val="center"/>
                    <w:rPr>
                      <w:rFonts w:hint="eastAsia"/>
                      <w:color w:val="auto"/>
                      <w:highlight w:val="none"/>
                      <w:lang w:val="en-US" w:eastAsia="zh-CN"/>
                    </w:rPr>
                  </w:pPr>
                  <w:r>
                    <w:rPr>
                      <w:rFonts w:hint="eastAsia"/>
                      <w:color w:val="auto"/>
                      <w:highlight w:val="none"/>
                      <w:lang w:val="en-US" w:eastAsia="zh-CN"/>
                    </w:rPr>
                    <w:t>新建</w:t>
                  </w:r>
                </w:p>
              </w:tc>
            </w:tr>
            <w:tr w14:paraId="5AB1F41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341" w:type="pct"/>
                  <w:gridSpan w:val="2"/>
                  <w:noWrap/>
                  <w:vAlign w:val="center"/>
                </w:tcPr>
                <w:p w14:paraId="6DC4BD8F">
                  <w:pPr>
                    <w:adjustRightInd w:val="0"/>
                    <w:spacing w:line="240" w:lineRule="auto"/>
                    <w:jc w:val="center"/>
                    <w:textAlignment w:val="baseline"/>
                    <w:rPr>
                      <w:rFonts w:hint="eastAsia"/>
                      <w:color w:val="auto"/>
                      <w:szCs w:val="21"/>
                      <w:highlight w:val="none"/>
                    </w:rPr>
                  </w:pPr>
                  <w:r>
                    <w:rPr>
                      <w:rFonts w:hint="eastAsia"/>
                      <w:color w:val="auto"/>
                      <w:szCs w:val="21"/>
                      <w:highlight w:val="none"/>
                    </w:rPr>
                    <w:t>地上建筑面积</w:t>
                  </w:r>
                </w:p>
              </w:tc>
              <w:tc>
                <w:tcPr>
                  <w:tcW w:w="959" w:type="pct"/>
                  <w:noWrap/>
                  <w:vAlign w:val="center"/>
                </w:tcPr>
                <w:p w14:paraId="363D3ED8">
                  <w:pPr>
                    <w:autoSpaceDE w:val="0"/>
                    <w:autoSpaceDN w:val="0"/>
                    <w:adjustRightInd w:val="0"/>
                    <w:spacing w:line="240" w:lineRule="auto"/>
                    <w:jc w:val="center"/>
                    <w:rPr>
                      <w:rFonts w:hint="eastAsia"/>
                      <w:color w:val="auto"/>
                      <w:szCs w:val="21"/>
                      <w:highlight w:val="none"/>
                    </w:rPr>
                  </w:pPr>
                  <w:r>
                    <w:rPr>
                      <w:rFonts w:hint="default"/>
                      <w:color w:val="auto"/>
                      <w:szCs w:val="21"/>
                      <w:highlight w:val="none"/>
                      <w:lang w:val="en-US" w:eastAsia="zh-CN"/>
                    </w:rPr>
                    <w:t>33211.26</w:t>
                  </w:r>
                </w:p>
              </w:tc>
              <w:tc>
                <w:tcPr>
                  <w:tcW w:w="1565" w:type="pct"/>
                  <w:noWrap/>
                  <w:vAlign w:val="center"/>
                </w:tcPr>
                <w:p w14:paraId="201144C5">
                  <w:pPr>
                    <w:autoSpaceDE w:val="0"/>
                    <w:autoSpaceDN w:val="0"/>
                    <w:adjustRightInd w:val="0"/>
                    <w:spacing w:line="240" w:lineRule="auto"/>
                    <w:jc w:val="center"/>
                    <w:rPr>
                      <w:rFonts w:hint="eastAsia"/>
                      <w:color w:val="auto"/>
                      <w:szCs w:val="21"/>
                      <w:highlight w:val="none"/>
                    </w:rPr>
                  </w:pPr>
                </w:p>
              </w:tc>
              <w:tc>
                <w:tcPr>
                  <w:tcW w:w="414" w:type="pct"/>
                  <w:noWrap/>
                  <w:vAlign w:val="center"/>
                </w:tcPr>
                <w:p w14:paraId="5841B6CC">
                  <w:pPr>
                    <w:autoSpaceDE w:val="0"/>
                    <w:autoSpaceDN w:val="0"/>
                    <w:adjustRightInd w:val="0"/>
                    <w:spacing w:line="240" w:lineRule="auto"/>
                    <w:jc w:val="center"/>
                    <w:rPr>
                      <w:rFonts w:hint="eastAsia"/>
                      <w:color w:val="auto"/>
                      <w:szCs w:val="21"/>
                      <w:highlight w:val="none"/>
                    </w:rPr>
                  </w:pPr>
                  <w:r>
                    <w:rPr>
                      <w:rFonts w:hint="eastAsia"/>
                      <w:color w:val="auto"/>
                      <w:szCs w:val="21"/>
                      <w:highlight w:val="none"/>
                    </w:rPr>
                    <w:t>1</w:t>
                  </w:r>
                </w:p>
              </w:tc>
              <w:tc>
                <w:tcPr>
                  <w:tcW w:w="718" w:type="pct"/>
                  <w:shd w:val="clear" w:color="auto" w:fill="auto"/>
                  <w:noWrap/>
                  <w:vAlign w:val="center"/>
                </w:tcPr>
                <w:p w14:paraId="7523CACE">
                  <w:pPr>
                    <w:spacing w:line="240" w:lineRule="auto"/>
                    <w:jc w:val="center"/>
                    <w:rPr>
                      <w:rFonts w:hint="eastAsia"/>
                      <w:color w:val="auto"/>
                      <w:highlight w:val="none"/>
                      <w:lang w:val="en-US" w:eastAsia="zh-CN"/>
                    </w:rPr>
                  </w:pPr>
                  <w:r>
                    <w:rPr>
                      <w:rFonts w:hint="eastAsia"/>
                      <w:color w:val="auto"/>
                      <w:highlight w:val="none"/>
                      <w:lang w:val="en-US" w:eastAsia="zh-CN"/>
                    </w:rPr>
                    <w:t>新建</w:t>
                  </w:r>
                </w:p>
              </w:tc>
            </w:tr>
            <w:tr w14:paraId="611F690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4" w:type="pct"/>
                  <w:vMerge w:val="restart"/>
                  <w:noWrap/>
                  <w:vAlign w:val="center"/>
                </w:tcPr>
                <w:p w14:paraId="0CF747AE">
                  <w:pPr>
                    <w:autoSpaceDE w:val="0"/>
                    <w:autoSpaceDN w:val="0"/>
                    <w:adjustRightInd w:val="0"/>
                    <w:spacing w:line="240" w:lineRule="auto"/>
                    <w:jc w:val="center"/>
                    <w:rPr>
                      <w:rFonts w:hint="eastAsia" w:eastAsia="宋体"/>
                      <w:color w:val="auto"/>
                      <w:szCs w:val="21"/>
                      <w:highlight w:val="none"/>
                      <w:lang w:eastAsia="zh-CN"/>
                    </w:rPr>
                  </w:pPr>
                  <w:r>
                    <w:rPr>
                      <w:rFonts w:hint="eastAsia"/>
                      <w:color w:val="auto"/>
                      <w:szCs w:val="21"/>
                      <w:highlight w:val="none"/>
                      <w:lang w:val="en-US" w:eastAsia="zh-CN"/>
                    </w:rPr>
                    <w:t>其中</w:t>
                  </w:r>
                </w:p>
              </w:tc>
              <w:tc>
                <w:tcPr>
                  <w:tcW w:w="897" w:type="pct"/>
                  <w:noWrap/>
                  <w:vAlign w:val="center"/>
                </w:tcPr>
                <w:p w14:paraId="7B4AC6EB">
                  <w:pPr>
                    <w:adjustRightInd w:val="0"/>
                    <w:spacing w:line="240" w:lineRule="auto"/>
                    <w:jc w:val="center"/>
                    <w:textAlignment w:val="baseline"/>
                    <w:rPr>
                      <w:color w:val="auto"/>
                      <w:szCs w:val="21"/>
                      <w:highlight w:val="none"/>
                    </w:rPr>
                  </w:pPr>
                  <w:r>
                    <w:rPr>
                      <w:rFonts w:hint="eastAsia"/>
                      <w:color w:val="auto"/>
                      <w:szCs w:val="21"/>
                      <w:highlight w:val="none"/>
                    </w:rPr>
                    <w:t>高压管汇车间</w:t>
                  </w:r>
                </w:p>
              </w:tc>
              <w:tc>
                <w:tcPr>
                  <w:tcW w:w="959" w:type="pct"/>
                  <w:noWrap/>
                  <w:vAlign w:val="center"/>
                </w:tcPr>
                <w:p w14:paraId="399C9F5E">
                  <w:pPr>
                    <w:autoSpaceDE w:val="0"/>
                    <w:autoSpaceDN w:val="0"/>
                    <w:adjustRightInd w:val="0"/>
                    <w:spacing w:line="240" w:lineRule="auto"/>
                    <w:jc w:val="center"/>
                    <w:rPr>
                      <w:rFonts w:hint="eastAsia"/>
                      <w:color w:val="auto"/>
                      <w:szCs w:val="21"/>
                      <w:highlight w:val="none"/>
                    </w:rPr>
                  </w:pPr>
                  <w:r>
                    <w:rPr>
                      <w:rFonts w:hint="default"/>
                      <w:color w:val="auto"/>
                      <w:szCs w:val="21"/>
                      <w:highlight w:val="none"/>
                      <w:lang w:val="en-US" w:eastAsia="zh-CN"/>
                    </w:rPr>
                    <w:t>10961.17</w:t>
                  </w:r>
                </w:p>
              </w:tc>
              <w:tc>
                <w:tcPr>
                  <w:tcW w:w="1565" w:type="pct"/>
                  <w:noWrap/>
                  <w:vAlign w:val="center"/>
                </w:tcPr>
                <w:p w14:paraId="3C98A4B6">
                  <w:pPr>
                    <w:autoSpaceDE w:val="0"/>
                    <w:autoSpaceDN w:val="0"/>
                    <w:adjustRightInd w:val="0"/>
                    <w:spacing w:line="240" w:lineRule="auto"/>
                    <w:jc w:val="center"/>
                    <w:rPr>
                      <w:color w:val="auto"/>
                      <w:szCs w:val="21"/>
                      <w:highlight w:val="none"/>
                    </w:rPr>
                  </w:pPr>
                  <w:r>
                    <w:rPr>
                      <w:rFonts w:hint="eastAsia"/>
                      <w:color w:val="auto"/>
                      <w:szCs w:val="21"/>
                      <w:highlight w:val="none"/>
                    </w:rPr>
                    <w:t>单层，高</w:t>
                  </w:r>
                  <w:r>
                    <w:rPr>
                      <w:rFonts w:hint="eastAsia"/>
                      <w:color w:val="auto"/>
                      <w:szCs w:val="21"/>
                      <w:highlight w:val="none"/>
                      <w:lang w:val="en-US" w:eastAsia="zh-CN"/>
                    </w:rPr>
                    <w:t>16.3</w:t>
                  </w:r>
                  <w:r>
                    <w:rPr>
                      <w:rFonts w:hint="eastAsia"/>
                      <w:color w:val="auto"/>
                      <w:szCs w:val="21"/>
                      <w:highlight w:val="none"/>
                    </w:rPr>
                    <w:t>m，钢结构</w:t>
                  </w:r>
                </w:p>
              </w:tc>
              <w:tc>
                <w:tcPr>
                  <w:tcW w:w="414" w:type="pct"/>
                  <w:noWrap/>
                  <w:vAlign w:val="center"/>
                </w:tcPr>
                <w:p w14:paraId="23483DF9">
                  <w:pPr>
                    <w:autoSpaceDE w:val="0"/>
                    <w:autoSpaceDN w:val="0"/>
                    <w:adjustRightInd w:val="0"/>
                    <w:spacing w:line="240" w:lineRule="auto"/>
                    <w:jc w:val="center"/>
                    <w:rPr>
                      <w:color w:val="auto"/>
                      <w:szCs w:val="21"/>
                      <w:highlight w:val="none"/>
                    </w:rPr>
                  </w:pPr>
                  <w:r>
                    <w:rPr>
                      <w:rFonts w:hint="eastAsia"/>
                      <w:color w:val="auto"/>
                      <w:szCs w:val="21"/>
                      <w:highlight w:val="none"/>
                    </w:rPr>
                    <w:t>1</w:t>
                  </w:r>
                </w:p>
              </w:tc>
              <w:tc>
                <w:tcPr>
                  <w:tcW w:w="718" w:type="pct"/>
                  <w:shd w:val="clear" w:color="auto" w:fill="auto"/>
                  <w:noWrap/>
                  <w:vAlign w:val="center"/>
                </w:tcPr>
                <w:p w14:paraId="643320E5">
                  <w:pPr>
                    <w:spacing w:line="240" w:lineRule="auto"/>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现有</w:t>
                  </w:r>
                </w:p>
              </w:tc>
            </w:tr>
            <w:tr w14:paraId="0325157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444" w:type="pct"/>
                  <w:vMerge w:val="continue"/>
                  <w:noWrap/>
                  <w:vAlign w:val="center"/>
                </w:tcPr>
                <w:p w14:paraId="1A33A446">
                  <w:pPr>
                    <w:autoSpaceDE w:val="0"/>
                    <w:autoSpaceDN w:val="0"/>
                    <w:adjustRightInd w:val="0"/>
                    <w:spacing w:line="240" w:lineRule="auto"/>
                    <w:jc w:val="center"/>
                    <w:rPr>
                      <w:color w:val="auto"/>
                      <w:szCs w:val="21"/>
                      <w:highlight w:val="none"/>
                    </w:rPr>
                  </w:pPr>
                </w:p>
              </w:tc>
              <w:tc>
                <w:tcPr>
                  <w:tcW w:w="897" w:type="pct"/>
                  <w:noWrap/>
                  <w:vAlign w:val="center"/>
                </w:tcPr>
                <w:p w14:paraId="06E0B1CC">
                  <w:pPr>
                    <w:adjustRightInd w:val="0"/>
                    <w:snapToGrid w:val="0"/>
                    <w:spacing w:line="240" w:lineRule="auto"/>
                    <w:jc w:val="center"/>
                    <w:rPr>
                      <w:color w:val="auto"/>
                      <w:szCs w:val="21"/>
                      <w:highlight w:val="none"/>
                    </w:rPr>
                  </w:pPr>
                  <w:r>
                    <w:rPr>
                      <w:rFonts w:hint="eastAsia"/>
                      <w:color w:val="auto"/>
                      <w:szCs w:val="21"/>
                      <w:highlight w:val="none"/>
                    </w:rPr>
                    <w:t>自由锻与热处理车间</w:t>
                  </w:r>
                </w:p>
              </w:tc>
              <w:tc>
                <w:tcPr>
                  <w:tcW w:w="959" w:type="pct"/>
                  <w:noWrap/>
                  <w:vAlign w:val="center"/>
                </w:tcPr>
                <w:p w14:paraId="4977C55F">
                  <w:pPr>
                    <w:autoSpaceDE w:val="0"/>
                    <w:autoSpaceDN w:val="0"/>
                    <w:adjustRightInd w:val="0"/>
                    <w:spacing w:line="240" w:lineRule="auto"/>
                    <w:jc w:val="center"/>
                    <w:rPr>
                      <w:rFonts w:hint="eastAsia"/>
                      <w:color w:val="auto"/>
                      <w:szCs w:val="21"/>
                      <w:highlight w:val="none"/>
                    </w:rPr>
                  </w:pPr>
                  <w:r>
                    <w:rPr>
                      <w:rFonts w:hint="default"/>
                      <w:color w:val="auto"/>
                      <w:szCs w:val="21"/>
                      <w:highlight w:val="none"/>
                      <w:lang w:val="en-US" w:eastAsia="zh-CN"/>
                    </w:rPr>
                    <w:t>19946.36</w:t>
                  </w:r>
                </w:p>
              </w:tc>
              <w:tc>
                <w:tcPr>
                  <w:tcW w:w="1565" w:type="pct"/>
                  <w:noWrap/>
                  <w:vAlign w:val="center"/>
                </w:tcPr>
                <w:p w14:paraId="19560A90">
                  <w:pPr>
                    <w:autoSpaceDE w:val="0"/>
                    <w:autoSpaceDN w:val="0"/>
                    <w:adjustRightInd w:val="0"/>
                    <w:spacing w:line="240" w:lineRule="auto"/>
                    <w:jc w:val="center"/>
                    <w:rPr>
                      <w:color w:val="auto"/>
                      <w:szCs w:val="21"/>
                      <w:highlight w:val="none"/>
                    </w:rPr>
                  </w:pPr>
                  <w:r>
                    <w:rPr>
                      <w:rFonts w:hint="eastAsia"/>
                      <w:color w:val="auto"/>
                      <w:szCs w:val="21"/>
                      <w:highlight w:val="none"/>
                    </w:rPr>
                    <w:t>单层，高2</w:t>
                  </w:r>
                  <w:r>
                    <w:rPr>
                      <w:rFonts w:hint="eastAsia"/>
                      <w:color w:val="auto"/>
                      <w:szCs w:val="21"/>
                      <w:highlight w:val="none"/>
                      <w:lang w:val="en-US" w:eastAsia="zh-CN"/>
                    </w:rPr>
                    <w:t>3.65</w:t>
                  </w:r>
                  <w:r>
                    <w:rPr>
                      <w:rFonts w:hint="eastAsia"/>
                      <w:color w:val="auto"/>
                      <w:szCs w:val="21"/>
                      <w:highlight w:val="none"/>
                    </w:rPr>
                    <w:t>m，钢结构</w:t>
                  </w:r>
                </w:p>
              </w:tc>
              <w:tc>
                <w:tcPr>
                  <w:tcW w:w="414" w:type="pct"/>
                  <w:noWrap/>
                  <w:vAlign w:val="center"/>
                </w:tcPr>
                <w:p w14:paraId="3625C412">
                  <w:pPr>
                    <w:autoSpaceDE w:val="0"/>
                    <w:autoSpaceDN w:val="0"/>
                    <w:adjustRightInd w:val="0"/>
                    <w:spacing w:line="240" w:lineRule="auto"/>
                    <w:jc w:val="center"/>
                    <w:rPr>
                      <w:color w:val="auto"/>
                      <w:szCs w:val="21"/>
                      <w:highlight w:val="none"/>
                    </w:rPr>
                  </w:pPr>
                  <w:r>
                    <w:rPr>
                      <w:rFonts w:hint="eastAsia"/>
                      <w:color w:val="auto"/>
                      <w:szCs w:val="21"/>
                      <w:highlight w:val="none"/>
                    </w:rPr>
                    <w:t>1</w:t>
                  </w:r>
                </w:p>
              </w:tc>
              <w:tc>
                <w:tcPr>
                  <w:tcW w:w="718" w:type="pct"/>
                  <w:shd w:val="clear" w:color="auto" w:fill="auto"/>
                  <w:noWrap/>
                  <w:vAlign w:val="center"/>
                </w:tcPr>
                <w:p w14:paraId="12CC8CD6">
                  <w:pPr>
                    <w:spacing w:line="240" w:lineRule="auto"/>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新建</w:t>
                  </w:r>
                </w:p>
              </w:tc>
            </w:tr>
            <w:tr w14:paraId="46399F0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9" w:hRule="atLeast"/>
              </w:trPr>
              <w:tc>
                <w:tcPr>
                  <w:tcW w:w="444" w:type="pct"/>
                  <w:vMerge w:val="continue"/>
                  <w:noWrap/>
                  <w:vAlign w:val="center"/>
                </w:tcPr>
                <w:p w14:paraId="29D0A593">
                  <w:pPr>
                    <w:autoSpaceDE w:val="0"/>
                    <w:autoSpaceDN w:val="0"/>
                    <w:adjustRightInd w:val="0"/>
                    <w:spacing w:line="240" w:lineRule="auto"/>
                    <w:jc w:val="center"/>
                    <w:rPr>
                      <w:color w:val="auto"/>
                      <w:szCs w:val="21"/>
                      <w:highlight w:val="none"/>
                    </w:rPr>
                  </w:pPr>
                </w:p>
              </w:tc>
              <w:tc>
                <w:tcPr>
                  <w:tcW w:w="897" w:type="pct"/>
                  <w:noWrap/>
                  <w:vAlign w:val="center"/>
                </w:tcPr>
                <w:p w14:paraId="67C644D6">
                  <w:pPr>
                    <w:adjustRightInd w:val="0"/>
                    <w:spacing w:line="240" w:lineRule="auto"/>
                    <w:jc w:val="center"/>
                    <w:textAlignment w:val="baseline"/>
                    <w:rPr>
                      <w:color w:val="auto"/>
                      <w:szCs w:val="21"/>
                      <w:highlight w:val="none"/>
                    </w:rPr>
                  </w:pPr>
                  <w:r>
                    <w:rPr>
                      <w:rFonts w:hint="eastAsia"/>
                      <w:color w:val="auto"/>
                      <w:szCs w:val="21"/>
                      <w:highlight w:val="none"/>
                    </w:rPr>
                    <w:t>成品库</w:t>
                  </w:r>
                </w:p>
              </w:tc>
              <w:tc>
                <w:tcPr>
                  <w:tcW w:w="959" w:type="pct"/>
                  <w:noWrap/>
                  <w:vAlign w:val="center"/>
                </w:tcPr>
                <w:p w14:paraId="545E20BC">
                  <w:pPr>
                    <w:autoSpaceDE w:val="0"/>
                    <w:autoSpaceDN w:val="0"/>
                    <w:adjustRightInd w:val="0"/>
                    <w:spacing w:line="240" w:lineRule="auto"/>
                    <w:jc w:val="center"/>
                    <w:rPr>
                      <w:rFonts w:hint="eastAsia"/>
                      <w:color w:val="auto"/>
                      <w:szCs w:val="21"/>
                      <w:highlight w:val="none"/>
                      <w:lang w:eastAsia="zh-CN"/>
                    </w:rPr>
                  </w:pPr>
                  <w:r>
                    <w:rPr>
                      <w:rFonts w:hint="default"/>
                      <w:color w:val="auto"/>
                      <w:szCs w:val="21"/>
                      <w:highlight w:val="none"/>
                      <w:lang w:val="en-US" w:eastAsia="zh-CN"/>
                    </w:rPr>
                    <w:t>1971.83</w:t>
                  </w:r>
                </w:p>
              </w:tc>
              <w:tc>
                <w:tcPr>
                  <w:tcW w:w="1565" w:type="pct"/>
                  <w:noWrap/>
                  <w:vAlign w:val="center"/>
                </w:tcPr>
                <w:p w14:paraId="1BFA7173">
                  <w:pPr>
                    <w:autoSpaceDE w:val="0"/>
                    <w:autoSpaceDN w:val="0"/>
                    <w:adjustRightInd w:val="0"/>
                    <w:spacing w:line="240" w:lineRule="auto"/>
                    <w:jc w:val="center"/>
                    <w:rPr>
                      <w:color w:val="auto"/>
                      <w:szCs w:val="21"/>
                      <w:highlight w:val="none"/>
                    </w:rPr>
                  </w:pPr>
                  <w:r>
                    <w:rPr>
                      <w:rFonts w:hint="eastAsia"/>
                      <w:color w:val="auto"/>
                      <w:szCs w:val="21"/>
                      <w:highlight w:val="none"/>
                      <w:lang w:val="en-US" w:eastAsia="zh-CN"/>
                    </w:rPr>
                    <w:t>混凝土框架</w:t>
                  </w:r>
                  <w:r>
                    <w:rPr>
                      <w:rFonts w:hint="eastAsia"/>
                      <w:color w:val="auto"/>
                      <w:szCs w:val="21"/>
                      <w:highlight w:val="none"/>
                    </w:rPr>
                    <w:t>结构，高1</w:t>
                  </w:r>
                  <w:r>
                    <w:rPr>
                      <w:rFonts w:hint="eastAsia"/>
                      <w:color w:val="auto"/>
                      <w:szCs w:val="21"/>
                      <w:highlight w:val="none"/>
                      <w:lang w:val="en-US" w:eastAsia="zh-CN"/>
                    </w:rPr>
                    <w:t>1.7</w:t>
                  </w:r>
                  <w:r>
                    <w:rPr>
                      <w:rFonts w:hint="eastAsia"/>
                      <w:color w:val="auto"/>
                      <w:szCs w:val="21"/>
                      <w:highlight w:val="none"/>
                    </w:rPr>
                    <w:t>m</w:t>
                  </w:r>
                </w:p>
              </w:tc>
              <w:tc>
                <w:tcPr>
                  <w:tcW w:w="414" w:type="pct"/>
                  <w:noWrap/>
                  <w:vAlign w:val="center"/>
                </w:tcPr>
                <w:p w14:paraId="597F77B7">
                  <w:pPr>
                    <w:autoSpaceDE w:val="0"/>
                    <w:autoSpaceDN w:val="0"/>
                    <w:adjustRightInd w:val="0"/>
                    <w:spacing w:line="240" w:lineRule="auto"/>
                    <w:jc w:val="center"/>
                    <w:rPr>
                      <w:color w:val="auto"/>
                      <w:szCs w:val="21"/>
                      <w:highlight w:val="none"/>
                    </w:rPr>
                  </w:pPr>
                  <w:r>
                    <w:rPr>
                      <w:rFonts w:hint="eastAsia"/>
                      <w:color w:val="auto"/>
                      <w:szCs w:val="21"/>
                      <w:highlight w:val="none"/>
                    </w:rPr>
                    <w:t>1</w:t>
                  </w:r>
                </w:p>
              </w:tc>
              <w:tc>
                <w:tcPr>
                  <w:tcW w:w="718" w:type="pct"/>
                  <w:noWrap/>
                  <w:vAlign w:val="center"/>
                </w:tcPr>
                <w:p w14:paraId="0D4D3C2C">
                  <w:pPr>
                    <w:spacing w:line="240" w:lineRule="auto"/>
                    <w:jc w:val="center"/>
                    <w:rPr>
                      <w:color w:val="auto"/>
                      <w:szCs w:val="21"/>
                      <w:highlight w:val="none"/>
                    </w:rPr>
                  </w:pPr>
                  <w:r>
                    <w:rPr>
                      <w:rFonts w:hint="eastAsia"/>
                      <w:color w:val="auto"/>
                      <w:highlight w:val="none"/>
                      <w:lang w:val="en-US" w:eastAsia="zh-CN"/>
                    </w:rPr>
                    <w:t>新建</w:t>
                  </w:r>
                </w:p>
              </w:tc>
            </w:tr>
            <w:tr w14:paraId="6150279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444" w:type="pct"/>
                  <w:vMerge w:val="continue"/>
                  <w:noWrap/>
                  <w:vAlign w:val="center"/>
                </w:tcPr>
                <w:p w14:paraId="18EB9D05">
                  <w:pPr>
                    <w:autoSpaceDE w:val="0"/>
                    <w:autoSpaceDN w:val="0"/>
                    <w:adjustRightInd w:val="0"/>
                    <w:spacing w:line="240" w:lineRule="auto"/>
                    <w:jc w:val="center"/>
                    <w:rPr>
                      <w:rFonts w:hint="eastAsia"/>
                      <w:color w:val="auto"/>
                      <w:szCs w:val="21"/>
                      <w:highlight w:val="none"/>
                    </w:rPr>
                  </w:pPr>
                </w:p>
              </w:tc>
              <w:tc>
                <w:tcPr>
                  <w:tcW w:w="897" w:type="pct"/>
                  <w:noWrap/>
                  <w:vAlign w:val="center"/>
                </w:tcPr>
                <w:p w14:paraId="3A3C6A79">
                  <w:pPr>
                    <w:adjustRightInd w:val="0"/>
                    <w:snapToGrid w:val="0"/>
                    <w:spacing w:line="240" w:lineRule="auto"/>
                    <w:jc w:val="center"/>
                    <w:rPr>
                      <w:rFonts w:hint="eastAsia"/>
                      <w:color w:val="auto"/>
                      <w:szCs w:val="21"/>
                      <w:highlight w:val="none"/>
                    </w:rPr>
                  </w:pPr>
                  <w:r>
                    <w:rPr>
                      <w:rFonts w:hint="eastAsia"/>
                      <w:color w:val="auto"/>
                      <w:szCs w:val="21"/>
                      <w:highlight w:val="none"/>
                    </w:rPr>
                    <w:t>锅炉房</w:t>
                  </w:r>
                </w:p>
              </w:tc>
              <w:tc>
                <w:tcPr>
                  <w:tcW w:w="959" w:type="pct"/>
                  <w:noWrap/>
                  <w:vAlign w:val="center"/>
                </w:tcPr>
                <w:p w14:paraId="132C806C">
                  <w:pPr>
                    <w:autoSpaceDE w:val="0"/>
                    <w:autoSpaceDN w:val="0"/>
                    <w:adjustRightInd w:val="0"/>
                    <w:spacing w:line="240" w:lineRule="auto"/>
                    <w:jc w:val="center"/>
                    <w:rPr>
                      <w:rFonts w:hint="eastAsia"/>
                      <w:color w:val="auto"/>
                      <w:szCs w:val="21"/>
                      <w:highlight w:val="none"/>
                      <w:lang w:eastAsia="zh-CN"/>
                    </w:rPr>
                  </w:pPr>
                  <w:r>
                    <w:rPr>
                      <w:rFonts w:hint="default"/>
                      <w:color w:val="auto"/>
                      <w:szCs w:val="21"/>
                      <w:highlight w:val="none"/>
                      <w:lang w:val="en-US" w:eastAsia="zh-CN"/>
                    </w:rPr>
                    <w:t>218.98</w:t>
                  </w:r>
                </w:p>
              </w:tc>
              <w:tc>
                <w:tcPr>
                  <w:tcW w:w="1565" w:type="pct"/>
                  <w:noWrap/>
                  <w:vAlign w:val="center"/>
                </w:tcPr>
                <w:p w14:paraId="75399527">
                  <w:pPr>
                    <w:autoSpaceDE w:val="0"/>
                    <w:autoSpaceDN w:val="0"/>
                    <w:adjustRightInd w:val="0"/>
                    <w:spacing w:line="240" w:lineRule="auto"/>
                    <w:jc w:val="center"/>
                    <w:rPr>
                      <w:rFonts w:hint="eastAsia"/>
                      <w:color w:val="auto"/>
                      <w:szCs w:val="21"/>
                      <w:highlight w:val="none"/>
                    </w:rPr>
                  </w:pPr>
                  <w:r>
                    <w:rPr>
                      <w:rFonts w:hint="eastAsia"/>
                      <w:color w:val="auto"/>
                      <w:szCs w:val="21"/>
                      <w:highlight w:val="none"/>
                      <w:lang w:val="en-US" w:eastAsia="zh-CN"/>
                    </w:rPr>
                    <w:t>混凝土框架</w:t>
                  </w:r>
                  <w:r>
                    <w:rPr>
                      <w:rFonts w:hint="eastAsia"/>
                      <w:color w:val="auto"/>
                      <w:szCs w:val="21"/>
                      <w:highlight w:val="none"/>
                    </w:rPr>
                    <w:t>结构，高</w:t>
                  </w:r>
                  <w:r>
                    <w:rPr>
                      <w:rFonts w:hint="eastAsia"/>
                      <w:color w:val="auto"/>
                      <w:szCs w:val="21"/>
                      <w:highlight w:val="none"/>
                      <w:lang w:val="en-US" w:eastAsia="zh-CN"/>
                    </w:rPr>
                    <w:t>7.65</w:t>
                  </w:r>
                  <w:r>
                    <w:rPr>
                      <w:rFonts w:hint="eastAsia"/>
                      <w:color w:val="auto"/>
                      <w:szCs w:val="21"/>
                      <w:highlight w:val="none"/>
                    </w:rPr>
                    <w:t>m</w:t>
                  </w:r>
                </w:p>
              </w:tc>
              <w:tc>
                <w:tcPr>
                  <w:tcW w:w="414" w:type="pct"/>
                  <w:noWrap/>
                  <w:vAlign w:val="center"/>
                </w:tcPr>
                <w:p w14:paraId="465034A0">
                  <w:pPr>
                    <w:autoSpaceDE w:val="0"/>
                    <w:autoSpaceDN w:val="0"/>
                    <w:adjustRightInd w:val="0"/>
                    <w:spacing w:line="240" w:lineRule="auto"/>
                    <w:jc w:val="center"/>
                    <w:rPr>
                      <w:rFonts w:hint="eastAsia"/>
                      <w:color w:val="auto"/>
                      <w:szCs w:val="21"/>
                      <w:highlight w:val="none"/>
                    </w:rPr>
                  </w:pPr>
                  <w:r>
                    <w:rPr>
                      <w:rFonts w:hint="eastAsia"/>
                      <w:color w:val="auto"/>
                      <w:szCs w:val="21"/>
                      <w:highlight w:val="none"/>
                    </w:rPr>
                    <w:t>1</w:t>
                  </w:r>
                </w:p>
              </w:tc>
              <w:tc>
                <w:tcPr>
                  <w:tcW w:w="718" w:type="pct"/>
                  <w:noWrap/>
                  <w:vAlign w:val="center"/>
                </w:tcPr>
                <w:p w14:paraId="031D352B">
                  <w:pPr>
                    <w:spacing w:line="240" w:lineRule="auto"/>
                    <w:jc w:val="center"/>
                    <w:rPr>
                      <w:color w:val="auto"/>
                      <w:szCs w:val="21"/>
                      <w:highlight w:val="none"/>
                    </w:rPr>
                  </w:pPr>
                  <w:r>
                    <w:rPr>
                      <w:rFonts w:hint="eastAsia"/>
                      <w:color w:val="auto"/>
                      <w:highlight w:val="none"/>
                      <w:lang w:val="en-US" w:eastAsia="zh-CN"/>
                    </w:rPr>
                    <w:t>新建</w:t>
                  </w:r>
                </w:p>
              </w:tc>
            </w:tr>
            <w:tr w14:paraId="0DFBBCA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444" w:type="pct"/>
                  <w:vMerge w:val="continue"/>
                  <w:noWrap/>
                  <w:vAlign w:val="center"/>
                </w:tcPr>
                <w:p w14:paraId="532606A2">
                  <w:pPr>
                    <w:autoSpaceDE w:val="0"/>
                    <w:autoSpaceDN w:val="0"/>
                    <w:adjustRightInd w:val="0"/>
                    <w:spacing w:line="240" w:lineRule="auto"/>
                    <w:jc w:val="center"/>
                    <w:rPr>
                      <w:rFonts w:hint="eastAsia"/>
                      <w:color w:val="auto"/>
                      <w:szCs w:val="21"/>
                      <w:highlight w:val="none"/>
                    </w:rPr>
                  </w:pPr>
                </w:p>
              </w:tc>
              <w:tc>
                <w:tcPr>
                  <w:tcW w:w="897" w:type="pct"/>
                  <w:noWrap/>
                  <w:vAlign w:val="center"/>
                </w:tcPr>
                <w:p w14:paraId="1DA38BA9">
                  <w:pPr>
                    <w:adjustRightInd w:val="0"/>
                    <w:snapToGrid w:val="0"/>
                    <w:spacing w:line="240" w:lineRule="auto"/>
                    <w:jc w:val="center"/>
                    <w:rPr>
                      <w:rFonts w:hint="eastAsia"/>
                      <w:color w:val="auto"/>
                      <w:szCs w:val="21"/>
                      <w:highlight w:val="none"/>
                    </w:rPr>
                  </w:pPr>
                  <w:r>
                    <w:rPr>
                      <w:rFonts w:hint="eastAsia"/>
                      <w:color w:val="auto"/>
                      <w:szCs w:val="21"/>
                      <w:highlight w:val="none"/>
                    </w:rPr>
                    <w:t>门卫及泵房</w:t>
                  </w:r>
                </w:p>
              </w:tc>
              <w:tc>
                <w:tcPr>
                  <w:tcW w:w="959" w:type="pct"/>
                  <w:noWrap/>
                  <w:vAlign w:val="center"/>
                </w:tcPr>
                <w:p w14:paraId="17787D2C">
                  <w:pPr>
                    <w:autoSpaceDE w:val="0"/>
                    <w:autoSpaceDN w:val="0"/>
                    <w:adjustRightInd w:val="0"/>
                    <w:spacing w:line="240" w:lineRule="auto"/>
                    <w:jc w:val="center"/>
                    <w:rPr>
                      <w:rFonts w:hint="eastAsia"/>
                      <w:color w:val="auto"/>
                      <w:szCs w:val="21"/>
                      <w:highlight w:val="none"/>
                      <w:lang w:eastAsia="zh-CN"/>
                    </w:rPr>
                  </w:pPr>
                  <w:r>
                    <w:rPr>
                      <w:rFonts w:hint="default"/>
                      <w:color w:val="auto"/>
                      <w:szCs w:val="21"/>
                      <w:highlight w:val="none"/>
                      <w:lang w:val="en-US" w:eastAsia="zh-CN"/>
                    </w:rPr>
                    <w:t>112.92</w:t>
                  </w:r>
                </w:p>
              </w:tc>
              <w:tc>
                <w:tcPr>
                  <w:tcW w:w="1565" w:type="pct"/>
                  <w:noWrap/>
                  <w:vAlign w:val="center"/>
                </w:tcPr>
                <w:p w14:paraId="5546493D">
                  <w:pPr>
                    <w:autoSpaceDE w:val="0"/>
                    <w:autoSpaceDN w:val="0"/>
                    <w:adjustRightInd w:val="0"/>
                    <w:spacing w:line="240" w:lineRule="auto"/>
                    <w:jc w:val="center"/>
                    <w:rPr>
                      <w:rFonts w:hint="eastAsia"/>
                      <w:color w:val="auto"/>
                      <w:szCs w:val="21"/>
                      <w:highlight w:val="none"/>
                    </w:rPr>
                  </w:pPr>
                  <w:r>
                    <w:rPr>
                      <w:rFonts w:hint="eastAsia"/>
                      <w:color w:val="auto"/>
                      <w:szCs w:val="21"/>
                      <w:highlight w:val="none"/>
                      <w:lang w:val="en-US" w:eastAsia="zh-CN"/>
                    </w:rPr>
                    <w:t>混凝土框架</w:t>
                  </w:r>
                  <w:r>
                    <w:rPr>
                      <w:rFonts w:hint="eastAsia"/>
                      <w:color w:val="auto"/>
                      <w:szCs w:val="21"/>
                      <w:highlight w:val="none"/>
                    </w:rPr>
                    <w:t>结构，高</w:t>
                  </w:r>
                  <w:r>
                    <w:rPr>
                      <w:rFonts w:hint="eastAsia"/>
                      <w:color w:val="auto"/>
                      <w:szCs w:val="21"/>
                      <w:highlight w:val="none"/>
                      <w:lang w:val="en-US" w:eastAsia="zh-CN"/>
                    </w:rPr>
                    <w:t>5.4</w:t>
                  </w:r>
                  <w:r>
                    <w:rPr>
                      <w:rFonts w:hint="eastAsia"/>
                      <w:color w:val="auto"/>
                      <w:szCs w:val="21"/>
                      <w:highlight w:val="none"/>
                    </w:rPr>
                    <w:t>m</w:t>
                  </w:r>
                </w:p>
              </w:tc>
              <w:tc>
                <w:tcPr>
                  <w:tcW w:w="414" w:type="pct"/>
                  <w:noWrap/>
                  <w:vAlign w:val="center"/>
                </w:tcPr>
                <w:p w14:paraId="0960D4FC">
                  <w:pPr>
                    <w:autoSpaceDE w:val="0"/>
                    <w:autoSpaceDN w:val="0"/>
                    <w:adjustRightInd w:val="0"/>
                    <w:spacing w:line="240" w:lineRule="auto"/>
                    <w:jc w:val="center"/>
                    <w:rPr>
                      <w:rFonts w:hint="eastAsia"/>
                      <w:color w:val="auto"/>
                      <w:szCs w:val="21"/>
                      <w:highlight w:val="none"/>
                    </w:rPr>
                  </w:pPr>
                  <w:r>
                    <w:rPr>
                      <w:rFonts w:hint="eastAsia"/>
                      <w:color w:val="auto"/>
                      <w:szCs w:val="21"/>
                      <w:highlight w:val="none"/>
                    </w:rPr>
                    <w:t>1</w:t>
                  </w:r>
                </w:p>
              </w:tc>
              <w:tc>
                <w:tcPr>
                  <w:tcW w:w="718" w:type="pct"/>
                  <w:noWrap/>
                  <w:vAlign w:val="center"/>
                </w:tcPr>
                <w:p w14:paraId="545BE862">
                  <w:pPr>
                    <w:spacing w:line="240" w:lineRule="auto"/>
                    <w:jc w:val="center"/>
                    <w:rPr>
                      <w:color w:val="auto"/>
                      <w:szCs w:val="21"/>
                      <w:highlight w:val="none"/>
                    </w:rPr>
                  </w:pPr>
                  <w:r>
                    <w:rPr>
                      <w:rFonts w:hint="eastAsia"/>
                      <w:color w:val="auto"/>
                      <w:highlight w:val="none"/>
                      <w:lang w:val="en-US" w:eastAsia="zh-CN"/>
                    </w:rPr>
                    <w:t>新建</w:t>
                  </w:r>
                </w:p>
              </w:tc>
            </w:tr>
            <w:tr w14:paraId="654EC9B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1341" w:type="pct"/>
                  <w:gridSpan w:val="2"/>
                  <w:noWrap/>
                  <w:vAlign w:val="center"/>
                </w:tcPr>
                <w:p w14:paraId="6443521C">
                  <w:pPr>
                    <w:adjustRightInd w:val="0"/>
                    <w:snapToGrid w:val="0"/>
                    <w:spacing w:line="240" w:lineRule="auto"/>
                    <w:jc w:val="center"/>
                    <w:rPr>
                      <w:rFonts w:hint="eastAsia"/>
                      <w:color w:val="auto"/>
                      <w:szCs w:val="21"/>
                      <w:highlight w:val="none"/>
                    </w:rPr>
                  </w:pPr>
                  <w:r>
                    <w:rPr>
                      <w:rFonts w:hint="eastAsia"/>
                      <w:color w:val="auto"/>
                      <w:szCs w:val="21"/>
                      <w:highlight w:val="none"/>
                    </w:rPr>
                    <w:t>地下建筑面积</w:t>
                  </w:r>
                </w:p>
              </w:tc>
              <w:tc>
                <w:tcPr>
                  <w:tcW w:w="959" w:type="pct"/>
                  <w:noWrap/>
                  <w:vAlign w:val="center"/>
                </w:tcPr>
                <w:p w14:paraId="0B2CA2A7">
                  <w:pPr>
                    <w:autoSpaceDE w:val="0"/>
                    <w:autoSpaceDN w:val="0"/>
                    <w:adjustRightInd w:val="0"/>
                    <w:spacing w:line="240" w:lineRule="auto"/>
                    <w:jc w:val="center"/>
                    <w:rPr>
                      <w:rFonts w:hint="eastAsia"/>
                      <w:color w:val="auto"/>
                      <w:szCs w:val="21"/>
                      <w:highlight w:val="none"/>
                      <w:lang w:eastAsia="zh-CN"/>
                    </w:rPr>
                  </w:pPr>
                  <w:r>
                    <w:rPr>
                      <w:rFonts w:hint="default"/>
                      <w:color w:val="auto"/>
                      <w:szCs w:val="21"/>
                      <w:highlight w:val="none"/>
                      <w:lang w:val="en-US" w:eastAsia="zh-CN"/>
                    </w:rPr>
                    <w:t>262.50</w:t>
                  </w:r>
                </w:p>
              </w:tc>
              <w:tc>
                <w:tcPr>
                  <w:tcW w:w="1565" w:type="pct"/>
                  <w:noWrap/>
                  <w:vAlign w:val="center"/>
                </w:tcPr>
                <w:p w14:paraId="50B3F54D">
                  <w:pPr>
                    <w:autoSpaceDE w:val="0"/>
                    <w:autoSpaceDN w:val="0"/>
                    <w:adjustRightInd w:val="0"/>
                    <w:spacing w:line="240" w:lineRule="auto"/>
                    <w:jc w:val="center"/>
                    <w:rPr>
                      <w:rFonts w:hint="eastAsia"/>
                      <w:color w:val="auto"/>
                      <w:szCs w:val="21"/>
                      <w:highlight w:val="none"/>
                    </w:rPr>
                  </w:pPr>
                </w:p>
              </w:tc>
              <w:tc>
                <w:tcPr>
                  <w:tcW w:w="414" w:type="pct"/>
                  <w:noWrap/>
                  <w:vAlign w:val="center"/>
                </w:tcPr>
                <w:p w14:paraId="02AB55C9">
                  <w:pPr>
                    <w:autoSpaceDE w:val="0"/>
                    <w:autoSpaceDN w:val="0"/>
                    <w:adjustRightInd w:val="0"/>
                    <w:spacing w:line="240" w:lineRule="auto"/>
                    <w:jc w:val="center"/>
                    <w:rPr>
                      <w:rFonts w:hint="eastAsia"/>
                      <w:color w:val="auto"/>
                      <w:szCs w:val="21"/>
                      <w:highlight w:val="none"/>
                    </w:rPr>
                  </w:pPr>
                  <w:r>
                    <w:rPr>
                      <w:rFonts w:hint="eastAsia"/>
                      <w:color w:val="auto"/>
                      <w:szCs w:val="21"/>
                      <w:highlight w:val="none"/>
                    </w:rPr>
                    <w:t>1</w:t>
                  </w:r>
                </w:p>
              </w:tc>
              <w:tc>
                <w:tcPr>
                  <w:tcW w:w="718" w:type="pct"/>
                  <w:noWrap/>
                  <w:vAlign w:val="center"/>
                </w:tcPr>
                <w:p w14:paraId="36A33E84">
                  <w:pPr>
                    <w:spacing w:line="240" w:lineRule="auto"/>
                    <w:jc w:val="center"/>
                    <w:rPr>
                      <w:color w:val="auto"/>
                      <w:szCs w:val="21"/>
                      <w:highlight w:val="none"/>
                    </w:rPr>
                  </w:pPr>
                  <w:r>
                    <w:rPr>
                      <w:rFonts w:hint="eastAsia"/>
                      <w:color w:val="auto"/>
                      <w:highlight w:val="none"/>
                      <w:lang w:val="en-US" w:eastAsia="zh-CN"/>
                    </w:rPr>
                    <w:t>新建</w:t>
                  </w:r>
                </w:p>
              </w:tc>
            </w:tr>
            <w:tr w14:paraId="6139E27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444" w:type="pct"/>
                  <w:noWrap/>
                  <w:vAlign w:val="center"/>
                </w:tcPr>
                <w:p w14:paraId="477B38D9">
                  <w:pPr>
                    <w:autoSpaceDE w:val="0"/>
                    <w:autoSpaceDN w:val="0"/>
                    <w:adjustRightInd w:val="0"/>
                    <w:spacing w:line="240" w:lineRule="auto"/>
                    <w:jc w:val="center"/>
                    <w:rPr>
                      <w:rFonts w:hint="eastAsia"/>
                      <w:color w:val="auto"/>
                      <w:szCs w:val="21"/>
                      <w:highlight w:val="none"/>
                    </w:rPr>
                  </w:pPr>
                  <w:r>
                    <w:rPr>
                      <w:rFonts w:hint="eastAsia"/>
                      <w:color w:val="auto"/>
                      <w:szCs w:val="21"/>
                      <w:highlight w:val="none"/>
                      <w:lang w:val="en-US" w:eastAsia="zh-CN"/>
                    </w:rPr>
                    <w:t>其中</w:t>
                  </w:r>
                </w:p>
              </w:tc>
              <w:tc>
                <w:tcPr>
                  <w:tcW w:w="897" w:type="pct"/>
                  <w:noWrap/>
                  <w:vAlign w:val="center"/>
                </w:tcPr>
                <w:p w14:paraId="6E9DDFA5">
                  <w:pPr>
                    <w:adjustRightInd w:val="0"/>
                    <w:snapToGrid w:val="0"/>
                    <w:spacing w:line="240" w:lineRule="auto"/>
                    <w:jc w:val="center"/>
                    <w:rPr>
                      <w:rFonts w:hint="eastAsia"/>
                      <w:color w:val="auto"/>
                      <w:szCs w:val="21"/>
                      <w:highlight w:val="none"/>
                    </w:rPr>
                  </w:pPr>
                  <w:r>
                    <w:rPr>
                      <w:rFonts w:hint="eastAsia"/>
                      <w:color w:val="auto"/>
                      <w:szCs w:val="21"/>
                      <w:highlight w:val="none"/>
                    </w:rPr>
                    <w:t>门卫及泵房</w:t>
                  </w:r>
                </w:p>
              </w:tc>
              <w:tc>
                <w:tcPr>
                  <w:tcW w:w="959" w:type="pct"/>
                  <w:noWrap/>
                  <w:vAlign w:val="center"/>
                </w:tcPr>
                <w:p w14:paraId="2FCC7A22">
                  <w:pPr>
                    <w:autoSpaceDE w:val="0"/>
                    <w:autoSpaceDN w:val="0"/>
                    <w:adjustRightInd w:val="0"/>
                    <w:spacing w:line="240" w:lineRule="auto"/>
                    <w:jc w:val="center"/>
                    <w:rPr>
                      <w:rFonts w:hint="eastAsia"/>
                      <w:color w:val="auto"/>
                      <w:szCs w:val="21"/>
                      <w:highlight w:val="none"/>
                      <w:lang w:eastAsia="zh-CN"/>
                    </w:rPr>
                  </w:pPr>
                  <w:r>
                    <w:rPr>
                      <w:rFonts w:hint="default"/>
                      <w:color w:val="auto"/>
                      <w:szCs w:val="21"/>
                      <w:highlight w:val="none"/>
                      <w:lang w:val="en-US" w:eastAsia="zh-CN"/>
                    </w:rPr>
                    <w:t>262.50</w:t>
                  </w:r>
                </w:p>
              </w:tc>
              <w:tc>
                <w:tcPr>
                  <w:tcW w:w="1565" w:type="pct"/>
                  <w:noWrap/>
                  <w:vAlign w:val="center"/>
                </w:tcPr>
                <w:p w14:paraId="0E20D62A">
                  <w:pPr>
                    <w:autoSpaceDE w:val="0"/>
                    <w:autoSpaceDN w:val="0"/>
                    <w:adjustRightInd w:val="0"/>
                    <w:spacing w:line="240" w:lineRule="auto"/>
                    <w:jc w:val="center"/>
                    <w:rPr>
                      <w:rFonts w:hint="eastAsia"/>
                      <w:color w:val="auto"/>
                      <w:szCs w:val="21"/>
                      <w:highlight w:val="none"/>
                    </w:rPr>
                  </w:pPr>
                </w:p>
              </w:tc>
              <w:tc>
                <w:tcPr>
                  <w:tcW w:w="414" w:type="pct"/>
                  <w:noWrap/>
                  <w:vAlign w:val="center"/>
                </w:tcPr>
                <w:p w14:paraId="6642A3F9">
                  <w:pPr>
                    <w:autoSpaceDE w:val="0"/>
                    <w:autoSpaceDN w:val="0"/>
                    <w:adjustRightInd w:val="0"/>
                    <w:spacing w:line="240" w:lineRule="auto"/>
                    <w:jc w:val="center"/>
                    <w:rPr>
                      <w:rFonts w:hint="eastAsia"/>
                      <w:color w:val="auto"/>
                      <w:szCs w:val="21"/>
                      <w:highlight w:val="none"/>
                    </w:rPr>
                  </w:pPr>
                  <w:r>
                    <w:rPr>
                      <w:rFonts w:hint="eastAsia"/>
                      <w:color w:val="auto"/>
                      <w:szCs w:val="21"/>
                      <w:highlight w:val="none"/>
                    </w:rPr>
                    <w:t>1</w:t>
                  </w:r>
                </w:p>
              </w:tc>
              <w:tc>
                <w:tcPr>
                  <w:tcW w:w="718" w:type="pct"/>
                  <w:noWrap/>
                  <w:vAlign w:val="center"/>
                </w:tcPr>
                <w:p w14:paraId="495B5C9D">
                  <w:pPr>
                    <w:spacing w:line="240" w:lineRule="auto"/>
                    <w:jc w:val="center"/>
                    <w:rPr>
                      <w:color w:val="auto"/>
                      <w:szCs w:val="21"/>
                      <w:highlight w:val="none"/>
                    </w:rPr>
                  </w:pPr>
                  <w:r>
                    <w:rPr>
                      <w:rFonts w:hint="eastAsia"/>
                      <w:color w:val="auto"/>
                      <w:highlight w:val="none"/>
                      <w:lang w:val="en-US" w:eastAsia="zh-CN"/>
                    </w:rPr>
                    <w:t>新建</w:t>
                  </w:r>
                </w:p>
              </w:tc>
            </w:tr>
            <w:tr w14:paraId="5D4DE9C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1341" w:type="pct"/>
                  <w:gridSpan w:val="2"/>
                  <w:noWrap/>
                  <w:vAlign w:val="center"/>
                </w:tcPr>
                <w:p w14:paraId="125F364B">
                  <w:pPr>
                    <w:adjustRightInd w:val="0"/>
                    <w:snapToGrid w:val="0"/>
                    <w:spacing w:line="240" w:lineRule="auto"/>
                    <w:jc w:val="center"/>
                    <w:rPr>
                      <w:color w:val="auto"/>
                      <w:szCs w:val="21"/>
                      <w:highlight w:val="none"/>
                    </w:rPr>
                  </w:pPr>
                  <w:r>
                    <w:rPr>
                      <w:rFonts w:hint="eastAsia"/>
                      <w:color w:val="auto"/>
                      <w:highlight w:val="none"/>
                    </w:rPr>
                    <w:t>综合楼</w:t>
                  </w:r>
                </w:p>
              </w:tc>
              <w:tc>
                <w:tcPr>
                  <w:tcW w:w="959" w:type="pct"/>
                  <w:noWrap/>
                  <w:vAlign w:val="center"/>
                </w:tcPr>
                <w:p w14:paraId="3296B61A">
                  <w:pPr>
                    <w:autoSpaceDE w:val="0"/>
                    <w:autoSpaceDN w:val="0"/>
                    <w:adjustRightInd w:val="0"/>
                    <w:spacing w:line="240" w:lineRule="auto"/>
                    <w:jc w:val="center"/>
                    <w:rPr>
                      <w:rFonts w:hint="default" w:eastAsia="宋体"/>
                      <w:color w:val="auto"/>
                      <w:szCs w:val="21"/>
                      <w:highlight w:val="none"/>
                      <w:lang w:val="en-US" w:eastAsia="zh-CN"/>
                    </w:rPr>
                  </w:pPr>
                  <w:r>
                    <w:rPr>
                      <w:rFonts w:hint="eastAsia"/>
                      <w:color w:val="auto"/>
                      <w:szCs w:val="21"/>
                      <w:highlight w:val="none"/>
                      <w:lang w:val="en-US" w:eastAsia="zh-CN"/>
                    </w:rPr>
                    <w:t>2225</w:t>
                  </w:r>
                </w:p>
              </w:tc>
              <w:tc>
                <w:tcPr>
                  <w:tcW w:w="1565" w:type="pct"/>
                  <w:noWrap/>
                  <w:vAlign w:val="center"/>
                </w:tcPr>
                <w:p w14:paraId="44B31DA2">
                  <w:pPr>
                    <w:autoSpaceDE w:val="0"/>
                    <w:autoSpaceDN w:val="0"/>
                    <w:adjustRightInd w:val="0"/>
                    <w:spacing w:line="240" w:lineRule="auto"/>
                    <w:jc w:val="center"/>
                    <w:rPr>
                      <w:color w:val="auto"/>
                      <w:szCs w:val="21"/>
                      <w:highlight w:val="none"/>
                    </w:rPr>
                  </w:pPr>
                  <w:r>
                    <w:rPr>
                      <w:rFonts w:hint="eastAsia"/>
                      <w:color w:val="auto"/>
                      <w:szCs w:val="21"/>
                      <w:highlight w:val="none"/>
                    </w:rPr>
                    <w:t>砖混结构，高27.3m</w:t>
                  </w:r>
                </w:p>
              </w:tc>
              <w:tc>
                <w:tcPr>
                  <w:tcW w:w="414" w:type="pct"/>
                  <w:noWrap/>
                  <w:vAlign w:val="center"/>
                </w:tcPr>
                <w:p w14:paraId="7BA9E4F1">
                  <w:pPr>
                    <w:autoSpaceDE w:val="0"/>
                    <w:autoSpaceDN w:val="0"/>
                    <w:adjustRightInd w:val="0"/>
                    <w:spacing w:line="240" w:lineRule="auto"/>
                    <w:jc w:val="center"/>
                    <w:rPr>
                      <w:color w:val="auto"/>
                      <w:szCs w:val="21"/>
                      <w:highlight w:val="none"/>
                    </w:rPr>
                  </w:pPr>
                  <w:r>
                    <w:rPr>
                      <w:rFonts w:hint="eastAsia"/>
                      <w:color w:val="auto"/>
                      <w:szCs w:val="21"/>
                      <w:highlight w:val="none"/>
                    </w:rPr>
                    <w:t>5</w:t>
                  </w:r>
                </w:p>
              </w:tc>
              <w:tc>
                <w:tcPr>
                  <w:tcW w:w="718" w:type="pct"/>
                  <w:noWrap/>
                  <w:vAlign w:val="center"/>
                </w:tcPr>
                <w:p w14:paraId="7552AB20">
                  <w:pPr>
                    <w:autoSpaceDE w:val="0"/>
                    <w:autoSpaceDN w:val="0"/>
                    <w:adjustRightInd w:val="0"/>
                    <w:spacing w:line="240" w:lineRule="auto"/>
                    <w:jc w:val="center"/>
                    <w:rPr>
                      <w:color w:val="auto"/>
                      <w:szCs w:val="21"/>
                      <w:highlight w:val="none"/>
                    </w:rPr>
                  </w:pPr>
                  <w:r>
                    <w:rPr>
                      <w:color w:val="auto"/>
                      <w:szCs w:val="21"/>
                      <w:highlight w:val="none"/>
                    </w:rPr>
                    <w:t>依托现有</w:t>
                  </w:r>
                </w:p>
              </w:tc>
            </w:tr>
            <w:tr w14:paraId="273B354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2" w:hRule="atLeast"/>
              </w:trPr>
              <w:tc>
                <w:tcPr>
                  <w:tcW w:w="1341" w:type="pct"/>
                  <w:gridSpan w:val="2"/>
                  <w:noWrap/>
                  <w:vAlign w:val="center"/>
                </w:tcPr>
                <w:p w14:paraId="300CBDFA">
                  <w:pPr>
                    <w:autoSpaceDE w:val="0"/>
                    <w:autoSpaceDN w:val="0"/>
                    <w:adjustRightInd w:val="0"/>
                    <w:spacing w:line="240" w:lineRule="auto"/>
                    <w:jc w:val="center"/>
                    <w:rPr>
                      <w:rFonts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危废间</w:t>
                  </w:r>
                </w:p>
              </w:tc>
              <w:tc>
                <w:tcPr>
                  <w:tcW w:w="959" w:type="pct"/>
                  <w:shd w:val="clear" w:color="auto" w:fill="auto"/>
                  <w:noWrap/>
                  <w:vAlign w:val="center"/>
                </w:tcPr>
                <w:p w14:paraId="2F5255D0">
                  <w:pPr>
                    <w:autoSpaceDE w:val="0"/>
                    <w:autoSpaceDN w:val="0"/>
                    <w:adjustRightInd w:val="0"/>
                    <w:spacing w:line="240" w:lineRule="auto"/>
                    <w:jc w:val="center"/>
                    <w:rPr>
                      <w:rFonts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25</w:t>
                  </w:r>
                </w:p>
              </w:tc>
              <w:tc>
                <w:tcPr>
                  <w:tcW w:w="1565" w:type="pct"/>
                  <w:shd w:val="clear" w:color="auto" w:fill="auto"/>
                  <w:noWrap/>
                  <w:vAlign w:val="center"/>
                </w:tcPr>
                <w:p w14:paraId="4925E3A1">
                  <w:pPr>
                    <w:autoSpaceDE w:val="0"/>
                    <w:autoSpaceDN w:val="0"/>
                    <w:adjustRightInd w:val="0"/>
                    <w:spacing w:line="240" w:lineRule="auto"/>
                    <w:jc w:val="center"/>
                    <w:rPr>
                      <w:rFonts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砖混结构</w:t>
                  </w:r>
                </w:p>
              </w:tc>
              <w:tc>
                <w:tcPr>
                  <w:tcW w:w="414" w:type="pct"/>
                  <w:shd w:val="clear" w:color="auto" w:fill="auto"/>
                  <w:noWrap/>
                  <w:vAlign w:val="center"/>
                </w:tcPr>
                <w:p w14:paraId="2BF3FE19">
                  <w:pPr>
                    <w:autoSpaceDE w:val="0"/>
                    <w:autoSpaceDN w:val="0"/>
                    <w:adjustRightInd w:val="0"/>
                    <w:spacing w:line="240" w:lineRule="auto"/>
                    <w:jc w:val="center"/>
                    <w:rPr>
                      <w:rFonts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1</w:t>
                  </w:r>
                </w:p>
              </w:tc>
              <w:tc>
                <w:tcPr>
                  <w:tcW w:w="718" w:type="pct"/>
                  <w:shd w:val="clear" w:color="auto" w:fill="auto"/>
                  <w:noWrap/>
                  <w:vAlign w:val="center"/>
                </w:tcPr>
                <w:p w14:paraId="1F6356A7">
                  <w:pPr>
                    <w:autoSpaceDE w:val="0"/>
                    <w:autoSpaceDN w:val="0"/>
                    <w:adjustRightInd w:val="0"/>
                    <w:spacing w:line="240" w:lineRule="auto"/>
                    <w:jc w:val="center"/>
                    <w:rPr>
                      <w:rFonts w:ascii="Times New Roman" w:hAnsi="Times New Roman" w:eastAsia="宋体" w:cs="Times New Roman"/>
                      <w:color w:val="auto"/>
                      <w:kern w:val="2"/>
                      <w:sz w:val="21"/>
                      <w:szCs w:val="21"/>
                      <w:highlight w:val="none"/>
                      <w:lang w:val="en-US" w:eastAsia="zh-CN" w:bidi="ar-SA"/>
                    </w:rPr>
                  </w:pPr>
                  <w:r>
                    <w:rPr>
                      <w:color w:val="auto"/>
                      <w:szCs w:val="21"/>
                      <w:highlight w:val="none"/>
                    </w:rPr>
                    <w:t>依托现有</w:t>
                  </w:r>
                </w:p>
              </w:tc>
            </w:tr>
          </w:tbl>
          <w:p w14:paraId="51AF83E7">
            <w:pPr>
              <w:pStyle w:val="122"/>
              <w:rPr>
                <w:color w:val="auto"/>
              </w:rPr>
            </w:pPr>
            <w:r>
              <w:rPr>
                <w:rFonts w:hint="eastAsia"/>
                <w:color w:val="auto"/>
              </w:rPr>
              <w:t>3</w:t>
            </w:r>
            <w:r>
              <w:rPr>
                <w:color w:val="auto"/>
              </w:rPr>
              <w:t>、主要生产设备、设施</w:t>
            </w:r>
          </w:p>
          <w:p w14:paraId="7DDE6AAC">
            <w:pPr>
              <w:pStyle w:val="116"/>
              <w:ind w:firstLine="420"/>
              <w:rPr>
                <w:color w:val="auto"/>
              </w:rPr>
            </w:pPr>
            <w:r>
              <w:rPr>
                <w:rFonts w:hint="eastAsia"/>
                <w:color w:val="auto"/>
              </w:rPr>
              <w:t>本项目新增生产及辅助设备如下表所示。</w:t>
            </w:r>
          </w:p>
          <w:p w14:paraId="62E02869">
            <w:pPr>
              <w:pStyle w:val="10"/>
              <w:rPr>
                <w:bCs/>
                <w:color w:val="auto"/>
              </w:rPr>
            </w:pPr>
            <w:r>
              <w:rPr>
                <w:rFonts w:hint="eastAsia"/>
                <w:color w:val="auto"/>
              </w:rPr>
              <w:t>表2-</w:t>
            </w:r>
            <w:r>
              <w:rPr>
                <w:color w:val="auto"/>
              </w:rPr>
              <w:fldChar w:fldCharType="begin"/>
            </w:r>
            <w:r>
              <w:rPr>
                <w:color w:val="auto"/>
              </w:rPr>
              <w:instrText xml:space="preserve"> </w:instrText>
            </w:r>
            <w:r>
              <w:rPr>
                <w:rFonts w:hint="eastAsia"/>
                <w:color w:val="auto"/>
              </w:rPr>
              <w:instrText xml:space="preserve">SEQ 表2- \* ARABIC</w:instrText>
            </w:r>
            <w:r>
              <w:rPr>
                <w:color w:val="auto"/>
              </w:rPr>
              <w:instrText xml:space="preserve"> </w:instrText>
            </w:r>
            <w:r>
              <w:rPr>
                <w:color w:val="auto"/>
              </w:rPr>
              <w:fldChar w:fldCharType="separate"/>
            </w:r>
            <w:r>
              <w:rPr>
                <w:color w:val="auto"/>
              </w:rPr>
              <w:t>3</w:t>
            </w:r>
            <w:r>
              <w:rPr>
                <w:color w:val="auto"/>
              </w:rPr>
              <w:fldChar w:fldCharType="end"/>
            </w:r>
            <w:r>
              <w:rPr>
                <w:rFonts w:hint="eastAsia"/>
                <w:bCs/>
                <w:color w:val="auto"/>
              </w:rPr>
              <w:t>本项目生产设备一览表</w:t>
            </w:r>
          </w:p>
          <w:tbl>
            <w:tblPr>
              <w:tblStyle w:val="33"/>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04"/>
              <w:gridCol w:w="2028"/>
              <w:gridCol w:w="964"/>
              <w:gridCol w:w="3426"/>
              <w:gridCol w:w="1173"/>
            </w:tblGrid>
            <w:tr w14:paraId="07BE91B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0" w:hRule="atLeast"/>
                <w:jc w:val="center"/>
              </w:trPr>
              <w:tc>
                <w:tcPr>
                  <w:tcW w:w="424" w:type="pct"/>
                  <w:shd w:val="clear" w:color="auto" w:fill="auto"/>
                  <w:noWrap w:val="0"/>
                  <w:vAlign w:val="center"/>
                </w:tcPr>
                <w:p w14:paraId="22DA7B11">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序号</w:t>
                  </w:r>
                </w:p>
              </w:tc>
              <w:tc>
                <w:tcPr>
                  <w:tcW w:w="1222" w:type="pct"/>
                  <w:shd w:val="clear" w:color="auto" w:fill="auto"/>
                  <w:noWrap w:val="0"/>
                  <w:vAlign w:val="center"/>
                </w:tcPr>
                <w:p w14:paraId="6C34F1CA">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设备名称</w:t>
                  </w:r>
                </w:p>
              </w:tc>
              <w:tc>
                <w:tcPr>
                  <w:tcW w:w="581" w:type="pct"/>
                  <w:shd w:val="clear" w:color="auto" w:fill="auto"/>
                  <w:noWrap w:val="0"/>
                  <w:vAlign w:val="center"/>
                </w:tcPr>
                <w:p w14:paraId="6F0276BC">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数量（台/套）</w:t>
                  </w:r>
                </w:p>
              </w:tc>
              <w:tc>
                <w:tcPr>
                  <w:tcW w:w="2065" w:type="pct"/>
                  <w:shd w:val="clear" w:color="auto" w:fill="auto"/>
                  <w:noWrap w:val="0"/>
                  <w:vAlign w:val="center"/>
                </w:tcPr>
                <w:p w14:paraId="2F17D7BB">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Style w:val="131"/>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b w:val="0"/>
                      <w:bCs w:val="0"/>
                      <w:color w:val="auto"/>
                      <w:sz w:val="21"/>
                      <w:szCs w:val="21"/>
                      <w:highlight w:val="none"/>
                    </w:rPr>
                    <w:t>技术要求</w:t>
                  </w:r>
                </w:p>
              </w:tc>
              <w:tc>
                <w:tcPr>
                  <w:tcW w:w="707" w:type="pct"/>
                  <w:shd w:val="clear" w:color="auto" w:fill="auto"/>
                  <w:noWrap w:val="0"/>
                  <w:vAlign w:val="center"/>
                </w:tcPr>
                <w:p w14:paraId="198F5078">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备注</w:t>
                  </w:r>
                </w:p>
              </w:tc>
            </w:tr>
            <w:tr w14:paraId="79BEF91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5000" w:type="pct"/>
                  <w:gridSpan w:val="5"/>
                  <w:shd w:val="clear" w:color="auto" w:fill="auto"/>
                  <w:noWrap w:val="0"/>
                  <w:vAlign w:val="center"/>
                </w:tcPr>
                <w:p w14:paraId="685F2066">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轧制钢球生产线</w:t>
                  </w:r>
                </w:p>
              </w:tc>
            </w:tr>
            <w:tr w14:paraId="73CEDE1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pct"/>
                  <w:shd w:val="clear" w:color="auto" w:fill="auto"/>
                  <w:noWrap w:val="0"/>
                  <w:vAlign w:val="center"/>
                </w:tcPr>
                <w:p w14:paraId="627F7CAD">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1222" w:type="pct"/>
                  <w:shd w:val="clear" w:color="auto" w:fill="auto"/>
                  <w:noWrap w:val="0"/>
                  <w:vAlign w:val="center"/>
                </w:tcPr>
                <w:p w14:paraId="46DA994F">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上料台</w:t>
                  </w:r>
                </w:p>
              </w:tc>
              <w:tc>
                <w:tcPr>
                  <w:tcW w:w="581" w:type="pct"/>
                  <w:shd w:val="clear" w:color="auto" w:fill="auto"/>
                  <w:noWrap w:val="0"/>
                  <w:vAlign w:val="center"/>
                </w:tcPr>
                <w:p w14:paraId="004A551D">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2065" w:type="pct"/>
                  <w:shd w:val="clear" w:color="auto" w:fill="auto"/>
                  <w:noWrap w:val="0"/>
                  <w:vAlign w:val="center"/>
                </w:tcPr>
                <w:p w14:paraId="59465E4C">
                  <w:pPr>
                    <w:pStyle w:val="139"/>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人工吊料；自动散料；自动上料；</w:t>
                  </w:r>
                </w:p>
              </w:tc>
              <w:tc>
                <w:tcPr>
                  <w:tcW w:w="707" w:type="pct"/>
                  <w:shd w:val="clear" w:color="auto" w:fill="auto"/>
                  <w:noWrap w:val="0"/>
                  <w:vAlign w:val="center"/>
                </w:tcPr>
                <w:p w14:paraId="3C403037">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23A19DE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424" w:type="pct"/>
                  <w:shd w:val="clear" w:color="auto" w:fill="auto"/>
                  <w:noWrap w:val="0"/>
                  <w:vAlign w:val="center"/>
                </w:tcPr>
                <w:p w14:paraId="4079BC9D">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2</w:t>
                  </w:r>
                </w:p>
              </w:tc>
              <w:tc>
                <w:tcPr>
                  <w:tcW w:w="1222" w:type="pct"/>
                  <w:shd w:val="clear" w:color="auto" w:fill="auto"/>
                  <w:noWrap w:val="0"/>
                  <w:vAlign w:val="center"/>
                </w:tcPr>
                <w:p w14:paraId="5C64B661">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中频加热炉</w:t>
                  </w:r>
                </w:p>
              </w:tc>
              <w:tc>
                <w:tcPr>
                  <w:tcW w:w="581" w:type="pct"/>
                  <w:shd w:val="clear" w:color="auto" w:fill="auto"/>
                  <w:noWrap w:val="0"/>
                  <w:vAlign w:val="center"/>
                </w:tcPr>
                <w:p w14:paraId="018DDD2A">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2065" w:type="pct"/>
                  <w:shd w:val="clear" w:color="auto" w:fill="auto"/>
                  <w:noWrap w:val="0"/>
                  <w:vAlign w:val="center"/>
                </w:tcPr>
                <w:p w14:paraId="216A7F77">
                  <w:pPr>
                    <w:pStyle w:val="139"/>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功率：4</w:t>
                  </w:r>
                  <w:r>
                    <w:rPr>
                      <w:rFonts w:hint="default" w:ascii="Times New Roman" w:hAnsi="Times New Roman" w:eastAsia="宋体" w:cs="Times New Roman"/>
                      <w:b w:val="0"/>
                      <w:bCs w:val="0"/>
                      <w:color w:val="auto"/>
                      <w:kern w:val="0"/>
                      <w:sz w:val="21"/>
                      <w:szCs w:val="21"/>
                      <w:highlight w:val="none"/>
                      <w:lang w:val="en-US" w:eastAsia="zh-CN"/>
                    </w:rPr>
                    <w:t>3</w:t>
                  </w:r>
                  <w:r>
                    <w:rPr>
                      <w:rFonts w:hint="default" w:ascii="Times New Roman" w:hAnsi="Times New Roman" w:eastAsia="宋体" w:cs="Times New Roman"/>
                      <w:b w:val="0"/>
                      <w:bCs w:val="0"/>
                      <w:color w:val="auto"/>
                      <w:kern w:val="0"/>
                      <w:sz w:val="21"/>
                      <w:szCs w:val="21"/>
                      <w:highlight w:val="none"/>
                    </w:rPr>
                    <w:t>00KW；</w:t>
                  </w:r>
                </w:p>
              </w:tc>
              <w:tc>
                <w:tcPr>
                  <w:tcW w:w="707" w:type="pct"/>
                  <w:shd w:val="clear" w:color="auto" w:fill="auto"/>
                  <w:noWrap w:val="0"/>
                  <w:vAlign w:val="center"/>
                </w:tcPr>
                <w:p w14:paraId="413FFA1C">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7F555B2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424" w:type="pct"/>
                  <w:shd w:val="clear" w:color="auto" w:fill="auto"/>
                  <w:noWrap w:val="0"/>
                  <w:vAlign w:val="center"/>
                </w:tcPr>
                <w:p w14:paraId="79B14C53">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3</w:t>
                  </w:r>
                </w:p>
              </w:tc>
              <w:tc>
                <w:tcPr>
                  <w:tcW w:w="1222" w:type="pct"/>
                  <w:shd w:val="clear" w:color="auto" w:fill="auto"/>
                  <w:noWrap w:val="0"/>
                  <w:vAlign w:val="center"/>
                </w:tcPr>
                <w:p w14:paraId="0212CE6F">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轧机组</w:t>
                  </w:r>
                </w:p>
              </w:tc>
              <w:tc>
                <w:tcPr>
                  <w:tcW w:w="581" w:type="pct"/>
                  <w:shd w:val="clear" w:color="auto" w:fill="auto"/>
                  <w:noWrap w:val="0"/>
                  <w:vAlign w:val="center"/>
                </w:tcPr>
                <w:p w14:paraId="69467B2B">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2065" w:type="pct"/>
                  <w:shd w:val="clear" w:color="auto" w:fill="auto"/>
                  <w:noWrap w:val="0"/>
                  <w:vAlign w:val="center"/>
                </w:tcPr>
                <w:p w14:paraId="324C8A24">
                  <w:pPr>
                    <w:pStyle w:val="139"/>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1.主电机</w:t>
                  </w:r>
                  <w:r>
                    <w:rPr>
                      <w:rFonts w:hint="default" w:ascii="Times New Roman" w:hAnsi="Times New Roman" w:eastAsia="宋体" w:cs="Times New Roman"/>
                      <w:b w:val="0"/>
                      <w:bCs w:val="0"/>
                      <w:color w:val="auto"/>
                      <w:sz w:val="21"/>
                      <w:szCs w:val="21"/>
                      <w:highlight w:val="none"/>
                    </w:rPr>
                    <w:t>变频调速；</w:t>
                  </w:r>
                  <w:r>
                    <w:rPr>
                      <w:rFonts w:hint="default" w:ascii="Times New Roman" w:hAnsi="Times New Roman" w:eastAsia="宋体" w:cs="Times New Roman"/>
                      <w:b w:val="0"/>
                      <w:bCs w:val="0"/>
                      <w:color w:val="auto"/>
                      <w:kern w:val="0"/>
                      <w:sz w:val="21"/>
                      <w:szCs w:val="21"/>
                      <w:highlight w:val="none"/>
                    </w:rPr>
                    <w:t>2.</w:t>
                  </w:r>
                  <w:r>
                    <w:rPr>
                      <w:rFonts w:hint="default" w:ascii="Times New Roman" w:hAnsi="Times New Roman" w:eastAsia="宋体" w:cs="Times New Roman"/>
                      <w:b w:val="0"/>
                      <w:bCs w:val="0"/>
                      <w:color w:val="auto"/>
                      <w:sz w:val="21"/>
                      <w:szCs w:val="21"/>
                      <w:highlight w:val="none"/>
                    </w:rPr>
                    <w:t>分配减速一体机硬齿面；3.轧辊一体辊箱安装；4.全支承转鼓；5.上盖液压启闭；6.上盖液压锁紧；7.上导板上下</w:t>
                  </w:r>
                  <w:r>
                    <w:rPr>
                      <w:rFonts w:hint="default" w:ascii="Times New Roman" w:hAnsi="Times New Roman" w:eastAsia="宋体" w:cs="Times New Roman"/>
                      <w:b w:val="0"/>
                      <w:bCs w:val="0"/>
                      <w:color w:val="auto"/>
                      <w:kern w:val="0"/>
                      <w:sz w:val="21"/>
                      <w:szCs w:val="21"/>
                      <w:highlight w:val="none"/>
                    </w:rPr>
                    <w:t>电动</w:t>
                  </w:r>
                  <w:r>
                    <w:rPr>
                      <w:rFonts w:hint="default" w:ascii="Times New Roman" w:hAnsi="Times New Roman" w:eastAsia="宋体" w:cs="Times New Roman"/>
                      <w:b w:val="0"/>
                      <w:bCs w:val="0"/>
                      <w:color w:val="auto"/>
                      <w:sz w:val="21"/>
                      <w:szCs w:val="21"/>
                      <w:highlight w:val="none"/>
                    </w:rPr>
                    <w:t>调整</w:t>
                  </w:r>
                  <w:r>
                    <w:rPr>
                      <w:rFonts w:hint="default" w:ascii="Times New Roman" w:hAnsi="Times New Roman" w:eastAsia="宋体" w:cs="Times New Roman"/>
                      <w:b w:val="0"/>
                      <w:bCs w:val="0"/>
                      <w:color w:val="auto"/>
                      <w:kern w:val="0"/>
                      <w:sz w:val="21"/>
                      <w:szCs w:val="21"/>
                      <w:highlight w:val="none"/>
                    </w:rPr>
                    <w:t>，导板</w:t>
                  </w:r>
                  <w:r>
                    <w:rPr>
                      <w:rFonts w:hint="default" w:ascii="Times New Roman" w:hAnsi="Times New Roman" w:eastAsia="宋体" w:cs="Times New Roman"/>
                      <w:b w:val="0"/>
                      <w:bCs w:val="0"/>
                      <w:color w:val="auto"/>
                      <w:sz w:val="21"/>
                      <w:szCs w:val="21"/>
                      <w:highlight w:val="none"/>
                    </w:rPr>
                    <w:t>距自动调整</w:t>
                  </w:r>
                  <w:r>
                    <w:rPr>
                      <w:rFonts w:hint="default" w:ascii="Times New Roman" w:hAnsi="Times New Roman" w:eastAsia="宋体" w:cs="Times New Roman"/>
                      <w:b w:val="0"/>
                      <w:bCs w:val="0"/>
                      <w:color w:val="auto"/>
                      <w:kern w:val="0"/>
                      <w:sz w:val="21"/>
                      <w:szCs w:val="21"/>
                      <w:highlight w:val="none"/>
                    </w:rPr>
                    <w:t>；8.上</w:t>
                  </w:r>
                  <w:r>
                    <w:rPr>
                      <w:rFonts w:hint="default" w:ascii="Times New Roman" w:hAnsi="Times New Roman" w:eastAsia="宋体" w:cs="Times New Roman"/>
                      <w:b w:val="0"/>
                      <w:bCs w:val="0"/>
                      <w:color w:val="auto"/>
                      <w:sz w:val="21"/>
                      <w:szCs w:val="21"/>
                      <w:highlight w:val="none"/>
                    </w:rPr>
                    <w:t>导板液压锁紧；9.上导板左右</w:t>
                  </w:r>
                  <w:r>
                    <w:rPr>
                      <w:rFonts w:hint="default" w:ascii="Times New Roman" w:hAnsi="Times New Roman" w:eastAsia="宋体" w:cs="Times New Roman"/>
                      <w:b w:val="0"/>
                      <w:bCs w:val="0"/>
                      <w:color w:val="auto"/>
                      <w:kern w:val="0"/>
                      <w:sz w:val="21"/>
                      <w:szCs w:val="21"/>
                      <w:highlight w:val="none"/>
                    </w:rPr>
                    <w:t>电动</w:t>
                  </w:r>
                  <w:r>
                    <w:rPr>
                      <w:rFonts w:hint="default" w:ascii="Times New Roman" w:hAnsi="Times New Roman" w:eastAsia="宋体" w:cs="Times New Roman"/>
                      <w:b w:val="0"/>
                      <w:bCs w:val="0"/>
                      <w:color w:val="auto"/>
                      <w:sz w:val="21"/>
                      <w:szCs w:val="21"/>
                      <w:highlight w:val="none"/>
                    </w:rPr>
                    <w:t>调整；10.上导板左右液压锁紧；11</w:t>
                  </w:r>
                  <w:r>
                    <w:rPr>
                      <w:rFonts w:hint="default" w:ascii="Times New Roman" w:hAnsi="Times New Roman" w:eastAsia="宋体" w:cs="Times New Roman"/>
                      <w:b w:val="0"/>
                      <w:bCs w:val="0"/>
                      <w:color w:val="auto"/>
                      <w:kern w:val="0"/>
                      <w:sz w:val="21"/>
                      <w:szCs w:val="21"/>
                      <w:highlight w:val="none"/>
                    </w:rPr>
                    <w:t>.轧辊侧压电动调整，</w:t>
                  </w:r>
                  <w:r>
                    <w:rPr>
                      <w:rFonts w:hint="default" w:ascii="Times New Roman" w:hAnsi="Times New Roman" w:eastAsia="宋体" w:cs="Times New Roman"/>
                      <w:b w:val="0"/>
                      <w:bCs w:val="0"/>
                      <w:color w:val="auto"/>
                      <w:sz w:val="21"/>
                      <w:szCs w:val="21"/>
                      <w:highlight w:val="none"/>
                    </w:rPr>
                    <w:t>辊距自动调整</w:t>
                  </w:r>
                  <w:r>
                    <w:rPr>
                      <w:rFonts w:hint="default" w:ascii="Times New Roman" w:hAnsi="Times New Roman" w:eastAsia="宋体" w:cs="Times New Roman"/>
                      <w:b w:val="0"/>
                      <w:bCs w:val="0"/>
                      <w:color w:val="auto"/>
                      <w:kern w:val="0"/>
                      <w:sz w:val="21"/>
                      <w:szCs w:val="21"/>
                      <w:highlight w:val="none"/>
                    </w:rPr>
                    <w:t>；12.轧辊侧压</w:t>
                  </w:r>
                  <w:r>
                    <w:rPr>
                      <w:rFonts w:hint="default" w:ascii="Times New Roman" w:hAnsi="Times New Roman" w:eastAsia="宋体" w:cs="Times New Roman"/>
                      <w:b w:val="0"/>
                      <w:bCs w:val="0"/>
                      <w:color w:val="auto"/>
                      <w:sz w:val="21"/>
                      <w:szCs w:val="21"/>
                      <w:highlight w:val="none"/>
                    </w:rPr>
                    <w:t>液压</w:t>
                  </w:r>
                  <w:r>
                    <w:rPr>
                      <w:rFonts w:hint="default" w:ascii="Times New Roman" w:hAnsi="Times New Roman" w:eastAsia="宋体" w:cs="Times New Roman"/>
                      <w:b w:val="0"/>
                      <w:bCs w:val="0"/>
                      <w:color w:val="auto"/>
                      <w:kern w:val="0"/>
                      <w:sz w:val="21"/>
                      <w:szCs w:val="21"/>
                      <w:highlight w:val="none"/>
                    </w:rPr>
                    <w:t>平衡</w:t>
                  </w:r>
                  <w:r>
                    <w:rPr>
                      <w:rFonts w:hint="default" w:ascii="Times New Roman" w:hAnsi="Times New Roman" w:eastAsia="宋体" w:cs="Times New Roman"/>
                      <w:b w:val="0"/>
                      <w:bCs w:val="0"/>
                      <w:color w:val="auto"/>
                      <w:sz w:val="21"/>
                      <w:szCs w:val="21"/>
                      <w:highlight w:val="none"/>
                    </w:rPr>
                    <w:t>；</w:t>
                  </w:r>
                  <w:r>
                    <w:rPr>
                      <w:rFonts w:hint="default" w:ascii="Times New Roman" w:hAnsi="Times New Roman" w:eastAsia="宋体" w:cs="Times New Roman"/>
                      <w:b w:val="0"/>
                      <w:bCs w:val="0"/>
                      <w:color w:val="auto"/>
                      <w:kern w:val="0"/>
                      <w:sz w:val="21"/>
                      <w:szCs w:val="21"/>
                      <w:highlight w:val="none"/>
                    </w:rPr>
                    <w:t>13.轧辊电动锁紧；</w:t>
                  </w:r>
                  <w:r>
                    <w:rPr>
                      <w:rFonts w:hint="default" w:ascii="Times New Roman" w:hAnsi="Times New Roman" w:eastAsia="宋体" w:cs="Times New Roman"/>
                      <w:b w:val="0"/>
                      <w:bCs w:val="0"/>
                      <w:color w:val="auto"/>
                      <w:sz w:val="21"/>
                      <w:szCs w:val="21"/>
                      <w:highlight w:val="none"/>
                    </w:rPr>
                    <w:t>14.下导板液压锁紧；15.</w:t>
                  </w:r>
                  <w:r>
                    <w:rPr>
                      <w:rFonts w:hint="default" w:ascii="Times New Roman" w:hAnsi="Times New Roman" w:eastAsia="宋体" w:cs="Times New Roman"/>
                      <w:b w:val="0"/>
                      <w:bCs w:val="0"/>
                      <w:color w:val="auto"/>
                      <w:kern w:val="0"/>
                      <w:sz w:val="21"/>
                      <w:szCs w:val="21"/>
                      <w:highlight w:val="none"/>
                    </w:rPr>
                    <w:t>轧辊倾角电动调整；16.轧辊倾角液压锁紧；17.轧辊倾角数字显示；18.机下轧渣-自动收集，含渣框1只；</w:t>
                  </w:r>
                </w:p>
              </w:tc>
              <w:tc>
                <w:tcPr>
                  <w:tcW w:w="707" w:type="pct"/>
                  <w:shd w:val="clear" w:color="auto" w:fill="auto"/>
                  <w:noWrap w:val="0"/>
                  <w:vAlign w:val="center"/>
                </w:tcPr>
                <w:p w14:paraId="631CC7AA">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1C99F09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5" w:hRule="atLeast"/>
                <w:jc w:val="center"/>
              </w:trPr>
              <w:tc>
                <w:tcPr>
                  <w:tcW w:w="424" w:type="pct"/>
                  <w:shd w:val="clear" w:color="auto" w:fill="auto"/>
                  <w:noWrap w:val="0"/>
                  <w:vAlign w:val="center"/>
                </w:tcPr>
                <w:p w14:paraId="35611BEB">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4</w:t>
                  </w:r>
                </w:p>
              </w:tc>
              <w:tc>
                <w:tcPr>
                  <w:tcW w:w="1222" w:type="pct"/>
                  <w:shd w:val="clear" w:color="auto" w:fill="auto"/>
                  <w:noWrap w:val="0"/>
                  <w:vAlign w:val="center"/>
                </w:tcPr>
                <w:p w14:paraId="5DAFE035">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缓冷淬火系统</w:t>
                  </w:r>
                </w:p>
              </w:tc>
              <w:tc>
                <w:tcPr>
                  <w:tcW w:w="581" w:type="pct"/>
                  <w:shd w:val="clear" w:color="auto" w:fill="auto"/>
                  <w:noWrap w:val="0"/>
                  <w:vAlign w:val="center"/>
                </w:tcPr>
                <w:p w14:paraId="7F53DE40">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2065" w:type="pct"/>
                  <w:shd w:val="clear" w:color="auto" w:fill="auto"/>
                  <w:noWrap w:val="0"/>
                  <w:vAlign w:val="center"/>
                </w:tcPr>
                <w:p w14:paraId="3E35D04B">
                  <w:pPr>
                    <w:pStyle w:val="139"/>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2"/>
                      <w:sz w:val="21"/>
                      <w:szCs w:val="21"/>
                      <w:highlight w:val="none"/>
                      <w:lang w:val="en-US" w:eastAsia="zh-CN" w:bidi="ar-SA"/>
                    </w:rPr>
                  </w:pPr>
                </w:p>
              </w:tc>
              <w:tc>
                <w:tcPr>
                  <w:tcW w:w="707" w:type="pct"/>
                  <w:shd w:val="clear" w:color="auto" w:fill="auto"/>
                  <w:noWrap w:val="0"/>
                  <w:vAlign w:val="center"/>
                </w:tcPr>
                <w:p w14:paraId="24CB6DA3">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5C10BDE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424" w:type="pct"/>
                  <w:shd w:val="clear" w:color="auto" w:fill="auto"/>
                  <w:noWrap w:val="0"/>
                  <w:vAlign w:val="center"/>
                </w:tcPr>
                <w:p w14:paraId="5320147C">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4.1</w:t>
                  </w:r>
                </w:p>
              </w:tc>
              <w:tc>
                <w:tcPr>
                  <w:tcW w:w="1222" w:type="pct"/>
                  <w:shd w:val="clear" w:color="auto" w:fill="auto"/>
                  <w:noWrap w:val="0"/>
                  <w:vAlign w:val="center"/>
                </w:tcPr>
                <w:p w14:paraId="1294A011">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1#提升输送机</w:t>
                  </w:r>
                </w:p>
              </w:tc>
              <w:tc>
                <w:tcPr>
                  <w:tcW w:w="581" w:type="pct"/>
                  <w:shd w:val="clear" w:color="auto" w:fill="auto"/>
                  <w:noWrap w:val="0"/>
                  <w:vAlign w:val="center"/>
                </w:tcPr>
                <w:p w14:paraId="3786F7FE">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2065" w:type="pct"/>
                  <w:shd w:val="clear" w:color="auto" w:fill="auto"/>
                  <w:noWrap w:val="0"/>
                  <w:vAlign w:val="center"/>
                </w:tcPr>
                <w:p w14:paraId="605D02F0">
                  <w:pPr>
                    <w:pStyle w:val="139"/>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1.电机变频；2.碗式链；</w:t>
                  </w:r>
                </w:p>
              </w:tc>
              <w:tc>
                <w:tcPr>
                  <w:tcW w:w="707" w:type="pct"/>
                  <w:shd w:val="clear" w:color="auto" w:fill="auto"/>
                  <w:noWrap w:val="0"/>
                  <w:vAlign w:val="center"/>
                </w:tcPr>
                <w:p w14:paraId="019AE294">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2EF835F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0" w:hRule="atLeast"/>
                <w:jc w:val="center"/>
              </w:trPr>
              <w:tc>
                <w:tcPr>
                  <w:tcW w:w="424" w:type="pct"/>
                  <w:shd w:val="clear" w:color="auto" w:fill="auto"/>
                  <w:noWrap w:val="0"/>
                  <w:vAlign w:val="center"/>
                </w:tcPr>
                <w:p w14:paraId="5BA012F1">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4.2</w:t>
                  </w:r>
                </w:p>
              </w:tc>
              <w:tc>
                <w:tcPr>
                  <w:tcW w:w="1222" w:type="pct"/>
                  <w:shd w:val="clear" w:color="auto" w:fill="auto"/>
                  <w:noWrap w:val="0"/>
                  <w:vAlign w:val="center"/>
                </w:tcPr>
                <w:p w14:paraId="0FC4DEED">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筛选机</w:t>
                  </w:r>
                </w:p>
              </w:tc>
              <w:tc>
                <w:tcPr>
                  <w:tcW w:w="581" w:type="pct"/>
                  <w:shd w:val="clear" w:color="auto" w:fill="auto"/>
                  <w:noWrap w:val="0"/>
                  <w:vAlign w:val="center"/>
                </w:tcPr>
                <w:p w14:paraId="3F18E4BC">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2065" w:type="pct"/>
                  <w:shd w:val="clear" w:color="auto" w:fill="auto"/>
                  <w:noWrap w:val="0"/>
                  <w:vAlign w:val="center"/>
                </w:tcPr>
                <w:p w14:paraId="793ED1B6">
                  <w:pPr>
                    <w:pStyle w:val="139"/>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1.电机变频；2.80-100mm规格范围可调；</w:t>
                  </w:r>
                </w:p>
              </w:tc>
              <w:tc>
                <w:tcPr>
                  <w:tcW w:w="707" w:type="pct"/>
                  <w:shd w:val="clear" w:color="auto" w:fill="auto"/>
                  <w:noWrap w:val="0"/>
                  <w:vAlign w:val="center"/>
                </w:tcPr>
                <w:p w14:paraId="449CFAA2">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3B8FD05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424" w:type="pct"/>
                  <w:shd w:val="clear" w:color="auto" w:fill="auto"/>
                  <w:noWrap w:val="0"/>
                  <w:vAlign w:val="center"/>
                </w:tcPr>
                <w:p w14:paraId="6E6F3C20">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4.3</w:t>
                  </w:r>
                </w:p>
              </w:tc>
              <w:tc>
                <w:tcPr>
                  <w:tcW w:w="1222" w:type="pct"/>
                  <w:shd w:val="clear" w:color="auto" w:fill="auto"/>
                  <w:noWrap w:val="0"/>
                  <w:vAlign w:val="center"/>
                </w:tcPr>
                <w:p w14:paraId="33FA6280">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链式缓冷机</w:t>
                  </w:r>
                </w:p>
              </w:tc>
              <w:tc>
                <w:tcPr>
                  <w:tcW w:w="581" w:type="pct"/>
                  <w:shd w:val="clear" w:color="auto" w:fill="auto"/>
                  <w:noWrap w:val="0"/>
                  <w:vAlign w:val="center"/>
                </w:tcPr>
                <w:p w14:paraId="5D944C01">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2065" w:type="pct"/>
                  <w:shd w:val="clear" w:color="auto" w:fill="auto"/>
                  <w:noWrap w:val="0"/>
                  <w:vAlign w:val="center"/>
                </w:tcPr>
                <w:p w14:paraId="1A8632CC">
                  <w:pPr>
                    <w:pStyle w:val="139"/>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1.电机变频；</w:t>
                  </w:r>
                </w:p>
              </w:tc>
              <w:tc>
                <w:tcPr>
                  <w:tcW w:w="707" w:type="pct"/>
                  <w:shd w:val="clear" w:color="auto" w:fill="auto"/>
                  <w:noWrap w:val="0"/>
                  <w:vAlign w:val="center"/>
                </w:tcPr>
                <w:p w14:paraId="6A6CD98F">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36850D7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0" w:hRule="atLeast"/>
                <w:jc w:val="center"/>
              </w:trPr>
              <w:tc>
                <w:tcPr>
                  <w:tcW w:w="424" w:type="pct"/>
                  <w:shd w:val="clear" w:color="auto" w:fill="auto"/>
                  <w:noWrap w:val="0"/>
                  <w:vAlign w:val="center"/>
                </w:tcPr>
                <w:p w14:paraId="4E955B20">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4.4</w:t>
                  </w:r>
                </w:p>
              </w:tc>
              <w:tc>
                <w:tcPr>
                  <w:tcW w:w="1222" w:type="pct"/>
                  <w:shd w:val="clear" w:color="auto" w:fill="auto"/>
                  <w:noWrap w:val="0"/>
                  <w:vAlign w:val="center"/>
                </w:tcPr>
                <w:p w14:paraId="26489651">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分球机</w:t>
                  </w:r>
                </w:p>
              </w:tc>
              <w:tc>
                <w:tcPr>
                  <w:tcW w:w="581" w:type="pct"/>
                  <w:shd w:val="clear" w:color="auto" w:fill="auto"/>
                  <w:noWrap w:val="0"/>
                  <w:vAlign w:val="center"/>
                </w:tcPr>
                <w:p w14:paraId="6304C011">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2065" w:type="pct"/>
                  <w:shd w:val="clear" w:color="auto" w:fill="auto"/>
                  <w:noWrap w:val="0"/>
                  <w:vAlign w:val="center"/>
                </w:tcPr>
                <w:p w14:paraId="7FE8984F">
                  <w:pPr>
                    <w:pStyle w:val="139"/>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1.电机变频；2.规格范围80-100通用；</w:t>
                  </w:r>
                </w:p>
              </w:tc>
              <w:tc>
                <w:tcPr>
                  <w:tcW w:w="707" w:type="pct"/>
                  <w:shd w:val="clear" w:color="auto" w:fill="auto"/>
                  <w:noWrap w:val="0"/>
                  <w:vAlign w:val="center"/>
                </w:tcPr>
                <w:p w14:paraId="3A12290C">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08E952A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pct"/>
                  <w:shd w:val="clear" w:color="auto" w:fill="auto"/>
                  <w:noWrap w:val="0"/>
                  <w:vAlign w:val="center"/>
                </w:tcPr>
                <w:p w14:paraId="6101391A">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4.5</w:t>
                  </w:r>
                </w:p>
              </w:tc>
              <w:tc>
                <w:tcPr>
                  <w:tcW w:w="1222" w:type="pct"/>
                  <w:shd w:val="clear" w:color="auto" w:fill="auto"/>
                  <w:noWrap w:val="0"/>
                  <w:vAlign w:val="center"/>
                </w:tcPr>
                <w:p w14:paraId="60CC5B14">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绞笼式淬火机</w:t>
                  </w:r>
                </w:p>
              </w:tc>
              <w:tc>
                <w:tcPr>
                  <w:tcW w:w="581" w:type="pct"/>
                  <w:shd w:val="clear" w:color="auto" w:fill="auto"/>
                  <w:noWrap w:val="0"/>
                  <w:vAlign w:val="center"/>
                </w:tcPr>
                <w:p w14:paraId="755F3BA7">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2</w:t>
                  </w:r>
                </w:p>
              </w:tc>
              <w:tc>
                <w:tcPr>
                  <w:tcW w:w="2065" w:type="pct"/>
                  <w:shd w:val="clear" w:color="auto" w:fill="auto"/>
                  <w:noWrap w:val="0"/>
                  <w:vAlign w:val="center"/>
                </w:tcPr>
                <w:p w14:paraId="317D61E3">
                  <w:pPr>
                    <w:pStyle w:val="139"/>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1.电机变频；</w:t>
                  </w:r>
                </w:p>
              </w:tc>
              <w:tc>
                <w:tcPr>
                  <w:tcW w:w="707" w:type="pct"/>
                  <w:shd w:val="clear" w:color="auto" w:fill="auto"/>
                  <w:noWrap w:val="0"/>
                  <w:vAlign w:val="center"/>
                </w:tcPr>
                <w:p w14:paraId="6A010479">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6403442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7" w:hRule="atLeast"/>
                <w:jc w:val="center"/>
              </w:trPr>
              <w:tc>
                <w:tcPr>
                  <w:tcW w:w="424" w:type="pct"/>
                  <w:shd w:val="clear" w:color="auto" w:fill="auto"/>
                  <w:noWrap w:val="0"/>
                  <w:vAlign w:val="center"/>
                </w:tcPr>
                <w:p w14:paraId="41ADF3DF">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4.6</w:t>
                  </w:r>
                </w:p>
              </w:tc>
              <w:tc>
                <w:tcPr>
                  <w:tcW w:w="1222" w:type="pct"/>
                  <w:shd w:val="clear" w:color="auto" w:fill="auto"/>
                  <w:noWrap w:val="0"/>
                  <w:vAlign w:val="center"/>
                </w:tcPr>
                <w:p w14:paraId="54FAFE77">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过渡溜槽</w:t>
                  </w:r>
                </w:p>
              </w:tc>
              <w:tc>
                <w:tcPr>
                  <w:tcW w:w="581" w:type="pct"/>
                  <w:shd w:val="clear" w:color="auto" w:fill="auto"/>
                  <w:noWrap w:val="0"/>
                  <w:vAlign w:val="center"/>
                </w:tcPr>
                <w:p w14:paraId="16866C5A">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2065" w:type="pct"/>
                  <w:shd w:val="clear" w:color="auto" w:fill="auto"/>
                  <w:noWrap w:val="0"/>
                  <w:vAlign w:val="center"/>
                </w:tcPr>
                <w:p w14:paraId="6DD2D526">
                  <w:pPr>
                    <w:pStyle w:val="139"/>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1.具降噪功能；</w:t>
                  </w:r>
                </w:p>
              </w:tc>
              <w:tc>
                <w:tcPr>
                  <w:tcW w:w="707" w:type="pct"/>
                  <w:shd w:val="clear" w:color="auto" w:fill="auto"/>
                  <w:noWrap w:val="0"/>
                  <w:vAlign w:val="center"/>
                </w:tcPr>
                <w:p w14:paraId="4817BD5B">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39791DC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8" w:hRule="atLeast"/>
                <w:jc w:val="center"/>
              </w:trPr>
              <w:tc>
                <w:tcPr>
                  <w:tcW w:w="424" w:type="pct"/>
                  <w:shd w:val="clear" w:color="auto" w:fill="auto"/>
                  <w:noWrap w:val="0"/>
                  <w:vAlign w:val="center"/>
                </w:tcPr>
                <w:p w14:paraId="7B751E97">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5</w:t>
                  </w:r>
                </w:p>
              </w:tc>
              <w:tc>
                <w:tcPr>
                  <w:tcW w:w="1222" w:type="pct"/>
                  <w:shd w:val="clear" w:color="auto" w:fill="auto"/>
                  <w:noWrap w:val="0"/>
                  <w:vAlign w:val="center"/>
                </w:tcPr>
                <w:p w14:paraId="43F38EEC">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淬后冷却回火系统</w:t>
                  </w:r>
                </w:p>
              </w:tc>
              <w:tc>
                <w:tcPr>
                  <w:tcW w:w="581" w:type="pct"/>
                  <w:shd w:val="clear" w:color="auto" w:fill="auto"/>
                  <w:noWrap w:val="0"/>
                  <w:vAlign w:val="center"/>
                </w:tcPr>
                <w:p w14:paraId="17DABF5B">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2065" w:type="pct"/>
                  <w:shd w:val="clear" w:color="auto" w:fill="auto"/>
                  <w:noWrap w:val="0"/>
                  <w:vAlign w:val="center"/>
                </w:tcPr>
                <w:p w14:paraId="449AA301">
                  <w:pPr>
                    <w:pStyle w:val="139"/>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2"/>
                      <w:sz w:val="21"/>
                      <w:szCs w:val="21"/>
                      <w:highlight w:val="none"/>
                      <w:lang w:val="en-US" w:eastAsia="zh-CN" w:bidi="ar-SA"/>
                    </w:rPr>
                  </w:pPr>
                </w:p>
              </w:tc>
              <w:tc>
                <w:tcPr>
                  <w:tcW w:w="707" w:type="pct"/>
                  <w:shd w:val="clear" w:color="auto" w:fill="auto"/>
                  <w:noWrap w:val="0"/>
                  <w:vAlign w:val="center"/>
                </w:tcPr>
                <w:p w14:paraId="112F79C3">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0079D0D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424" w:type="pct"/>
                  <w:shd w:val="clear" w:color="auto" w:fill="auto"/>
                  <w:noWrap w:val="0"/>
                  <w:vAlign w:val="center"/>
                </w:tcPr>
                <w:p w14:paraId="4852ADDB">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5.1</w:t>
                  </w:r>
                </w:p>
              </w:tc>
              <w:tc>
                <w:tcPr>
                  <w:tcW w:w="1222" w:type="pct"/>
                  <w:shd w:val="clear" w:color="auto" w:fill="auto"/>
                  <w:noWrap w:val="0"/>
                  <w:vAlign w:val="center"/>
                </w:tcPr>
                <w:p w14:paraId="3DF15FD7">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淬后风</w:t>
                  </w:r>
                  <w:r>
                    <w:rPr>
                      <w:rFonts w:hint="default" w:ascii="Times New Roman" w:hAnsi="Times New Roman" w:eastAsia="宋体" w:cs="Times New Roman"/>
                      <w:b w:val="0"/>
                      <w:bCs w:val="0"/>
                      <w:color w:val="auto"/>
                      <w:sz w:val="21"/>
                      <w:szCs w:val="21"/>
                      <w:highlight w:val="none"/>
                    </w:rPr>
                    <w:t>冷机</w:t>
                  </w:r>
                </w:p>
              </w:tc>
              <w:tc>
                <w:tcPr>
                  <w:tcW w:w="581" w:type="pct"/>
                  <w:shd w:val="clear" w:color="auto" w:fill="auto"/>
                  <w:noWrap w:val="0"/>
                  <w:vAlign w:val="center"/>
                </w:tcPr>
                <w:p w14:paraId="22D23FF6">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2065" w:type="pct"/>
                  <w:shd w:val="clear" w:color="auto" w:fill="auto"/>
                  <w:noWrap w:val="0"/>
                  <w:vAlign w:val="center"/>
                </w:tcPr>
                <w:p w14:paraId="44C126FA">
                  <w:pPr>
                    <w:pStyle w:val="139"/>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1.电机变频；2.冷却方式：风冷；3.冷却温度：≤50</w:t>
                  </w:r>
                  <w:r>
                    <w:rPr>
                      <w:rFonts w:hint="default" w:ascii="Times New Roman" w:hAnsi="Times New Roman" w:eastAsia="宋体" w:cs="Times New Roman"/>
                      <w:b w:val="0"/>
                      <w:bCs w:val="0"/>
                      <w:color w:val="auto"/>
                      <w:sz w:val="21"/>
                      <w:szCs w:val="21"/>
                      <w:highlight w:val="none"/>
                      <w:lang w:eastAsia="zh-CN"/>
                    </w:rPr>
                    <w:t>°C</w:t>
                  </w:r>
                  <w:r>
                    <w:rPr>
                      <w:rFonts w:hint="default" w:ascii="Times New Roman" w:hAnsi="Times New Roman" w:eastAsia="宋体" w:cs="Times New Roman"/>
                      <w:b w:val="0"/>
                      <w:bCs w:val="0"/>
                      <w:color w:val="auto"/>
                      <w:sz w:val="21"/>
                      <w:szCs w:val="21"/>
                      <w:highlight w:val="none"/>
                    </w:rPr>
                    <w:t>；</w:t>
                  </w:r>
                </w:p>
              </w:tc>
              <w:tc>
                <w:tcPr>
                  <w:tcW w:w="707" w:type="pct"/>
                  <w:shd w:val="clear" w:color="auto" w:fill="auto"/>
                  <w:noWrap w:val="0"/>
                  <w:vAlign w:val="center"/>
                </w:tcPr>
                <w:p w14:paraId="17D4079D">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596BE6D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24" w:type="pct"/>
                  <w:shd w:val="clear" w:color="auto" w:fill="auto"/>
                  <w:noWrap w:val="0"/>
                  <w:vAlign w:val="center"/>
                </w:tcPr>
                <w:p w14:paraId="653B6FB4">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5.2</w:t>
                  </w:r>
                </w:p>
              </w:tc>
              <w:tc>
                <w:tcPr>
                  <w:tcW w:w="1222" w:type="pct"/>
                  <w:shd w:val="clear" w:color="auto" w:fill="auto"/>
                  <w:noWrap w:val="0"/>
                  <w:vAlign w:val="center"/>
                </w:tcPr>
                <w:p w14:paraId="6D388A8B">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2#提升输送机</w:t>
                  </w:r>
                </w:p>
              </w:tc>
              <w:tc>
                <w:tcPr>
                  <w:tcW w:w="581" w:type="pct"/>
                  <w:shd w:val="clear" w:color="auto" w:fill="auto"/>
                  <w:noWrap w:val="0"/>
                  <w:vAlign w:val="center"/>
                </w:tcPr>
                <w:p w14:paraId="66F9BD35">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2065" w:type="pct"/>
                  <w:shd w:val="clear" w:color="auto" w:fill="auto"/>
                  <w:noWrap w:val="0"/>
                  <w:vAlign w:val="center"/>
                </w:tcPr>
                <w:p w14:paraId="43AAC062">
                  <w:pPr>
                    <w:pStyle w:val="139"/>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1.电机变频；2.碗式链；</w:t>
                  </w:r>
                </w:p>
              </w:tc>
              <w:tc>
                <w:tcPr>
                  <w:tcW w:w="707" w:type="pct"/>
                  <w:shd w:val="clear" w:color="auto" w:fill="auto"/>
                  <w:noWrap w:val="0"/>
                  <w:vAlign w:val="center"/>
                </w:tcPr>
                <w:p w14:paraId="368DFDD0">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67E4552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9" w:hRule="atLeast"/>
                <w:jc w:val="center"/>
              </w:trPr>
              <w:tc>
                <w:tcPr>
                  <w:tcW w:w="424" w:type="pct"/>
                  <w:shd w:val="clear" w:color="auto" w:fill="auto"/>
                  <w:noWrap w:val="0"/>
                  <w:vAlign w:val="center"/>
                </w:tcPr>
                <w:p w14:paraId="4A63F429">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5.3</w:t>
                  </w:r>
                </w:p>
              </w:tc>
              <w:tc>
                <w:tcPr>
                  <w:tcW w:w="1222" w:type="pct"/>
                  <w:shd w:val="clear" w:color="auto" w:fill="auto"/>
                  <w:noWrap w:val="0"/>
                  <w:vAlign w:val="center"/>
                </w:tcPr>
                <w:p w14:paraId="44D9DAD1">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布料机</w:t>
                  </w:r>
                </w:p>
              </w:tc>
              <w:tc>
                <w:tcPr>
                  <w:tcW w:w="581" w:type="pct"/>
                  <w:shd w:val="clear" w:color="auto" w:fill="auto"/>
                  <w:noWrap w:val="0"/>
                  <w:vAlign w:val="center"/>
                </w:tcPr>
                <w:p w14:paraId="6688E242">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2065" w:type="pct"/>
                  <w:shd w:val="clear" w:color="auto" w:fill="auto"/>
                  <w:noWrap w:val="0"/>
                  <w:vAlign w:val="center"/>
                </w:tcPr>
                <w:p w14:paraId="49F4FDCB">
                  <w:pPr>
                    <w:pStyle w:val="139"/>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1.电机变频；2.布料</w:t>
                  </w:r>
                  <w:r>
                    <w:rPr>
                      <w:rFonts w:hint="eastAsia" w:ascii="Times New Roman" w:hAnsi="Times New Roman" w:eastAsia="宋体" w:cs="Times New Roman"/>
                      <w:b w:val="0"/>
                      <w:bCs w:val="0"/>
                      <w:color w:val="auto"/>
                      <w:sz w:val="21"/>
                      <w:szCs w:val="21"/>
                      <w:highlight w:val="none"/>
                      <w:lang w:eastAsia="zh-CN"/>
                    </w:rPr>
                    <w:t>均匀</w:t>
                  </w:r>
                  <w:r>
                    <w:rPr>
                      <w:rFonts w:hint="default" w:ascii="Times New Roman" w:hAnsi="Times New Roman" w:eastAsia="宋体" w:cs="Times New Roman"/>
                      <w:b w:val="0"/>
                      <w:bCs w:val="0"/>
                      <w:color w:val="auto"/>
                      <w:sz w:val="21"/>
                      <w:szCs w:val="21"/>
                      <w:highlight w:val="none"/>
                    </w:rPr>
                    <w:t>，结构结实、行运稳定；</w:t>
                  </w:r>
                </w:p>
              </w:tc>
              <w:tc>
                <w:tcPr>
                  <w:tcW w:w="707" w:type="pct"/>
                  <w:shd w:val="clear" w:color="auto" w:fill="auto"/>
                  <w:noWrap w:val="0"/>
                  <w:vAlign w:val="center"/>
                </w:tcPr>
                <w:p w14:paraId="7298767A">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2749D14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1" w:hRule="atLeast"/>
                <w:jc w:val="center"/>
              </w:trPr>
              <w:tc>
                <w:tcPr>
                  <w:tcW w:w="424" w:type="pct"/>
                  <w:shd w:val="clear" w:color="auto" w:fill="auto"/>
                  <w:noWrap w:val="0"/>
                  <w:vAlign w:val="center"/>
                </w:tcPr>
                <w:p w14:paraId="5C78708A">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5.4</w:t>
                  </w:r>
                </w:p>
              </w:tc>
              <w:tc>
                <w:tcPr>
                  <w:tcW w:w="1222" w:type="pct"/>
                  <w:shd w:val="clear" w:color="auto" w:fill="auto"/>
                  <w:noWrap w:val="0"/>
                  <w:vAlign w:val="center"/>
                </w:tcPr>
                <w:p w14:paraId="30B20422">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在线回火炉</w:t>
                  </w:r>
                  <w:r>
                    <w:rPr>
                      <w:rFonts w:hint="default" w:ascii="Times New Roman" w:hAnsi="Times New Roman" w:eastAsia="宋体" w:cs="Times New Roman"/>
                      <w:b w:val="0"/>
                      <w:bCs w:val="0"/>
                      <w:color w:val="auto"/>
                      <w:kern w:val="0"/>
                      <w:sz w:val="21"/>
                      <w:szCs w:val="21"/>
                      <w:highlight w:val="none"/>
                      <w:lang w:val="en-US" w:eastAsia="zh-CN"/>
                    </w:rPr>
                    <w:t>1#</w:t>
                  </w:r>
                </w:p>
              </w:tc>
              <w:tc>
                <w:tcPr>
                  <w:tcW w:w="581" w:type="pct"/>
                  <w:shd w:val="clear" w:color="auto" w:fill="auto"/>
                  <w:noWrap w:val="0"/>
                  <w:vAlign w:val="center"/>
                </w:tcPr>
                <w:p w14:paraId="48315A62">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2065" w:type="pct"/>
                  <w:shd w:val="clear" w:color="auto" w:fill="auto"/>
                  <w:noWrap w:val="0"/>
                  <w:vAlign w:val="center"/>
                </w:tcPr>
                <w:p w14:paraId="352A28BC">
                  <w:pPr>
                    <w:pStyle w:val="139"/>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1.燃料：</w:t>
                  </w:r>
                  <w:r>
                    <w:rPr>
                      <w:rFonts w:hint="eastAsia" w:ascii="Times New Roman" w:hAnsi="Times New Roman" w:eastAsia="宋体" w:cs="Times New Roman"/>
                      <w:b w:val="0"/>
                      <w:bCs w:val="0"/>
                      <w:color w:val="auto"/>
                      <w:kern w:val="0"/>
                      <w:sz w:val="21"/>
                      <w:szCs w:val="21"/>
                      <w:highlight w:val="none"/>
                      <w:lang w:eastAsia="zh-CN"/>
                    </w:rPr>
                    <w:t>天然气</w:t>
                  </w:r>
                  <w:r>
                    <w:rPr>
                      <w:rFonts w:hint="default" w:ascii="Times New Roman" w:hAnsi="Times New Roman" w:eastAsia="宋体" w:cs="Times New Roman"/>
                      <w:b w:val="0"/>
                      <w:bCs w:val="0"/>
                      <w:color w:val="auto"/>
                      <w:kern w:val="0"/>
                      <w:sz w:val="21"/>
                      <w:szCs w:val="21"/>
                      <w:highlight w:val="none"/>
                    </w:rPr>
                    <w:t>；2.链排材质：2Cr13；3.回火时间：</w:t>
                  </w:r>
                  <w:r>
                    <w:rPr>
                      <w:rFonts w:hint="default" w:ascii="Times New Roman" w:hAnsi="Times New Roman" w:eastAsia="宋体" w:cs="Times New Roman"/>
                      <w:b w:val="0"/>
                      <w:bCs w:val="0"/>
                      <w:color w:val="auto"/>
                      <w:sz w:val="21"/>
                      <w:szCs w:val="21"/>
                      <w:highlight w:val="none"/>
                    </w:rPr>
                    <w:t>≤3.5小时；</w:t>
                  </w:r>
                  <w:r>
                    <w:rPr>
                      <w:rFonts w:hint="default" w:ascii="Times New Roman" w:hAnsi="Times New Roman" w:eastAsia="宋体" w:cs="Times New Roman"/>
                      <w:color w:val="auto"/>
                      <w:sz w:val="21"/>
                      <w:szCs w:val="21"/>
                      <w:highlight w:val="none"/>
                      <w:lang w:val="en-US" w:eastAsia="zh-CN"/>
                    </w:rPr>
                    <w:t>风量：26460m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/h</w:t>
                  </w:r>
                </w:p>
              </w:tc>
              <w:tc>
                <w:tcPr>
                  <w:tcW w:w="707" w:type="pct"/>
                  <w:shd w:val="clear" w:color="auto" w:fill="auto"/>
                  <w:noWrap w:val="0"/>
                  <w:vAlign w:val="center"/>
                </w:tcPr>
                <w:p w14:paraId="43B302F3">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14支高速调温烧嘴，6支230kw，3支130kw，5支90kw</w:t>
                  </w:r>
                </w:p>
              </w:tc>
            </w:tr>
            <w:tr w14:paraId="59727F1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424" w:type="pct"/>
                  <w:shd w:val="clear" w:color="auto" w:fill="auto"/>
                  <w:noWrap w:val="0"/>
                  <w:vAlign w:val="center"/>
                </w:tcPr>
                <w:p w14:paraId="67BB400A">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5.5</w:t>
                  </w:r>
                </w:p>
              </w:tc>
              <w:tc>
                <w:tcPr>
                  <w:tcW w:w="1222" w:type="pct"/>
                  <w:shd w:val="clear" w:color="auto" w:fill="auto"/>
                  <w:noWrap w:val="0"/>
                  <w:vAlign w:val="center"/>
                </w:tcPr>
                <w:p w14:paraId="0ED25249">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过渡溜槽</w:t>
                  </w:r>
                </w:p>
              </w:tc>
              <w:tc>
                <w:tcPr>
                  <w:tcW w:w="581" w:type="pct"/>
                  <w:shd w:val="clear" w:color="auto" w:fill="auto"/>
                  <w:noWrap w:val="0"/>
                  <w:vAlign w:val="center"/>
                </w:tcPr>
                <w:p w14:paraId="6B91464D">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2065" w:type="pct"/>
                  <w:shd w:val="clear" w:color="auto" w:fill="auto"/>
                  <w:noWrap w:val="0"/>
                  <w:vAlign w:val="center"/>
                </w:tcPr>
                <w:p w14:paraId="623391E4">
                  <w:pPr>
                    <w:pStyle w:val="139"/>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1.具降噪功能；</w:t>
                  </w:r>
                </w:p>
              </w:tc>
              <w:tc>
                <w:tcPr>
                  <w:tcW w:w="707" w:type="pct"/>
                  <w:shd w:val="clear" w:color="auto" w:fill="auto"/>
                  <w:noWrap w:val="0"/>
                  <w:vAlign w:val="center"/>
                </w:tcPr>
                <w:p w14:paraId="3E1690DD">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3F85F71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1" w:hRule="atLeast"/>
                <w:jc w:val="center"/>
              </w:trPr>
              <w:tc>
                <w:tcPr>
                  <w:tcW w:w="424" w:type="pct"/>
                  <w:shd w:val="clear" w:color="auto" w:fill="auto"/>
                  <w:noWrap w:val="0"/>
                  <w:vAlign w:val="center"/>
                </w:tcPr>
                <w:p w14:paraId="4E9C757D">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6</w:t>
                  </w:r>
                </w:p>
              </w:tc>
              <w:tc>
                <w:tcPr>
                  <w:tcW w:w="1222" w:type="pct"/>
                  <w:shd w:val="clear" w:color="auto" w:fill="auto"/>
                  <w:noWrap w:val="0"/>
                  <w:vAlign w:val="center"/>
                </w:tcPr>
                <w:p w14:paraId="09114BE9">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仓储包装系统</w:t>
                  </w:r>
                </w:p>
              </w:tc>
              <w:tc>
                <w:tcPr>
                  <w:tcW w:w="581" w:type="pct"/>
                  <w:shd w:val="clear" w:color="auto" w:fill="auto"/>
                  <w:noWrap w:val="0"/>
                  <w:vAlign w:val="center"/>
                </w:tcPr>
                <w:p w14:paraId="7E5AFDC5">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2065" w:type="pct"/>
                  <w:shd w:val="clear" w:color="auto" w:fill="auto"/>
                  <w:noWrap w:val="0"/>
                  <w:vAlign w:val="center"/>
                </w:tcPr>
                <w:p w14:paraId="3E143660">
                  <w:pPr>
                    <w:pStyle w:val="139"/>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1.经回火后的钢球自动提升输送至四个储球箱中；2.经工控机设定自动分配至指定储球箱；3.在线包装机闸门、进袋溜槽液压驱动，进袋溜槽具启闭功能，便于吊运；4.含电子平台称</w:t>
                  </w:r>
                  <w:r>
                    <w:rPr>
                      <w:rFonts w:hint="default" w:ascii="Times New Roman" w:hAnsi="Times New Roman" w:eastAsia="宋体" w:cs="Times New Roman"/>
                      <w:b w:val="0"/>
                      <w:bCs w:val="0"/>
                      <w:color w:val="auto"/>
                      <w:kern w:val="0"/>
                      <w:sz w:val="21"/>
                      <w:szCs w:val="21"/>
                      <w:highlight w:val="none"/>
                    </w:rPr>
                    <w:t>（品牌：南京天邦）；5.含支承筒；6.溜槽</w:t>
                  </w:r>
                  <w:r>
                    <w:rPr>
                      <w:rFonts w:hint="default" w:ascii="Times New Roman" w:hAnsi="Times New Roman" w:eastAsia="宋体" w:cs="Times New Roman"/>
                      <w:b w:val="0"/>
                      <w:bCs w:val="0"/>
                      <w:color w:val="auto"/>
                      <w:sz w:val="21"/>
                      <w:szCs w:val="21"/>
                      <w:highlight w:val="none"/>
                    </w:rPr>
                    <w:t>具降噪功能；</w:t>
                  </w:r>
                </w:p>
              </w:tc>
              <w:tc>
                <w:tcPr>
                  <w:tcW w:w="707" w:type="pct"/>
                  <w:shd w:val="clear" w:color="auto" w:fill="auto"/>
                  <w:noWrap w:val="0"/>
                  <w:vAlign w:val="center"/>
                </w:tcPr>
                <w:p w14:paraId="1116233D">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764E979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424" w:type="pct"/>
                  <w:shd w:val="clear" w:color="auto" w:fill="auto"/>
                  <w:noWrap w:val="0"/>
                  <w:vAlign w:val="center"/>
                </w:tcPr>
                <w:p w14:paraId="6F7C3AEE">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7</w:t>
                  </w:r>
                </w:p>
              </w:tc>
              <w:tc>
                <w:tcPr>
                  <w:tcW w:w="1222" w:type="pct"/>
                  <w:shd w:val="clear" w:color="auto" w:fill="auto"/>
                  <w:noWrap w:val="0"/>
                  <w:vAlign w:val="center"/>
                </w:tcPr>
                <w:p w14:paraId="0263E4D4">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液压系统</w:t>
                  </w:r>
                </w:p>
              </w:tc>
              <w:tc>
                <w:tcPr>
                  <w:tcW w:w="581" w:type="pct"/>
                  <w:shd w:val="clear" w:color="auto" w:fill="auto"/>
                  <w:noWrap w:val="0"/>
                  <w:vAlign w:val="center"/>
                </w:tcPr>
                <w:p w14:paraId="69B1408E">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1</w:t>
                  </w:r>
                </w:p>
              </w:tc>
              <w:tc>
                <w:tcPr>
                  <w:tcW w:w="2065" w:type="pct"/>
                  <w:shd w:val="clear" w:color="auto" w:fill="auto"/>
                  <w:noWrap w:val="0"/>
                  <w:vAlign w:val="center"/>
                </w:tcPr>
                <w:p w14:paraId="4A78AC42">
                  <w:pPr>
                    <w:pStyle w:val="139"/>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由油泵电机组（一用一备）、油箱、蓄能器、加热器、过滤器、阀台等组成；</w:t>
                  </w:r>
                  <w:r>
                    <w:rPr>
                      <w:rFonts w:hint="default" w:ascii="Times New Roman" w:hAnsi="Times New Roman" w:eastAsia="宋体" w:cs="Times New Roman"/>
                      <w:b w:val="0"/>
                      <w:bCs w:val="0"/>
                      <w:color w:val="auto"/>
                      <w:kern w:val="0"/>
                      <w:sz w:val="21"/>
                      <w:szCs w:val="21"/>
                      <w:highlight w:val="none"/>
                    </w:rPr>
                    <w:t>用于主机座、包装机的有关液压驱动</w:t>
                  </w:r>
                </w:p>
              </w:tc>
              <w:tc>
                <w:tcPr>
                  <w:tcW w:w="707" w:type="pct"/>
                  <w:shd w:val="clear" w:color="auto" w:fill="auto"/>
                  <w:noWrap w:val="0"/>
                  <w:vAlign w:val="center"/>
                </w:tcPr>
                <w:p w14:paraId="39C3B5C0">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1A0C316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424" w:type="pct"/>
                  <w:shd w:val="clear" w:color="auto" w:fill="auto"/>
                  <w:noWrap w:val="0"/>
                  <w:vAlign w:val="center"/>
                </w:tcPr>
                <w:p w14:paraId="30F3425E">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8</w:t>
                  </w:r>
                </w:p>
              </w:tc>
              <w:tc>
                <w:tcPr>
                  <w:tcW w:w="1222" w:type="pct"/>
                  <w:shd w:val="clear" w:color="auto" w:fill="auto"/>
                  <w:noWrap w:val="0"/>
                  <w:vAlign w:val="center"/>
                </w:tcPr>
                <w:p w14:paraId="41EE7E4F">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润滑</w:t>
                  </w:r>
                </w:p>
              </w:tc>
              <w:tc>
                <w:tcPr>
                  <w:tcW w:w="581" w:type="pct"/>
                  <w:shd w:val="clear" w:color="auto" w:fill="auto"/>
                  <w:noWrap w:val="0"/>
                  <w:vAlign w:val="center"/>
                </w:tcPr>
                <w:p w14:paraId="5977C979">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2065" w:type="pct"/>
                  <w:shd w:val="clear" w:color="auto" w:fill="auto"/>
                  <w:noWrap w:val="0"/>
                  <w:vAlign w:val="center"/>
                </w:tcPr>
                <w:p w14:paraId="4BF17530">
                  <w:pPr>
                    <w:pStyle w:val="139"/>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1.分配减速机润滑站；2.输送机、缓冷机链条，</w:t>
                  </w:r>
                  <w:r>
                    <w:rPr>
                      <w:rFonts w:hint="default" w:ascii="Times New Roman" w:hAnsi="Times New Roman" w:eastAsia="宋体" w:cs="Times New Roman"/>
                      <w:b w:val="0"/>
                      <w:bCs w:val="0"/>
                      <w:color w:val="auto"/>
                      <w:sz w:val="21"/>
                      <w:szCs w:val="21"/>
                      <w:highlight w:val="none"/>
                    </w:rPr>
                    <w:t>余油收集</w:t>
                  </w:r>
                  <w:r>
                    <w:rPr>
                      <w:rFonts w:hint="default" w:ascii="Times New Roman" w:hAnsi="Times New Roman" w:eastAsia="宋体" w:cs="Times New Roman"/>
                      <w:b w:val="0"/>
                      <w:bCs w:val="0"/>
                      <w:color w:val="auto"/>
                      <w:kern w:val="0"/>
                      <w:sz w:val="21"/>
                      <w:szCs w:val="21"/>
                      <w:highlight w:val="none"/>
                    </w:rPr>
                    <w:t>；3.润滑脂电动注油；</w:t>
                  </w:r>
                </w:p>
              </w:tc>
              <w:tc>
                <w:tcPr>
                  <w:tcW w:w="707" w:type="pct"/>
                  <w:shd w:val="clear" w:color="auto" w:fill="auto"/>
                  <w:noWrap w:val="0"/>
                  <w:vAlign w:val="center"/>
                </w:tcPr>
                <w:p w14:paraId="3BBFA283">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6ED3258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424" w:type="pct"/>
                  <w:shd w:val="clear" w:color="auto" w:fill="auto"/>
                  <w:noWrap w:val="0"/>
                  <w:vAlign w:val="center"/>
                </w:tcPr>
                <w:p w14:paraId="5895C6DB">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9</w:t>
                  </w:r>
                </w:p>
              </w:tc>
              <w:tc>
                <w:tcPr>
                  <w:tcW w:w="1222" w:type="pct"/>
                  <w:shd w:val="clear" w:color="auto" w:fill="auto"/>
                  <w:noWrap w:val="0"/>
                  <w:vAlign w:val="center"/>
                </w:tcPr>
                <w:p w14:paraId="29C59D09">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淬火供水箱</w:t>
                  </w:r>
                </w:p>
              </w:tc>
              <w:tc>
                <w:tcPr>
                  <w:tcW w:w="581" w:type="pct"/>
                  <w:shd w:val="clear" w:color="auto" w:fill="auto"/>
                  <w:noWrap w:val="0"/>
                  <w:vAlign w:val="center"/>
                </w:tcPr>
                <w:p w14:paraId="7E133DA0">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2065" w:type="pct"/>
                  <w:shd w:val="clear" w:color="auto" w:fill="auto"/>
                  <w:noWrap w:val="0"/>
                  <w:vAlign w:val="center"/>
                </w:tcPr>
                <w:p w14:paraId="73145A74">
                  <w:pPr>
                    <w:pStyle w:val="139"/>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包括：淬火水箱，加热管，供水管，阀门，水泵（一用一备）；</w:t>
                  </w:r>
                </w:p>
              </w:tc>
              <w:tc>
                <w:tcPr>
                  <w:tcW w:w="707" w:type="pct"/>
                  <w:shd w:val="clear" w:color="auto" w:fill="auto"/>
                  <w:noWrap w:val="0"/>
                  <w:vAlign w:val="center"/>
                </w:tcPr>
                <w:p w14:paraId="3B8E840C">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51B66C8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pct"/>
                  <w:shd w:val="clear" w:color="auto" w:fill="auto"/>
                  <w:noWrap w:val="0"/>
                  <w:vAlign w:val="center"/>
                </w:tcPr>
                <w:p w14:paraId="5D006958">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10</w:t>
                  </w:r>
                </w:p>
              </w:tc>
              <w:tc>
                <w:tcPr>
                  <w:tcW w:w="1222" w:type="pct"/>
                  <w:shd w:val="clear" w:color="auto" w:fill="auto"/>
                  <w:noWrap/>
                  <w:vAlign w:val="center"/>
                </w:tcPr>
                <w:p w14:paraId="6C5829A0">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钢球淬火温度控制</w:t>
                  </w:r>
                </w:p>
              </w:tc>
              <w:tc>
                <w:tcPr>
                  <w:tcW w:w="581" w:type="pct"/>
                  <w:shd w:val="clear" w:color="auto" w:fill="auto"/>
                  <w:noWrap w:val="0"/>
                  <w:vAlign w:val="center"/>
                </w:tcPr>
                <w:p w14:paraId="5B38B47F">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2065" w:type="pct"/>
                  <w:shd w:val="clear" w:color="auto" w:fill="auto"/>
                  <w:noWrap w:val="0"/>
                  <w:vAlign w:val="center"/>
                </w:tcPr>
                <w:p w14:paraId="6345082B">
                  <w:pPr>
                    <w:pStyle w:val="139"/>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1.钢球淬火前（入水）温度检测；2.钢球淬火前（入水）温度自动控制；3.钢球淬火后（出水）温度检测；4.钢球淬火后（出水）温度自动控制；</w:t>
                  </w:r>
                </w:p>
              </w:tc>
              <w:tc>
                <w:tcPr>
                  <w:tcW w:w="707" w:type="pct"/>
                  <w:shd w:val="clear" w:color="auto" w:fill="auto"/>
                  <w:noWrap w:val="0"/>
                  <w:vAlign w:val="center"/>
                </w:tcPr>
                <w:p w14:paraId="2B7D11C2">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5223B2A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424" w:type="pct"/>
                  <w:shd w:val="clear" w:color="auto" w:fill="auto"/>
                  <w:noWrap w:val="0"/>
                  <w:vAlign w:val="center"/>
                </w:tcPr>
                <w:p w14:paraId="59C1B88E">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11</w:t>
                  </w:r>
                </w:p>
              </w:tc>
              <w:tc>
                <w:tcPr>
                  <w:tcW w:w="1222" w:type="pct"/>
                  <w:shd w:val="clear" w:color="auto" w:fill="auto"/>
                  <w:noWrap w:val="0"/>
                  <w:vAlign w:val="center"/>
                </w:tcPr>
                <w:p w14:paraId="55E40C57">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淬火用水控制</w:t>
                  </w:r>
                </w:p>
              </w:tc>
              <w:tc>
                <w:tcPr>
                  <w:tcW w:w="581" w:type="pct"/>
                  <w:shd w:val="clear" w:color="auto" w:fill="auto"/>
                  <w:noWrap w:val="0"/>
                  <w:vAlign w:val="center"/>
                </w:tcPr>
                <w:p w14:paraId="43421553">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2065" w:type="pct"/>
                  <w:shd w:val="clear" w:color="auto" w:fill="auto"/>
                  <w:noWrap w:val="0"/>
                  <w:vAlign w:val="center"/>
                </w:tcPr>
                <w:p w14:paraId="6C8944EE">
                  <w:pPr>
                    <w:pStyle w:val="139"/>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1.检测淬火水的流量；2.检测淬火水的压力；3.检测进水口温度；4.检测出水口温度；5.设定并可调节淬火水的流量；6.所有数据显示工控机屏幕；</w:t>
                  </w:r>
                </w:p>
              </w:tc>
              <w:tc>
                <w:tcPr>
                  <w:tcW w:w="707" w:type="pct"/>
                  <w:shd w:val="clear" w:color="auto" w:fill="auto"/>
                  <w:noWrap w:val="0"/>
                  <w:vAlign w:val="center"/>
                </w:tcPr>
                <w:p w14:paraId="581461C4">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12F713B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pct"/>
                  <w:shd w:val="clear" w:color="auto" w:fill="auto"/>
                  <w:vAlign w:val="center"/>
                </w:tcPr>
                <w:p w14:paraId="1533ED88">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11</w:t>
                  </w:r>
                </w:p>
              </w:tc>
              <w:tc>
                <w:tcPr>
                  <w:tcW w:w="1222" w:type="pct"/>
                  <w:shd w:val="clear" w:color="auto" w:fill="auto"/>
                  <w:vAlign w:val="center"/>
                </w:tcPr>
                <w:p w14:paraId="70EAA0EE">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淬火供水箱温度控制</w:t>
                  </w:r>
                </w:p>
              </w:tc>
              <w:tc>
                <w:tcPr>
                  <w:tcW w:w="581" w:type="pct"/>
                  <w:shd w:val="clear" w:color="auto" w:fill="auto"/>
                  <w:vAlign w:val="center"/>
                </w:tcPr>
                <w:p w14:paraId="700213D4">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2065" w:type="pct"/>
                  <w:shd w:val="clear" w:color="auto" w:fill="auto"/>
                  <w:vAlign w:val="center"/>
                </w:tcPr>
                <w:p w14:paraId="3F9165D4">
                  <w:pPr>
                    <w:pStyle w:val="139"/>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1.利用回火炉的烟气加热淬火水池初轧时的水温；2.淬火供水箱温度自动控制；3.淬火供水池温度≤35</w:t>
                  </w:r>
                  <w:r>
                    <w:rPr>
                      <w:rFonts w:hint="default" w:ascii="Times New Roman" w:hAnsi="Times New Roman" w:eastAsia="宋体" w:cs="Times New Roman"/>
                      <w:b w:val="0"/>
                      <w:bCs w:val="0"/>
                      <w:color w:val="auto"/>
                      <w:sz w:val="21"/>
                      <w:szCs w:val="21"/>
                      <w:highlight w:val="none"/>
                      <w:lang w:eastAsia="zh-CN"/>
                    </w:rPr>
                    <w:t>°C</w:t>
                  </w:r>
                  <w:r>
                    <w:rPr>
                      <w:rFonts w:hint="default" w:ascii="Times New Roman" w:hAnsi="Times New Roman" w:eastAsia="宋体" w:cs="Times New Roman"/>
                      <w:b w:val="0"/>
                      <w:bCs w:val="0"/>
                      <w:color w:val="auto"/>
                      <w:sz w:val="21"/>
                      <w:szCs w:val="21"/>
                      <w:highlight w:val="none"/>
                    </w:rPr>
                    <w:t>、≥15</w:t>
                  </w:r>
                  <w:r>
                    <w:rPr>
                      <w:rFonts w:hint="default" w:ascii="Times New Roman" w:hAnsi="Times New Roman" w:eastAsia="宋体" w:cs="Times New Roman"/>
                      <w:b w:val="0"/>
                      <w:bCs w:val="0"/>
                      <w:color w:val="auto"/>
                      <w:sz w:val="21"/>
                      <w:szCs w:val="21"/>
                      <w:highlight w:val="none"/>
                      <w:lang w:eastAsia="zh-CN"/>
                    </w:rPr>
                    <w:t>°C</w:t>
                  </w:r>
                  <w:r>
                    <w:rPr>
                      <w:rFonts w:hint="default" w:ascii="Times New Roman" w:hAnsi="Times New Roman" w:eastAsia="宋体" w:cs="Times New Roman"/>
                      <w:b w:val="0"/>
                      <w:bCs w:val="0"/>
                      <w:color w:val="auto"/>
                      <w:sz w:val="21"/>
                      <w:szCs w:val="21"/>
                      <w:highlight w:val="none"/>
                    </w:rPr>
                    <w:t>；</w:t>
                  </w:r>
                </w:p>
              </w:tc>
              <w:tc>
                <w:tcPr>
                  <w:tcW w:w="707" w:type="pct"/>
                  <w:shd w:val="clear" w:color="auto" w:fill="auto"/>
                  <w:vAlign w:val="center"/>
                </w:tcPr>
                <w:p w14:paraId="56141A3B">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1E7AB0E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pct"/>
                  <w:shd w:val="clear" w:color="auto" w:fill="auto"/>
                  <w:vAlign w:val="center"/>
                </w:tcPr>
                <w:p w14:paraId="4A8A7235">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12</w:t>
                  </w:r>
                </w:p>
              </w:tc>
              <w:tc>
                <w:tcPr>
                  <w:tcW w:w="1222" w:type="pct"/>
                  <w:shd w:val="clear" w:color="auto" w:fill="auto"/>
                  <w:vAlign w:val="center"/>
                </w:tcPr>
                <w:p w14:paraId="35250A95">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冷却系统</w:t>
                  </w:r>
                </w:p>
              </w:tc>
              <w:tc>
                <w:tcPr>
                  <w:tcW w:w="581" w:type="pct"/>
                  <w:shd w:val="clear" w:color="auto" w:fill="auto"/>
                  <w:vAlign w:val="center"/>
                </w:tcPr>
                <w:p w14:paraId="0A2AC2F5">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2065" w:type="pct"/>
                  <w:shd w:val="clear" w:color="auto" w:fill="auto"/>
                  <w:vAlign w:val="center"/>
                </w:tcPr>
                <w:p w14:paraId="4E210BF0">
                  <w:pPr>
                    <w:pStyle w:val="139"/>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1.中频炉用闭式冷却塔，</w:t>
                  </w:r>
                  <w:r>
                    <w:rPr>
                      <w:rFonts w:hint="default" w:ascii="Times New Roman" w:hAnsi="Times New Roman" w:eastAsia="宋体" w:cs="Times New Roman"/>
                      <w:b w:val="0"/>
                      <w:bCs w:val="0"/>
                      <w:color w:val="auto"/>
                      <w:kern w:val="0"/>
                      <w:sz w:val="21"/>
                      <w:szCs w:val="21"/>
                      <w:highlight w:val="none"/>
                    </w:rPr>
                    <w:t>双机双泵，电源和炉体单独冷却，不锈钢304外壳，紫铜机芯；2.开式冷却塔包含：主塔+提升泵+电控箱；</w:t>
                  </w:r>
                </w:p>
              </w:tc>
              <w:tc>
                <w:tcPr>
                  <w:tcW w:w="707" w:type="pct"/>
                  <w:shd w:val="clear" w:color="auto" w:fill="auto"/>
                  <w:vAlign w:val="center"/>
                </w:tcPr>
                <w:p w14:paraId="59DD1DAA">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2E05125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PrEx>
              <w:trPr>
                <w:trHeight w:val="90" w:hRule="atLeast"/>
                <w:jc w:val="center"/>
              </w:trPr>
              <w:tc>
                <w:tcPr>
                  <w:tcW w:w="424" w:type="pct"/>
                  <w:shd w:val="clear" w:color="auto" w:fill="auto"/>
                  <w:vAlign w:val="center"/>
                </w:tcPr>
                <w:p w14:paraId="5F262A62">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13</w:t>
                  </w:r>
                </w:p>
              </w:tc>
              <w:tc>
                <w:tcPr>
                  <w:tcW w:w="1222" w:type="pct"/>
                  <w:shd w:val="clear" w:color="auto" w:fill="auto"/>
                  <w:vAlign w:val="center"/>
                </w:tcPr>
                <w:p w14:paraId="3276DADC">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电气及基础自动化设备</w:t>
                  </w:r>
                </w:p>
              </w:tc>
              <w:tc>
                <w:tcPr>
                  <w:tcW w:w="581" w:type="pct"/>
                  <w:shd w:val="clear" w:color="auto" w:fill="auto"/>
                  <w:vAlign w:val="center"/>
                </w:tcPr>
                <w:p w14:paraId="72E2B203">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2065" w:type="pct"/>
                  <w:shd w:val="clear" w:color="auto" w:fill="auto"/>
                  <w:vAlign w:val="center"/>
                </w:tcPr>
                <w:p w14:paraId="52531CB6">
                  <w:pPr>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1.西门子PLC控制；</w:t>
                  </w:r>
                  <w:r>
                    <w:rPr>
                      <w:rFonts w:hint="default" w:ascii="Times New Roman" w:hAnsi="Times New Roman" w:eastAsia="宋体" w:cs="Times New Roman"/>
                      <w:b w:val="0"/>
                      <w:bCs w:val="0"/>
                      <w:color w:val="auto"/>
                      <w:kern w:val="0"/>
                      <w:sz w:val="21"/>
                      <w:szCs w:val="21"/>
                      <w:highlight w:val="none"/>
                    </w:rPr>
                    <w:t>2.工控机；</w:t>
                  </w:r>
                </w:p>
              </w:tc>
              <w:tc>
                <w:tcPr>
                  <w:tcW w:w="707" w:type="pct"/>
                  <w:shd w:val="clear" w:color="auto" w:fill="auto"/>
                  <w:vAlign w:val="center"/>
                </w:tcPr>
                <w:p w14:paraId="0C251644">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034F5D3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pct"/>
                  <w:shd w:val="clear" w:color="auto" w:fill="auto"/>
                  <w:vAlign w:val="center"/>
                </w:tcPr>
                <w:p w14:paraId="798F7E9A">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14</w:t>
                  </w:r>
                </w:p>
              </w:tc>
              <w:tc>
                <w:tcPr>
                  <w:tcW w:w="1222" w:type="pct"/>
                  <w:shd w:val="clear" w:color="auto" w:fill="auto"/>
                  <w:vAlign w:val="center"/>
                </w:tcPr>
                <w:p w14:paraId="0C69D41B">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管线</w:t>
                  </w:r>
                </w:p>
              </w:tc>
              <w:tc>
                <w:tcPr>
                  <w:tcW w:w="581" w:type="pct"/>
                  <w:shd w:val="clear" w:color="auto" w:fill="auto"/>
                  <w:vAlign w:val="center"/>
                </w:tcPr>
                <w:p w14:paraId="23C1CE57">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2065" w:type="pct"/>
                  <w:shd w:val="clear" w:color="auto" w:fill="auto"/>
                  <w:vAlign w:val="center"/>
                </w:tcPr>
                <w:p w14:paraId="05FBF23E">
                  <w:pPr>
                    <w:pStyle w:val="139"/>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二次管线，1.电控柜至设备用户点的电线、电缆；2.液压站至设备用户点的液压管、管夹等；3.</w:t>
                  </w:r>
                  <w:r>
                    <w:rPr>
                      <w:rFonts w:hint="default" w:ascii="Times New Roman" w:hAnsi="Times New Roman" w:eastAsia="宋体" w:cs="Times New Roman"/>
                      <w:b w:val="0"/>
                      <w:bCs w:val="0"/>
                      <w:color w:val="auto"/>
                      <w:kern w:val="0"/>
                      <w:sz w:val="21"/>
                      <w:szCs w:val="21"/>
                      <w:highlight w:val="none"/>
                    </w:rPr>
                    <w:t>从回火炉到</w:t>
                  </w:r>
                  <w:r>
                    <w:rPr>
                      <w:rFonts w:hint="default" w:ascii="Times New Roman" w:hAnsi="Times New Roman" w:eastAsia="宋体" w:cs="Times New Roman"/>
                      <w:b w:val="0"/>
                      <w:bCs w:val="0"/>
                      <w:color w:val="auto"/>
                      <w:sz w:val="21"/>
                      <w:szCs w:val="21"/>
                      <w:highlight w:val="none"/>
                    </w:rPr>
                    <w:t>淬火供水箱</w:t>
                  </w:r>
                  <w:r>
                    <w:rPr>
                      <w:rFonts w:hint="default" w:ascii="Times New Roman" w:hAnsi="Times New Roman" w:eastAsia="宋体" w:cs="Times New Roman"/>
                      <w:b w:val="0"/>
                      <w:bCs w:val="0"/>
                      <w:color w:val="auto"/>
                      <w:kern w:val="0"/>
                      <w:sz w:val="21"/>
                      <w:szCs w:val="21"/>
                      <w:highlight w:val="none"/>
                    </w:rPr>
                    <w:t>的供热管、回热管、阀门等；</w:t>
                  </w:r>
                </w:p>
              </w:tc>
              <w:tc>
                <w:tcPr>
                  <w:tcW w:w="707" w:type="pct"/>
                  <w:shd w:val="clear" w:color="auto" w:fill="auto"/>
                  <w:vAlign w:val="center"/>
                </w:tcPr>
                <w:p w14:paraId="6B1FB38A">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76073B4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pct"/>
                  <w:shd w:val="clear" w:color="auto" w:fill="auto"/>
                  <w:vAlign w:val="center"/>
                </w:tcPr>
                <w:p w14:paraId="00F4AA45">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15</w:t>
                  </w:r>
                </w:p>
              </w:tc>
              <w:tc>
                <w:tcPr>
                  <w:tcW w:w="1222" w:type="pct"/>
                  <w:shd w:val="clear" w:color="auto" w:fill="auto"/>
                  <w:vAlign w:val="center"/>
                </w:tcPr>
                <w:p w14:paraId="6103A4BC">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其它</w:t>
                  </w:r>
                </w:p>
              </w:tc>
              <w:tc>
                <w:tcPr>
                  <w:tcW w:w="581" w:type="pct"/>
                  <w:shd w:val="clear" w:color="auto" w:fill="auto"/>
                  <w:vAlign w:val="center"/>
                </w:tcPr>
                <w:p w14:paraId="76C56189">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2065" w:type="pct"/>
                  <w:shd w:val="clear" w:color="auto" w:fill="auto"/>
                  <w:vAlign w:val="center"/>
                </w:tcPr>
                <w:p w14:paraId="4DDE9D59">
                  <w:pPr>
                    <w:pStyle w:val="139"/>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1.包装运输；2.安装调试、培训</w:t>
                  </w:r>
                  <w:r>
                    <w:rPr>
                      <w:rFonts w:hint="eastAsia" w:ascii="Times New Roman" w:hAnsi="Times New Roman" w:eastAsia="宋体" w:cs="Times New Roman"/>
                      <w:b w:val="0"/>
                      <w:bCs w:val="0"/>
                      <w:color w:val="auto"/>
                      <w:sz w:val="21"/>
                      <w:szCs w:val="21"/>
                      <w:highlight w:val="none"/>
                      <w:lang w:eastAsia="zh-CN"/>
                    </w:rPr>
                    <w:t>设备</w:t>
                  </w:r>
                  <w:r>
                    <w:rPr>
                      <w:rFonts w:hint="default" w:ascii="Times New Roman" w:hAnsi="Times New Roman" w:eastAsia="宋体" w:cs="Times New Roman"/>
                      <w:b w:val="0"/>
                      <w:bCs w:val="0"/>
                      <w:color w:val="auto"/>
                      <w:sz w:val="21"/>
                      <w:szCs w:val="21"/>
                      <w:highlight w:val="none"/>
                    </w:rPr>
                    <w:t>；3.指标考核；</w:t>
                  </w:r>
                </w:p>
              </w:tc>
              <w:tc>
                <w:tcPr>
                  <w:tcW w:w="707" w:type="pct"/>
                  <w:shd w:val="clear" w:color="auto" w:fill="auto"/>
                  <w:vAlign w:val="center"/>
                </w:tcPr>
                <w:p w14:paraId="78602015">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5EBAACE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5000" w:type="pct"/>
                  <w:gridSpan w:val="5"/>
                  <w:shd w:val="clear" w:color="auto" w:fill="auto"/>
                  <w:vAlign w:val="center"/>
                </w:tcPr>
                <w:p w14:paraId="172AFE78">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锻造钢球生产线</w:t>
                  </w:r>
                </w:p>
              </w:tc>
            </w:tr>
            <w:tr w14:paraId="3BBCA70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424" w:type="pct"/>
                  <w:shd w:val="clear" w:color="auto" w:fill="auto"/>
                  <w:vAlign w:val="center"/>
                </w:tcPr>
                <w:p w14:paraId="4EB82C68">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1222" w:type="pct"/>
                  <w:shd w:val="clear" w:color="auto" w:fill="auto"/>
                  <w:vAlign w:val="center"/>
                </w:tcPr>
                <w:p w14:paraId="4E170304">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上料台</w:t>
                  </w:r>
                </w:p>
              </w:tc>
              <w:tc>
                <w:tcPr>
                  <w:tcW w:w="581" w:type="pct"/>
                  <w:shd w:val="clear" w:color="auto" w:fill="auto"/>
                  <w:vAlign w:val="center"/>
                </w:tcPr>
                <w:p w14:paraId="528F3A4A">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2</w:t>
                  </w:r>
                </w:p>
              </w:tc>
              <w:tc>
                <w:tcPr>
                  <w:tcW w:w="2065" w:type="pct"/>
                  <w:vMerge w:val="restart"/>
                  <w:shd w:val="clear" w:color="auto" w:fill="auto"/>
                  <w:vAlign w:val="center"/>
                </w:tcPr>
                <w:p w14:paraId="22920480">
                  <w:pPr>
                    <w:pStyle w:val="139"/>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品牌：浙江精卫特机床有限公司</w:t>
                  </w:r>
                </w:p>
              </w:tc>
              <w:tc>
                <w:tcPr>
                  <w:tcW w:w="707" w:type="pct"/>
                  <w:shd w:val="clear" w:color="auto" w:fill="auto"/>
                  <w:vAlign w:val="center"/>
                </w:tcPr>
                <w:p w14:paraId="004C01BF">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2B700FC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pct"/>
                  <w:shd w:val="clear" w:color="auto" w:fill="auto"/>
                  <w:vAlign w:val="center"/>
                </w:tcPr>
                <w:p w14:paraId="11D8F65C">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2</w:t>
                  </w:r>
                </w:p>
              </w:tc>
              <w:tc>
                <w:tcPr>
                  <w:tcW w:w="1222" w:type="pct"/>
                  <w:shd w:val="clear" w:color="auto" w:fill="auto"/>
                  <w:vAlign w:val="center"/>
                </w:tcPr>
                <w:p w14:paraId="617B9A38">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SZ-100重载高速圆锯机</w:t>
                  </w:r>
                </w:p>
              </w:tc>
              <w:tc>
                <w:tcPr>
                  <w:tcW w:w="581" w:type="pct"/>
                  <w:shd w:val="clear" w:color="auto" w:fill="auto"/>
                  <w:vAlign w:val="center"/>
                </w:tcPr>
                <w:p w14:paraId="734E5F1F">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2</w:t>
                  </w:r>
                </w:p>
              </w:tc>
              <w:tc>
                <w:tcPr>
                  <w:tcW w:w="2065" w:type="pct"/>
                  <w:vMerge w:val="continue"/>
                  <w:shd w:val="clear" w:color="auto" w:fill="auto"/>
                  <w:vAlign w:val="center"/>
                </w:tcPr>
                <w:p w14:paraId="58AA8112">
                  <w:pPr>
                    <w:pStyle w:val="139"/>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sz w:val="21"/>
                      <w:szCs w:val="21"/>
                      <w:highlight w:val="none"/>
                    </w:rPr>
                  </w:pPr>
                </w:p>
              </w:tc>
              <w:tc>
                <w:tcPr>
                  <w:tcW w:w="707" w:type="pct"/>
                  <w:shd w:val="clear" w:color="auto" w:fill="auto"/>
                  <w:vAlign w:val="center"/>
                </w:tcPr>
                <w:p w14:paraId="3759D734">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5DCFC00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424" w:type="pct"/>
                  <w:shd w:val="clear" w:color="auto" w:fill="auto"/>
                  <w:vAlign w:val="center"/>
                </w:tcPr>
                <w:p w14:paraId="2B72AE16">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3</w:t>
                  </w:r>
                </w:p>
              </w:tc>
              <w:tc>
                <w:tcPr>
                  <w:tcW w:w="1222" w:type="pct"/>
                  <w:shd w:val="clear" w:color="auto" w:fill="auto"/>
                  <w:vAlign w:val="center"/>
                </w:tcPr>
                <w:p w14:paraId="23126DE0">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中频加热炉</w:t>
                  </w:r>
                </w:p>
              </w:tc>
              <w:tc>
                <w:tcPr>
                  <w:tcW w:w="581" w:type="pct"/>
                  <w:shd w:val="clear" w:color="auto" w:fill="auto"/>
                  <w:vAlign w:val="center"/>
                </w:tcPr>
                <w:p w14:paraId="1B8E7619">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2065" w:type="pct"/>
                  <w:shd w:val="clear" w:color="auto" w:fill="auto"/>
                  <w:vAlign w:val="center"/>
                </w:tcPr>
                <w:p w14:paraId="71646606">
                  <w:pPr>
                    <w:pStyle w:val="139"/>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功率：2300KW；</w:t>
                  </w:r>
                </w:p>
              </w:tc>
              <w:tc>
                <w:tcPr>
                  <w:tcW w:w="707" w:type="pct"/>
                  <w:shd w:val="clear" w:color="auto" w:fill="auto"/>
                  <w:vAlign w:val="center"/>
                </w:tcPr>
                <w:p w14:paraId="16CF70E6">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14FFDA8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424" w:type="pct"/>
                  <w:shd w:val="clear" w:color="auto" w:fill="auto"/>
                  <w:vAlign w:val="center"/>
                </w:tcPr>
                <w:p w14:paraId="1D7C93FA">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4</w:t>
                  </w:r>
                </w:p>
              </w:tc>
              <w:tc>
                <w:tcPr>
                  <w:tcW w:w="1222" w:type="pct"/>
                  <w:shd w:val="clear" w:color="auto" w:fill="auto"/>
                  <w:vAlign w:val="center"/>
                </w:tcPr>
                <w:p w14:paraId="462E474C">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规圆</w:t>
                  </w:r>
                  <w:r>
                    <w:rPr>
                      <w:rFonts w:hint="default" w:ascii="Times New Roman" w:hAnsi="Times New Roman" w:eastAsia="宋体" w:cs="Times New Roman"/>
                      <w:b w:val="0"/>
                      <w:bCs w:val="0"/>
                      <w:color w:val="auto"/>
                      <w:kern w:val="0"/>
                      <w:sz w:val="21"/>
                      <w:szCs w:val="21"/>
                      <w:highlight w:val="none"/>
                    </w:rPr>
                    <w:t>机</w:t>
                  </w:r>
                </w:p>
              </w:tc>
              <w:tc>
                <w:tcPr>
                  <w:tcW w:w="581" w:type="pct"/>
                  <w:shd w:val="clear" w:color="auto" w:fill="auto"/>
                  <w:vAlign w:val="center"/>
                </w:tcPr>
                <w:p w14:paraId="4DABDDD0">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2065" w:type="pct"/>
                  <w:shd w:val="clear" w:color="auto" w:fill="auto"/>
                  <w:vAlign w:val="center"/>
                </w:tcPr>
                <w:p w14:paraId="31BFAF9D">
                  <w:pPr>
                    <w:pStyle w:val="139"/>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1.</w:t>
                  </w:r>
                  <w:r>
                    <w:rPr>
                      <w:rFonts w:hint="default" w:ascii="Times New Roman" w:hAnsi="Times New Roman" w:eastAsia="宋体" w:cs="Times New Roman"/>
                      <w:b w:val="0"/>
                      <w:bCs w:val="0"/>
                      <w:color w:val="auto"/>
                      <w:sz w:val="21"/>
                      <w:szCs w:val="21"/>
                      <w:highlight w:val="none"/>
                    </w:rPr>
                    <w:t>设内圈、外圈二条规圆</w:t>
                  </w:r>
                  <w:r>
                    <w:rPr>
                      <w:rFonts w:hint="default" w:ascii="Times New Roman" w:hAnsi="Times New Roman" w:eastAsia="宋体" w:cs="Times New Roman"/>
                      <w:b w:val="0"/>
                      <w:bCs w:val="0"/>
                      <w:color w:val="auto"/>
                      <w:kern w:val="0"/>
                      <w:sz w:val="21"/>
                      <w:szCs w:val="21"/>
                      <w:highlight w:val="none"/>
                    </w:rPr>
                    <w:t>槽；2.液压平衡；3.静模全浮结构；</w:t>
                  </w:r>
                </w:p>
              </w:tc>
              <w:tc>
                <w:tcPr>
                  <w:tcW w:w="707" w:type="pct"/>
                  <w:shd w:val="clear" w:color="auto" w:fill="auto"/>
                  <w:vAlign w:val="center"/>
                </w:tcPr>
                <w:p w14:paraId="4904632C">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0B03085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424" w:type="pct"/>
                  <w:shd w:val="clear" w:color="auto" w:fill="auto"/>
                  <w:vAlign w:val="center"/>
                </w:tcPr>
                <w:p w14:paraId="5D0E33E2">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4.1</w:t>
                  </w:r>
                </w:p>
              </w:tc>
              <w:tc>
                <w:tcPr>
                  <w:tcW w:w="1222" w:type="pct"/>
                  <w:shd w:val="clear" w:color="auto" w:fill="auto"/>
                  <w:vAlign w:val="center"/>
                </w:tcPr>
                <w:p w14:paraId="6EF7AC35">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eastAsia" w:ascii="Times New Roman" w:hAnsi="Times New Roman" w:eastAsia="宋体" w:cs="Times New Roman"/>
                      <w:b w:val="0"/>
                      <w:bCs w:val="0"/>
                      <w:color w:val="auto"/>
                      <w:sz w:val="21"/>
                      <w:szCs w:val="21"/>
                      <w:highlight w:val="none"/>
                      <w:lang w:val="en-US" w:eastAsia="zh-CN"/>
                    </w:rPr>
                  </w:pPr>
                  <w:r>
                    <w:rPr>
                      <w:rFonts w:hint="eastAsia"/>
                      <w:color w:val="auto"/>
                      <w:lang w:val="en-US" w:eastAsia="zh-CN"/>
                    </w:rPr>
                    <w:t>机械手（机器人）</w:t>
                  </w:r>
                </w:p>
              </w:tc>
              <w:tc>
                <w:tcPr>
                  <w:tcW w:w="581" w:type="pct"/>
                  <w:shd w:val="clear" w:color="auto" w:fill="auto"/>
                  <w:vAlign w:val="center"/>
                </w:tcPr>
                <w:p w14:paraId="56EC4C13">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1</w:t>
                  </w:r>
                </w:p>
              </w:tc>
              <w:tc>
                <w:tcPr>
                  <w:tcW w:w="2065" w:type="pct"/>
                  <w:shd w:val="clear" w:color="auto" w:fill="auto"/>
                  <w:vAlign w:val="center"/>
                </w:tcPr>
                <w:p w14:paraId="6988F3EC">
                  <w:pPr>
                    <w:pStyle w:val="139"/>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功率：</w:t>
                  </w:r>
                  <w:r>
                    <w:rPr>
                      <w:rFonts w:hint="eastAsia" w:ascii="Times New Roman" w:hAnsi="Times New Roman" w:cs="Times New Roman"/>
                      <w:b w:val="0"/>
                      <w:bCs w:val="0"/>
                      <w:color w:val="auto"/>
                      <w:kern w:val="0"/>
                      <w:sz w:val="21"/>
                      <w:szCs w:val="21"/>
                      <w:highlight w:val="none"/>
                      <w:lang w:val="en-US" w:eastAsia="zh-CN"/>
                    </w:rPr>
                    <w:t>1</w:t>
                  </w:r>
                  <w:r>
                    <w:rPr>
                      <w:rFonts w:hint="default" w:ascii="Times New Roman" w:hAnsi="Times New Roman" w:eastAsia="宋体" w:cs="Times New Roman"/>
                      <w:b w:val="0"/>
                      <w:bCs w:val="0"/>
                      <w:color w:val="auto"/>
                      <w:kern w:val="0"/>
                      <w:sz w:val="21"/>
                      <w:szCs w:val="21"/>
                      <w:highlight w:val="none"/>
                    </w:rPr>
                    <w:t>0KW</w:t>
                  </w:r>
                </w:p>
              </w:tc>
              <w:tc>
                <w:tcPr>
                  <w:tcW w:w="707" w:type="pct"/>
                  <w:shd w:val="clear" w:color="auto" w:fill="auto"/>
                  <w:vAlign w:val="center"/>
                </w:tcPr>
                <w:p w14:paraId="23AB7A81">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46C6949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424" w:type="pct"/>
                  <w:shd w:val="clear" w:color="auto" w:fill="auto"/>
                  <w:vAlign w:val="center"/>
                </w:tcPr>
                <w:p w14:paraId="22449532">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5</w:t>
                  </w:r>
                </w:p>
              </w:tc>
              <w:tc>
                <w:tcPr>
                  <w:tcW w:w="1222" w:type="pct"/>
                  <w:shd w:val="clear" w:color="auto" w:fill="auto"/>
                  <w:vAlign w:val="center"/>
                </w:tcPr>
                <w:p w14:paraId="0D887987">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缓冷再加热淬火系统</w:t>
                  </w:r>
                </w:p>
              </w:tc>
              <w:tc>
                <w:tcPr>
                  <w:tcW w:w="581" w:type="pct"/>
                  <w:shd w:val="clear" w:color="auto" w:fill="auto"/>
                  <w:vAlign w:val="center"/>
                </w:tcPr>
                <w:p w14:paraId="4401D03B">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2065" w:type="pct"/>
                  <w:shd w:val="clear" w:color="auto" w:fill="auto"/>
                  <w:vAlign w:val="center"/>
                </w:tcPr>
                <w:p w14:paraId="6D3027BC">
                  <w:pPr>
                    <w:pStyle w:val="139"/>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0"/>
                      <w:sz w:val="21"/>
                      <w:szCs w:val="21"/>
                      <w:highlight w:val="none"/>
                      <w:lang w:val="en-US" w:eastAsia="zh-CN" w:bidi="ar-SA"/>
                    </w:rPr>
                  </w:pPr>
                </w:p>
              </w:tc>
              <w:tc>
                <w:tcPr>
                  <w:tcW w:w="707" w:type="pct"/>
                  <w:shd w:val="clear" w:color="auto" w:fill="auto"/>
                  <w:vAlign w:val="center"/>
                </w:tcPr>
                <w:p w14:paraId="7FD70543">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66A2C61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424" w:type="pct"/>
                  <w:shd w:val="clear" w:color="auto" w:fill="auto"/>
                  <w:vAlign w:val="center"/>
                </w:tcPr>
                <w:p w14:paraId="20F8E767">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5.1</w:t>
                  </w:r>
                </w:p>
              </w:tc>
              <w:tc>
                <w:tcPr>
                  <w:tcW w:w="1222" w:type="pct"/>
                  <w:shd w:val="clear" w:color="auto" w:fill="auto"/>
                  <w:vAlign w:val="center"/>
                </w:tcPr>
                <w:p w14:paraId="3BF0F265">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锻后缓冷机</w:t>
                  </w:r>
                </w:p>
              </w:tc>
              <w:tc>
                <w:tcPr>
                  <w:tcW w:w="581" w:type="pct"/>
                  <w:shd w:val="clear" w:color="auto" w:fill="auto"/>
                  <w:vAlign w:val="center"/>
                </w:tcPr>
                <w:p w14:paraId="199FA077">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2065" w:type="pct"/>
                  <w:shd w:val="clear" w:color="auto" w:fill="auto"/>
                  <w:vAlign w:val="center"/>
                </w:tcPr>
                <w:p w14:paraId="364F52C0">
                  <w:pPr>
                    <w:pStyle w:val="139"/>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1.电机变频；2.冷却方式：空冷；3.冷却温度：450～50</w:t>
                  </w:r>
                  <w:r>
                    <w:rPr>
                      <w:rFonts w:hint="default" w:ascii="Times New Roman" w:hAnsi="Times New Roman" w:eastAsia="宋体" w:cs="Times New Roman"/>
                      <w:b w:val="0"/>
                      <w:bCs w:val="0"/>
                      <w:color w:val="auto"/>
                      <w:sz w:val="21"/>
                      <w:szCs w:val="21"/>
                      <w:highlight w:val="none"/>
                      <w:lang w:eastAsia="zh-CN"/>
                    </w:rPr>
                    <w:t>°C</w:t>
                  </w:r>
                  <w:r>
                    <w:rPr>
                      <w:rFonts w:hint="default" w:ascii="Times New Roman" w:hAnsi="Times New Roman" w:eastAsia="宋体" w:cs="Times New Roman"/>
                      <w:b w:val="0"/>
                      <w:bCs w:val="0"/>
                      <w:color w:val="auto"/>
                      <w:sz w:val="21"/>
                      <w:szCs w:val="21"/>
                      <w:highlight w:val="none"/>
                    </w:rPr>
                    <w:t>；</w:t>
                  </w:r>
                </w:p>
              </w:tc>
              <w:tc>
                <w:tcPr>
                  <w:tcW w:w="707" w:type="pct"/>
                  <w:shd w:val="clear" w:color="auto" w:fill="auto"/>
                  <w:vAlign w:val="center"/>
                </w:tcPr>
                <w:p w14:paraId="0EC5D486">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5D89E70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pct"/>
                  <w:shd w:val="clear" w:color="auto" w:fill="auto"/>
                  <w:vAlign w:val="center"/>
                </w:tcPr>
                <w:p w14:paraId="4069AD87">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5.2</w:t>
                  </w:r>
                </w:p>
              </w:tc>
              <w:tc>
                <w:tcPr>
                  <w:tcW w:w="1222" w:type="pct"/>
                  <w:shd w:val="clear" w:color="auto" w:fill="auto"/>
                  <w:vAlign w:val="center"/>
                </w:tcPr>
                <w:p w14:paraId="3EBB031E">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环形式再加热炉</w:t>
                  </w:r>
                </w:p>
              </w:tc>
              <w:tc>
                <w:tcPr>
                  <w:tcW w:w="581" w:type="pct"/>
                  <w:shd w:val="clear" w:color="auto" w:fill="auto"/>
                  <w:vAlign w:val="center"/>
                </w:tcPr>
                <w:p w14:paraId="0F3F0EF4">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2065" w:type="pct"/>
                  <w:shd w:val="clear" w:color="auto" w:fill="auto"/>
                  <w:vAlign w:val="center"/>
                </w:tcPr>
                <w:p w14:paraId="5FF97799">
                  <w:pPr>
                    <w:pStyle w:val="139"/>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1.燃料：</w:t>
                  </w:r>
                  <w:r>
                    <w:rPr>
                      <w:rFonts w:hint="eastAsia" w:ascii="Times New Roman" w:hAnsi="Times New Roman" w:eastAsia="宋体" w:cs="Times New Roman"/>
                      <w:b w:val="0"/>
                      <w:bCs w:val="0"/>
                      <w:color w:val="auto"/>
                      <w:kern w:val="0"/>
                      <w:sz w:val="21"/>
                      <w:szCs w:val="21"/>
                      <w:highlight w:val="none"/>
                      <w:lang w:eastAsia="zh-CN"/>
                    </w:rPr>
                    <w:t>天然气</w:t>
                  </w:r>
                  <w:r>
                    <w:rPr>
                      <w:rFonts w:hint="default" w:ascii="Times New Roman" w:hAnsi="Times New Roman" w:eastAsia="宋体" w:cs="Times New Roman"/>
                      <w:b w:val="0"/>
                      <w:bCs w:val="0"/>
                      <w:color w:val="auto"/>
                      <w:kern w:val="0"/>
                      <w:sz w:val="21"/>
                      <w:szCs w:val="21"/>
                      <w:highlight w:val="none"/>
                    </w:rPr>
                    <w:t>；</w:t>
                  </w:r>
                  <w:r>
                    <w:rPr>
                      <w:rFonts w:hint="default" w:ascii="Times New Roman" w:hAnsi="Times New Roman" w:eastAsia="宋体" w:cs="Times New Roman"/>
                      <w:color w:val="auto"/>
                      <w:sz w:val="21"/>
                      <w:szCs w:val="21"/>
                      <w:highlight w:val="none"/>
                      <w:lang w:val="en-US" w:eastAsia="zh-CN"/>
                    </w:rPr>
                    <w:t>风量：32000m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/h</w:t>
                  </w:r>
                </w:p>
              </w:tc>
              <w:tc>
                <w:tcPr>
                  <w:tcW w:w="707" w:type="pct"/>
                  <w:shd w:val="clear" w:color="auto" w:fill="auto"/>
                  <w:vAlign w:val="center"/>
                </w:tcPr>
                <w:p w14:paraId="3E954393">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可调直焰烧嘴25只，加热段6支450kw，加热二段6支320kw,均热一段4支150kw.均热贰段4支90kw，均热三段4支90kw</w:t>
                  </w:r>
                </w:p>
              </w:tc>
            </w:tr>
            <w:tr w14:paraId="56E132C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424" w:type="pct"/>
                  <w:shd w:val="clear" w:color="auto" w:fill="auto"/>
                  <w:vAlign w:val="center"/>
                </w:tcPr>
                <w:p w14:paraId="15FCA691">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5.3</w:t>
                  </w:r>
                </w:p>
              </w:tc>
              <w:tc>
                <w:tcPr>
                  <w:tcW w:w="1222" w:type="pct"/>
                  <w:shd w:val="clear" w:color="auto" w:fill="auto"/>
                  <w:vAlign w:val="center"/>
                </w:tcPr>
                <w:p w14:paraId="6BFBA5A8">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输送机</w:t>
                  </w:r>
                </w:p>
              </w:tc>
              <w:tc>
                <w:tcPr>
                  <w:tcW w:w="581" w:type="pct"/>
                  <w:shd w:val="clear" w:color="auto" w:fill="auto"/>
                  <w:vAlign w:val="center"/>
                </w:tcPr>
                <w:p w14:paraId="5DCE7B60">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2065" w:type="pct"/>
                  <w:shd w:val="clear" w:color="auto" w:fill="auto"/>
                  <w:vAlign w:val="center"/>
                </w:tcPr>
                <w:p w14:paraId="2EBDF2F4">
                  <w:pPr>
                    <w:pStyle w:val="139"/>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1.电机变频；2.钢球滚动；</w:t>
                  </w:r>
                </w:p>
              </w:tc>
              <w:tc>
                <w:tcPr>
                  <w:tcW w:w="707" w:type="pct"/>
                  <w:shd w:val="clear" w:color="auto" w:fill="auto"/>
                  <w:vAlign w:val="center"/>
                </w:tcPr>
                <w:p w14:paraId="42B32185">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076247C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424" w:type="pct"/>
                  <w:shd w:val="clear" w:color="auto" w:fill="auto"/>
                  <w:vAlign w:val="center"/>
                </w:tcPr>
                <w:p w14:paraId="61EC25C9">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5.4</w:t>
                  </w:r>
                </w:p>
              </w:tc>
              <w:tc>
                <w:tcPr>
                  <w:tcW w:w="1222" w:type="pct"/>
                  <w:shd w:val="clear" w:color="auto" w:fill="auto"/>
                  <w:vAlign w:val="center"/>
                </w:tcPr>
                <w:p w14:paraId="3173648E">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提升分配机</w:t>
                  </w:r>
                </w:p>
              </w:tc>
              <w:tc>
                <w:tcPr>
                  <w:tcW w:w="581" w:type="pct"/>
                  <w:shd w:val="clear" w:color="auto" w:fill="auto"/>
                  <w:vAlign w:val="center"/>
                </w:tcPr>
                <w:p w14:paraId="25CDB06B">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2065" w:type="pct"/>
                  <w:shd w:val="clear" w:color="auto" w:fill="auto"/>
                  <w:vAlign w:val="center"/>
                </w:tcPr>
                <w:p w14:paraId="21B0CAB5">
                  <w:pPr>
                    <w:pStyle w:val="139"/>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1.电机变频；</w:t>
                  </w:r>
                </w:p>
              </w:tc>
              <w:tc>
                <w:tcPr>
                  <w:tcW w:w="707" w:type="pct"/>
                  <w:shd w:val="clear" w:color="auto" w:fill="auto"/>
                  <w:vAlign w:val="center"/>
                </w:tcPr>
                <w:p w14:paraId="4EF109EA">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227A694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424" w:type="pct"/>
                  <w:shd w:val="clear" w:color="auto" w:fill="auto"/>
                  <w:vAlign w:val="center"/>
                </w:tcPr>
                <w:p w14:paraId="0790BBE1">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5.5</w:t>
                  </w:r>
                </w:p>
              </w:tc>
              <w:tc>
                <w:tcPr>
                  <w:tcW w:w="1222" w:type="pct"/>
                  <w:shd w:val="clear" w:color="auto" w:fill="auto"/>
                  <w:vAlign w:val="center"/>
                </w:tcPr>
                <w:p w14:paraId="71FCBE31">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多工位淬火机</w:t>
                  </w:r>
                </w:p>
              </w:tc>
              <w:tc>
                <w:tcPr>
                  <w:tcW w:w="581" w:type="pct"/>
                  <w:shd w:val="clear" w:color="auto" w:fill="auto"/>
                  <w:vAlign w:val="center"/>
                </w:tcPr>
                <w:p w14:paraId="39882DF7">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2065" w:type="pct"/>
                  <w:shd w:val="clear" w:color="auto" w:fill="auto"/>
                  <w:vAlign w:val="center"/>
                </w:tcPr>
                <w:p w14:paraId="1C77CE47">
                  <w:pPr>
                    <w:pStyle w:val="139"/>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1.电机变频；2.环形式再加热炉一次出球同时入水；</w:t>
                  </w:r>
                </w:p>
              </w:tc>
              <w:tc>
                <w:tcPr>
                  <w:tcW w:w="707" w:type="pct"/>
                  <w:shd w:val="clear" w:color="auto" w:fill="auto"/>
                  <w:vAlign w:val="center"/>
                </w:tcPr>
                <w:p w14:paraId="59FC26CC">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07A304F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424" w:type="pct"/>
                  <w:shd w:val="clear" w:color="auto" w:fill="auto"/>
                  <w:vAlign w:val="center"/>
                </w:tcPr>
                <w:p w14:paraId="0492477F">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0"/>
                      <w:sz w:val="21"/>
                      <w:szCs w:val="21"/>
                      <w:highlight w:val="none"/>
                      <w:lang w:val="en-US" w:eastAsia="zh-CN"/>
                    </w:rPr>
                    <w:t>5</w:t>
                  </w:r>
                  <w:r>
                    <w:rPr>
                      <w:rFonts w:hint="default" w:ascii="Times New Roman" w:hAnsi="Times New Roman" w:eastAsia="宋体" w:cs="Times New Roman"/>
                      <w:b w:val="0"/>
                      <w:bCs w:val="0"/>
                      <w:color w:val="auto"/>
                      <w:kern w:val="0"/>
                      <w:sz w:val="21"/>
                      <w:szCs w:val="21"/>
                      <w:highlight w:val="none"/>
                    </w:rPr>
                    <w:t>.6</w:t>
                  </w:r>
                </w:p>
              </w:tc>
              <w:tc>
                <w:tcPr>
                  <w:tcW w:w="1222" w:type="pct"/>
                  <w:shd w:val="clear" w:color="auto" w:fill="auto"/>
                  <w:vAlign w:val="center"/>
                </w:tcPr>
                <w:p w14:paraId="13C0D53F">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过渡溜槽</w:t>
                  </w:r>
                </w:p>
              </w:tc>
              <w:tc>
                <w:tcPr>
                  <w:tcW w:w="581" w:type="pct"/>
                  <w:shd w:val="clear" w:color="auto" w:fill="auto"/>
                  <w:vAlign w:val="center"/>
                </w:tcPr>
                <w:p w14:paraId="04B199B1">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2065" w:type="pct"/>
                  <w:shd w:val="clear" w:color="auto" w:fill="auto"/>
                  <w:vAlign w:val="center"/>
                </w:tcPr>
                <w:p w14:paraId="16881735">
                  <w:pPr>
                    <w:pStyle w:val="139"/>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1.具降噪功能；</w:t>
                  </w:r>
                </w:p>
              </w:tc>
              <w:tc>
                <w:tcPr>
                  <w:tcW w:w="707" w:type="pct"/>
                  <w:shd w:val="clear" w:color="auto" w:fill="auto"/>
                  <w:vAlign w:val="center"/>
                </w:tcPr>
                <w:p w14:paraId="3261AD6C">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166131A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pct"/>
                  <w:shd w:val="clear" w:color="auto" w:fill="auto"/>
                  <w:vAlign w:val="center"/>
                </w:tcPr>
                <w:p w14:paraId="33247A3D">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6</w:t>
                  </w:r>
                </w:p>
              </w:tc>
              <w:tc>
                <w:tcPr>
                  <w:tcW w:w="1222" w:type="pct"/>
                  <w:shd w:val="clear" w:color="auto" w:fill="auto"/>
                  <w:vAlign w:val="center"/>
                </w:tcPr>
                <w:p w14:paraId="4FE99386">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淬后风冷回火系统</w:t>
                  </w:r>
                </w:p>
              </w:tc>
              <w:tc>
                <w:tcPr>
                  <w:tcW w:w="581" w:type="pct"/>
                  <w:shd w:val="clear" w:color="auto" w:fill="auto"/>
                  <w:vAlign w:val="center"/>
                </w:tcPr>
                <w:p w14:paraId="3FAFC6F6">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2065" w:type="pct"/>
                  <w:shd w:val="clear" w:color="auto" w:fill="auto"/>
                  <w:vAlign w:val="center"/>
                </w:tcPr>
                <w:p w14:paraId="6B05FA2C">
                  <w:pPr>
                    <w:pStyle w:val="139"/>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2"/>
                      <w:sz w:val="21"/>
                      <w:szCs w:val="21"/>
                      <w:highlight w:val="none"/>
                      <w:lang w:val="en-US" w:eastAsia="zh-CN" w:bidi="ar-SA"/>
                    </w:rPr>
                  </w:pPr>
                </w:p>
              </w:tc>
              <w:tc>
                <w:tcPr>
                  <w:tcW w:w="707" w:type="pct"/>
                  <w:shd w:val="clear" w:color="auto" w:fill="auto"/>
                  <w:vAlign w:val="center"/>
                </w:tcPr>
                <w:p w14:paraId="4936F0B6">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78B925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pct"/>
                  <w:shd w:val="clear" w:color="auto" w:fill="auto"/>
                  <w:vAlign w:val="center"/>
                </w:tcPr>
                <w:p w14:paraId="16838FE0">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6.1</w:t>
                  </w:r>
                </w:p>
              </w:tc>
              <w:tc>
                <w:tcPr>
                  <w:tcW w:w="1222" w:type="pct"/>
                  <w:shd w:val="clear" w:color="auto" w:fill="auto"/>
                  <w:vAlign w:val="center"/>
                </w:tcPr>
                <w:p w14:paraId="328306B5">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1</w:t>
                  </w:r>
                  <w:r>
                    <w:rPr>
                      <w:rFonts w:hint="default" w:ascii="Times New Roman" w:hAnsi="Times New Roman" w:eastAsia="宋体" w:cs="Times New Roman"/>
                      <w:b w:val="0"/>
                      <w:bCs w:val="0"/>
                      <w:color w:val="auto"/>
                      <w:sz w:val="21"/>
                      <w:szCs w:val="21"/>
                      <w:highlight w:val="none"/>
                    </w:rPr>
                    <w:t>#提升输送机</w:t>
                  </w:r>
                </w:p>
              </w:tc>
              <w:tc>
                <w:tcPr>
                  <w:tcW w:w="581" w:type="pct"/>
                  <w:shd w:val="clear" w:color="auto" w:fill="auto"/>
                  <w:vAlign w:val="center"/>
                </w:tcPr>
                <w:p w14:paraId="63A6517F">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2065" w:type="pct"/>
                  <w:shd w:val="clear" w:color="auto" w:fill="auto"/>
                  <w:vAlign w:val="center"/>
                </w:tcPr>
                <w:p w14:paraId="2C5D2A31">
                  <w:pPr>
                    <w:pStyle w:val="139"/>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1.电机变频；2.碗式链；</w:t>
                  </w:r>
                </w:p>
              </w:tc>
              <w:tc>
                <w:tcPr>
                  <w:tcW w:w="707" w:type="pct"/>
                  <w:shd w:val="clear" w:color="auto" w:fill="auto"/>
                  <w:vAlign w:val="center"/>
                </w:tcPr>
                <w:p w14:paraId="618D0C3A">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0796071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pct"/>
                  <w:shd w:val="clear" w:color="auto" w:fill="auto"/>
                  <w:vAlign w:val="center"/>
                </w:tcPr>
                <w:p w14:paraId="66567C50">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6.2</w:t>
                  </w:r>
                </w:p>
              </w:tc>
              <w:tc>
                <w:tcPr>
                  <w:tcW w:w="1222" w:type="pct"/>
                  <w:shd w:val="clear" w:color="auto" w:fill="auto"/>
                  <w:vAlign w:val="center"/>
                </w:tcPr>
                <w:p w14:paraId="63269268">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布料机</w:t>
                  </w:r>
                </w:p>
              </w:tc>
              <w:tc>
                <w:tcPr>
                  <w:tcW w:w="581" w:type="pct"/>
                  <w:shd w:val="clear" w:color="auto" w:fill="auto"/>
                  <w:vAlign w:val="center"/>
                </w:tcPr>
                <w:p w14:paraId="30D3349E">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2065" w:type="pct"/>
                  <w:shd w:val="clear" w:color="auto" w:fill="auto"/>
                  <w:vAlign w:val="center"/>
                </w:tcPr>
                <w:p w14:paraId="3A048CDE">
                  <w:pPr>
                    <w:pStyle w:val="139"/>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1.电机变频；2.布料</w:t>
                  </w:r>
                  <w:r>
                    <w:rPr>
                      <w:rFonts w:hint="eastAsia" w:ascii="Times New Roman" w:hAnsi="Times New Roman" w:eastAsia="宋体" w:cs="Times New Roman"/>
                      <w:b w:val="0"/>
                      <w:bCs w:val="0"/>
                      <w:color w:val="auto"/>
                      <w:sz w:val="21"/>
                      <w:szCs w:val="21"/>
                      <w:highlight w:val="none"/>
                      <w:lang w:eastAsia="zh-CN"/>
                    </w:rPr>
                    <w:t>均匀</w:t>
                  </w:r>
                  <w:r>
                    <w:rPr>
                      <w:rFonts w:hint="default" w:ascii="Times New Roman" w:hAnsi="Times New Roman" w:eastAsia="宋体" w:cs="Times New Roman"/>
                      <w:b w:val="0"/>
                      <w:bCs w:val="0"/>
                      <w:color w:val="auto"/>
                      <w:sz w:val="21"/>
                      <w:szCs w:val="21"/>
                      <w:highlight w:val="none"/>
                    </w:rPr>
                    <w:t>，结构结实、行运稳定；</w:t>
                  </w:r>
                </w:p>
              </w:tc>
              <w:tc>
                <w:tcPr>
                  <w:tcW w:w="707" w:type="pct"/>
                  <w:shd w:val="clear" w:color="auto" w:fill="auto"/>
                  <w:vAlign w:val="center"/>
                </w:tcPr>
                <w:p w14:paraId="6C20CB20">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6BDA438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pct"/>
                  <w:shd w:val="clear" w:color="auto" w:fill="auto"/>
                  <w:vAlign w:val="center"/>
                </w:tcPr>
                <w:p w14:paraId="42D964E9">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6.3</w:t>
                  </w:r>
                </w:p>
              </w:tc>
              <w:tc>
                <w:tcPr>
                  <w:tcW w:w="1222" w:type="pct"/>
                  <w:shd w:val="clear" w:color="auto" w:fill="auto"/>
                  <w:vAlign w:val="center"/>
                </w:tcPr>
                <w:p w14:paraId="5C9E0350">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淬后风</w:t>
                  </w:r>
                  <w:r>
                    <w:rPr>
                      <w:rFonts w:hint="default" w:ascii="Times New Roman" w:hAnsi="Times New Roman" w:eastAsia="宋体" w:cs="Times New Roman"/>
                      <w:b w:val="0"/>
                      <w:bCs w:val="0"/>
                      <w:color w:val="auto"/>
                      <w:sz w:val="21"/>
                      <w:szCs w:val="21"/>
                      <w:highlight w:val="none"/>
                    </w:rPr>
                    <w:t>冷机</w:t>
                  </w:r>
                </w:p>
              </w:tc>
              <w:tc>
                <w:tcPr>
                  <w:tcW w:w="581" w:type="pct"/>
                  <w:shd w:val="clear" w:color="auto" w:fill="auto"/>
                  <w:vAlign w:val="center"/>
                </w:tcPr>
                <w:p w14:paraId="4639DFDA">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2065" w:type="pct"/>
                  <w:shd w:val="clear" w:color="auto" w:fill="auto"/>
                  <w:vAlign w:val="center"/>
                </w:tcPr>
                <w:p w14:paraId="0BBDE307">
                  <w:pPr>
                    <w:pStyle w:val="139"/>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1.电机变频；2.冷却方式：</w:t>
                  </w:r>
                  <w:r>
                    <w:rPr>
                      <w:rFonts w:hint="default" w:ascii="Times New Roman" w:hAnsi="Times New Roman" w:eastAsia="宋体" w:cs="Times New Roman"/>
                      <w:b w:val="0"/>
                      <w:bCs w:val="0"/>
                      <w:color w:val="auto"/>
                      <w:sz w:val="21"/>
                      <w:szCs w:val="21"/>
                      <w:highlight w:val="none"/>
                      <w:lang w:eastAsia="zh-CN"/>
                    </w:rPr>
                    <w:t>空冷</w:t>
                  </w:r>
                  <w:r>
                    <w:rPr>
                      <w:rFonts w:hint="default"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rPr>
                    <w:t>风冷；3.冷却温度：≤50</w:t>
                  </w:r>
                  <w:r>
                    <w:rPr>
                      <w:rFonts w:hint="default" w:ascii="Times New Roman" w:hAnsi="Times New Roman" w:eastAsia="宋体" w:cs="Times New Roman"/>
                      <w:b w:val="0"/>
                      <w:bCs w:val="0"/>
                      <w:color w:val="auto"/>
                      <w:sz w:val="21"/>
                      <w:szCs w:val="21"/>
                      <w:highlight w:val="none"/>
                      <w:lang w:eastAsia="zh-CN"/>
                    </w:rPr>
                    <w:t>°C</w:t>
                  </w:r>
                  <w:r>
                    <w:rPr>
                      <w:rFonts w:hint="default" w:ascii="Times New Roman" w:hAnsi="Times New Roman" w:eastAsia="宋体" w:cs="Times New Roman"/>
                      <w:b w:val="0"/>
                      <w:bCs w:val="0"/>
                      <w:color w:val="auto"/>
                      <w:sz w:val="21"/>
                      <w:szCs w:val="21"/>
                      <w:highlight w:val="none"/>
                    </w:rPr>
                    <w:t>；</w:t>
                  </w:r>
                </w:p>
              </w:tc>
              <w:tc>
                <w:tcPr>
                  <w:tcW w:w="707" w:type="pct"/>
                  <w:shd w:val="clear" w:color="auto" w:fill="auto"/>
                  <w:vAlign w:val="center"/>
                </w:tcPr>
                <w:p w14:paraId="761DDBB0">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46F82DB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PrEx>
              <w:trPr>
                <w:trHeight w:val="90" w:hRule="atLeast"/>
                <w:jc w:val="center"/>
              </w:trPr>
              <w:tc>
                <w:tcPr>
                  <w:tcW w:w="424" w:type="pct"/>
                  <w:shd w:val="clear" w:color="auto" w:fill="auto"/>
                  <w:vAlign w:val="center"/>
                </w:tcPr>
                <w:p w14:paraId="0B9081C2">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6.4</w:t>
                  </w:r>
                </w:p>
              </w:tc>
              <w:tc>
                <w:tcPr>
                  <w:tcW w:w="1222" w:type="pct"/>
                  <w:shd w:val="clear" w:color="auto" w:fill="auto"/>
                  <w:vAlign w:val="center"/>
                </w:tcPr>
                <w:p w14:paraId="75949376">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在线回火炉</w:t>
                  </w:r>
                  <w:r>
                    <w:rPr>
                      <w:rFonts w:hint="default" w:ascii="Times New Roman" w:hAnsi="Times New Roman" w:eastAsia="宋体" w:cs="Times New Roman"/>
                      <w:b w:val="0"/>
                      <w:bCs w:val="0"/>
                      <w:color w:val="auto"/>
                      <w:kern w:val="0"/>
                      <w:sz w:val="21"/>
                      <w:szCs w:val="21"/>
                      <w:highlight w:val="none"/>
                      <w:lang w:val="en-US" w:eastAsia="zh-CN"/>
                    </w:rPr>
                    <w:t>2#</w:t>
                  </w:r>
                </w:p>
              </w:tc>
              <w:tc>
                <w:tcPr>
                  <w:tcW w:w="581" w:type="pct"/>
                  <w:shd w:val="clear" w:color="auto" w:fill="auto"/>
                  <w:vAlign w:val="center"/>
                </w:tcPr>
                <w:p w14:paraId="7E1842E8">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2065" w:type="pct"/>
                  <w:shd w:val="clear" w:color="auto" w:fill="auto"/>
                  <w:vAlign w:val="center"/>
                </w:tcPr>
                <w:p w14:paraId="0764A3ED">
                  <w:pPr>
                    <w:pStyle w:val="139"/>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1.燃料：</w:t>
                  </w:r>
                  <w:r>
                    <w:rPr>
                      <w:rFonts w:hint="eastAsia" w:ascii="Times New Roman" w:hAnsi="Times New Roman" w:eastAsia="宋体" w:cs="Times New Roman"/>
                      <w:b w:val="0"/>
                      <w:bCs w:val="0"/>
                      <w:color w:val="auto"/>
                      <w:kern w:val="0"/>
                      <w:sz w:val="21"/>
                      <w:szCs w:val="21"/>
                      <w:highlight w:val="none"/>
                      <w:lang w:eastAsia="zh-CN"/>
                    </w:rPr>
                    <w:t>天然气</w:t>
                  </w:r>
                  <w:r>
                    <w:rPr>
                      <w:rFonts w:hint="default" w:ascii="Times New Roman" w:hAnsi="Times New Roman" w:eastAsia="宋体" w:cs="Times New Roman"/>
                      <w:b w:val="0"/>
                      <w:bCs w:val="0"/>
                      <w:color w:val="auto"/>
                      <w:kern w:val="0"/>
                      <w:sz w:val="21"/>
                      <w:szCs w:val="21"/>
                      <w:highlight w:val="none"/>
                    </w:rPr>
                    <w:t>；2.链排材质：2Cr13；3.回火时间：</w:t>
                  </w:r>
                  <w:r>
                    <w:rPr>
                      <w:rFonts w:hint="default" w:ascii="Times New Roman" w:hAnsi="Times New Roman" w:eastAsia="宋体" w:cs="Times New Roman"/>
                      <w:b w:val="0"/>
                      <w:bCs w:val="0"/>
                      <w:color w:val="auto"/>
                      <w:sz w:val="21"/>
                      <w:szCs w:val="21"/>
                      <w:highlight w:val="none"/>
                    </w:rPr>
                    <w:t>≤4.5小时；</w:t>
                  </w:r>
                  <w:r>
                    <w:rPr>
                      <w:rFonts w:hint="default" w:ascii="Times New Roman" w:hAnsi="Times New Roman" w:eastAsia="宋体" w:cs="Times New Roman"/>
                      <w:color w:val="auto"/>
                      <w:sz w:val="21"/>
                      <w:szCs w:val="21"/>
                      <w:highlight w:val="none"/>
                      <w:lang w:val="en-US" w:eastAsia="zh-CN"/>
                    </w:rPr>
                    <w:t>回火炉风量：45940m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 xml:space="preserve"> /h</w:t>
                  </w:r>
                </w:p>
              </w:tc>
              <w:tc>
                <w:tcPr>
                  <w:tcW w:w="707" w:type="pct"/>
                  <w:shd w:val="clear" w:color="auto" w:fill="auto"/>
                  <w:vAlign w:val="center"/>
                </w:tcPr>
                <w:p w14:paraId="42398797">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11支高速调温烧嘴，6支230kw，3支130kw，2支90kw</w:t>
                  </w:r>
                </w:p>
              </w:tc>
            </w:tr>
            <w:tr w14:paraId="2A575B8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424" w:type="pct"/>
                  <w:shd w:val="clear" w:color="auto" w:fill="auto"/>
                  <w:vAlign w:val="center"/>
                </w:tcPr>
                <w:p w14:paraId="16082A0B">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6.5</w:t>
                  </w:r>
                </w:p>
              </w:tc>
              <w:tc>
                <w:tcPr>
                  <w:tcW w:w="1222" w:type="pct"/>
                  <w:shd w:val="clear" w:color="auto" w:fill="auto"/>
                  <w:vAlign w:val="center"/>
                </w:tcPr>
                <w:p w14:paraId="6B87D7D3">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过渡溜槽</w:t>
                  </w:r>
                </w:p>
              </w:tc>
              <w:tc>
                <w:tcPr>
                  <w:tcW w:w="581" w:type="pct"/>
                  <w:shd w:val="clear" w:color="auto" w:fill="auto"/>
                  <w:vAlign w:val="center"/>
                </w:tcPr>
                <w:p w14:paraId="090F7459">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2065" w:type="pct"/>
                  <w:shd w:val="clear" w:color="auto" w:fill="auto"/>
                  <w:vAlign w:val="center"/>
                </w:tcPr>
                <w:p w14:paraId="10D70C81">
                  <w:pPr>
                    <w:pStyle w:val="139"/>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1.具降噪功能；</w:t>
                  </w:r>
                </w:p>
              </w:tc>
              <w:tc>
                <w:tcPr>
                  <w:tcW w:w="707" w:type="pct"/>
                  <w:shd w:val="clear" w:color="auto" w:fill="auto"/>
                  <w:vAlign w:val="center"/>
                </w:tcPr>
                <w:p w14:paraId="3BA73777">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25D6879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pct"/>
                  <w:shd w:val="clear" w:color="auto" w:fill="auto"/>
                  <w:vAlign w:val="center"/>
                </w:tcPr>
                <w:p w14:paraId="0A60017D">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7</w:t>
                  </w:r>
                </w:p>
              </w:tc>
              <w:tc>
                <w:tcPr>
                  <w:tcW w:w="1222" w:type="pct"/>
                  <w:shd w:val="clear" w:color="auto" w:fill="auto"/>
                  <w:vAlign w:val="center"/>
                </w:tcPr>
                <w:p w14:paraId="71C8DA80">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仓储包装系统</w:t>
                  </w:r>
                </w:p>
              </w:tc>
              <w:tc>
                <w:tcPr>
                  <w:tcW w:w="581" w:type="pct"/>
                  <w:shd w:val="clear" w:color="auto" w:fill="auto"/>
                  <w:vAlign w:val="center"/>
                </w:tcPr>
                <w:p w14:paraId="01F16D1C">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2065" w:type="pct"/>
                  <w:shd w:val="clear" w:color="auto" w:fill="auto"/>
                  <w:vAlign w:val="center"/>
                </w:tcPr>
                <w:p w14:paraId="735B2990">
                  <w:pPr>
                    <w:pStyle w:val="139"/>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1.经回火后的钢球自动提升输送至四个储球箱中；2.经工控机设定自动分配至指定储球箱；3.在线包装机闸门、进袋溜槽液压驱动，进袋溜槽具启闭功能，便于吊运；4.含电子平台称</w:t>
                  </w:r>
                  <w:r>
                    <w:rPr>
                      <w:rFonts w:hint="default" w:ascii="Times New Roman" w:hAnsi="Times New Roman" w:eastAsia="宋体" w:cs="Times New Roman"/>
                      <w:b w:val="0"/>
                      <w:bCs w:val="0"/>
                      <w:color w:val="auto"/>
                      <w:kern w:val="0"/>
                      <w:sz w:val="21"/>
                      <w:szCs w:val="21"/>
                      <w:highlight w:val="none"/>
                    </w:rPr>
                    <w:t>（品牌：南京天邦）；5.含支承筒；6.溜槽</w:t>
                  </w:r>
                  <w:r>
                    <w:rPr>
                      <w:rFonts w:hint="default" w:ascii="Times New Roman" w:hAnsi="Times New Roman" w:eastAsia="宋体" w:cs="Times New Roman"/>
                      <w:b w:val="0"/>
                      <w:bCs w:val="0"/>
                      <w:color w:val="auto"/>
                      <w:sz w:val="21"/>
                      <w:szCs w:val="21"/>
                      <w:highlight w:val="none"/>
                    </w:rPr>
                    <w:t>具降噪功能；</w:t>
                  </w:r>
                </w:p>
              </w:tc>
              <w:tc>
                <w:tcPr>
                  <w:tcW w:w="707" w:type="pct"/>
                  <w:shd w:val="clear" w:color="auto" w:fill="auto"/>
                  <w:vAlign w:val="center"/>
                </w:tcPr>
                <w:p w14:paraId="641D3F14">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4339E3F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pct"/>
                  <w:shd w:val="clear" w:color="auto" w:fill="auto"/>
                  <w:vAlign w:val="center"/>
                </w:tcPr>
                <w:p w14:paraId="2C0295D9">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8</w:t>
                  </w:r>
                </w:p>
              </w:tc>
              <w:tc>
                <w:tcPr>
                  <w:tcW w:w="1222" w:type="pct"/>
                  <w:shd w:val="clear" w:color="auto" w:fill="auto"/>
                  <w:vAlign w:val="center"/>
                </w:tcPr>
                <w:p w14:paraId="6AE86EFB">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液压系统</w:t>
                  </w:r>
                </w:p>
              </w:tc>
              <w:tc>
                <w:tcPr>
                  <w:tcW w:w="581" w:type="pct"/>
                  <w:shd w:val="clear" w:color="auto" w:fill="auto"/>
                  <w:vAlign w:val="center"/>
                </w:tcPr>
                <w:p w14:paraId="5D7D1B49">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1</w:t>
                  </w:r>
                </w:p>
              </w:tc>
              <w:tc>
                <w:tcPr>
                  <w:tcW w:w="2065" w:type="pct"/>
                  <w:shd w:val="clear" w:color="auto" w:fill="auto"/>
                  <w:vAlign w:val="center"/>
                </w:tcPr>
                <w:p w14:paraId="703BFFDA">
                  <w:pPr>
                    <w:pStyle w:val="139"/>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由油泵电机组（一用一备）、油箱、蓄能器、加热器、过滤器、阀台等组成；</w:t>
                  </w:r>
                  <w:r>
                    <w:rPr>
                      <w:rFonts w:hint="default" w:ascii="Times New Roman" w:hAnsi="Times New Roman" w:eastAsia="宋体" w:cs="Times New Roman"/>
                      <w:b w:val="0"/>
                      <w:bCs w:val="0"/>
                      <w:color w:val="auto"/>
                      <w:kern w:val="0"/>
                      <w:sz w:val="21"/>
                      <w:szCs w:val="21"/>
                      <w:highlight w:val="none"/>
                    </w:rPr>
                    <w:t>用于</w:t>
                  </w:r>
                  <w:r>
                    <w:rPr>
                      <w:rFonts w:hint="default" w:ascii="Times New Roman" w:hAnsi="Times New Roman" w:eastAsia="宋体" w:cs="Times New Roman"/>
                      <w:b w:val="0"/>
                      <w:bCs w:val="0"/>
                      <w:color w:val="auto"/>
                      <w:sz w:val="21"/>
                      <w:szCs w:val="21"/>
                      <w:highlight w:val="none"/>
                    </w:rPr>
                    <w:t>规圆</w:t>
                  </w:r>
                  <w:r>
                    <w:rPr>
                      <w:rFonts w:hint="default" w:ascii="Times New Roman" w:hAnsi="Times New Roman" w:eastAsia="宋体" w:cs="Times New Roman"/>
                      <w:b w:val="0"/>
                      <w:bCs w:val="0"/>
                      <w:color w:val="auto"/>
                      <w:kern w:val="0"/>
                      <w:sz w:val="21"/>
                      <w:szCs w:val="21"/>
                      <w:highlight w:val="none"/>
                    </w:rPr>
                    <w:t>机、包装机的有关液压驱动；</w:t>
                  </w:r>
                </w:p>
              </w:tc>
              <w:tc>
                <w:tcPr>
                  <w:tcW w:w="707" w:type="pct"/>
                  <w:shd w:val="clear" w:color="auto" w:fill="auto"/>
                  <w:vAlign w:val="center"/>
                </w:tcPr>
                <w:p w14:paraId="1BBD3495">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4AC1B6C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pct"/>
                  <w:shd w:val="clear" w:color="auto" w:fill="auto"/>
                  <w:vAlign w:val="center"/>
                </w:tcPr>
                <w:p w14:paraId="61E18988">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9</w:t>
                  </w:r>
                </w:p>
              </w:tc>
              <w:tc>
                <w:tcPr>
                  <w:tcW w:w="1222" w:type="pct"/>
                  <w:shd w:val="clear" w:color="auto" w:fill="auto"/>
                  <w:vAlign w:val="center"/>
                </w:tcPr>
                <w:p w14:paraId="299CB460">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润滑</w:t>
                  </w:r>
                </w:p>
              </w:tc>
              <w:tc>
                <w:tcPr>
                  <w:tcW w:w="581" w:type="pct"/>
                  <w:shd w:val="clear" w:color="auto" w:fill="auto"/>
                  <w:vAlign w:val="center"/>
                </w:tcPr>
                <w:p w14:paraId="33523C44">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2065" w:type="pct"/>
                  <w:shd w:val="clear" w:color="auto" w:fill="auto"/>
                  <w:vAlign w:val="center"/>
                </w:tcPr>
                <w:p w14:paraId="205AD29E">
                  <w:pPr>
                    <w:pStyle w:val="139"/>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1.分配减速机润滑站；2.输送机、缓冷机链条，</w:t>
                  </w:r>
                  <w:r>
                    <w:rPr>
                      <w:rFonts w:hint="default" w:ascii="Times New Roman" w:hAnsi="Times New Roman" w:eastAsia="宋体" w:cs="Times New Roman"/>
                      <w:b w:val="0"/>
                      <w:bCs w:val="0"/>
                      <w:color w:val="auto"/>
                      <w:sz w:val="21"/>
                      <w:szCs w:val="21"/>
                      <w:highlight w:val="none"/>
                    </w:rPr>
                    <w:t>余油收集</w:t>
                  </w:r>
                  <w:r>
                    <w:rPr>
                      <w:rFonts w:hint="default" w:ascii="Times New Roman" w:hAnsi="Times New Roman" w:eastAsia="宋体" w:cs="Times New Roman"/>
                      <w:b w:val="0"/>
                      <w:bCs w:val="0"/>
                      <w:color w:val="auto"/>
                      <w:kern w:val="0"/>
                      <w:sz w:val="21"/>
                      <w:szCs w:val="21"/>
                      <w:highlight w:val="none"/>
                    </w:rPr>
                    <w:t>；3.润滑脂电动注油；</w:t>
                  </w:r>
                </w:p>
              </w:tc>
              <w:tc>
                <w:tcPr>
                  <w:tcW w:w="707" w:type="pct"/>
                  <w:shd w:val="clear" w:color="auto" w:fill="auto"/>
                  <w:vAlign w:val="center"/>
                </w:tcPr>
                <w:p w14:paraId="54A5FAF5">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68B9116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pct"/>
                  <w:shd w:val="clear" w:color="auto" w:fill="auto"/>
                  <w:vAlign w:val="center"/>
                </w:tcPr>
                <w:p w14:paraId="5D3CC92B">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10</w:t>
                  </w:r>
                </w:p>
              </w:tc>
              <w:tc>
                <w:tcPr>
                  <w:tcW w:w="1222" w:type="pct"/>
                  <w:shd w:val="clear" w:color="auto" w:fill="auto"/>
                  <w:vAlign w:val="center"/>
                </w:tcPr>
                <w:p w14:paraId="1329F44B">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淬火供水箱</w:t>
                  </w:r>
                </w:p>
              </w:tc>
              <w:tc>
                <w:tcPr>
                  <w:tcW w:w="581" w:type="pct"/>
                  <w:shd w:val="clear" w:color="auto" w:fill="auto"/>
                  <w:vAlign w:val="center"/>
                </w:tcPr>
                <w:p w14:paraId="4C588D3F">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2065" w:type="pct"/>
                  <w:shd w:val="clear" w:color="auto" w:fill="auto"/>
                  <w:vAlign w:val="center"/>
                </w:tcPr>
                <w:p w14:paraId="096854D8">
                  <w:pPr>
                    <w:pStyle w:val="139"/>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包括：淬火水箱，加热管，供水管，阀门，水泵（一用一备）；</w:t>
                  </w:r>
                </w:p>
              </w:tc>
              <w:tc>
                <w:tcPr>
                  <w:tcW w:w="707" w:type="pct"/>
                  <w:shd w:val="clear" w:color="auto" w:fill="auto"/>
                  <w:vAlign w:val="center"/>
                </w:tcPr>
                <w:p w14:paraId="31F003DA">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33B26A4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424" w:type="pct"/>
                  <w:shd w:val="clear" w:color="auto" w:fill="auto"/>
                  <w:vAlign w:val="center"/>
                </w:tcPr>
                <w:p w14:paraId="426ECE4F">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11</w:t>
                  </w:r>
                </w:p>
              </w:tc>
              <w:tc>
                <w:tcPr>
                  <w:tcW w:w="1222" w:type="pct"/>
                  <w:shd w:val="clear" w:color="auto" w:fill="auto"/>
                  <w:vAlign w:val="center"/>
                </w:tcPr>
                <w:p w14:paraId="796D0891">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钢球淬火温度控制</w:t>
                  </w:r>
                </w:p>
              </w:tc>
              <w:tc>
                <w:tcPr>
                  <w:tcW w:w="581" w:type="pct"/>
                  <w:shd w:val="clear" w:color="auto" w:fill="auto"/>
                  <w:vAlign w:val="center"/>
                </w:tcPr>
                <w:p w14:paraId="26D5BD26">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2065" w:type="pct"/>
                  <w:shd w:val="clear" w:color="auto" w:fill="auto"/>
                  <w:vAlign w:val="center"/>
                </w:tcPr>
                <w:p w14:paraId="7AEB5719">
                  <w:pPr>
                    <w:pStyle w:val="139"/>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1.钢球淬火前（入水）温度检测；2.钢球淬火前（入水）温度自动控制；3.钢球淬火后（出水）温度检测；4.钢球淬火后（出水）温度自动控制；</w:t>
                  </w:r>
                </w:p>
              </w:tc>
              <w:tc>
                <w:tcPr>
                  <w:tcW w:w="707" w:type="pct"/>
                  <w:shd w:val="clear" w:color="auto" w:fill="auto"/>
                  <w:vAlign w:val="center"/>
                </w:tcPr>
                <w:p w14:paraId="35F04722">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00D4E7E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pct"/>
                  <w:shd w:val="clear" w:color="auto" w:fill="auto"/>
                  <w:vAlign w:val="center"/>
                </w:tcPr>
                <w:p w14:paraId="604AF77F">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12</w:t>
                  </w:r>
                </w:p>
              </w:tc>
              <w:tc>
                <w:tcPr>
                  <w:tcW w:w="1222" w:type="pct"/>
                  <w:shd w:val="clear" w:color="auto" w:fill="auto"/>
                  <w:vAlign w:val="center"/>
                </w:tcPr>
                <w:p w14:paraId="134D1C5F">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淬火用水控制</w:t>
                  </w:r>
                </w:p>
              </w:tc>
              <w:tc>
                <w:tcPr>
                  <w:tcW w:w="581" w:type="pct"/>
                  <w:shd w:val="clear" w:color="auto" w:fill="auto"/>
                  <w:vAlign w:val="center"/>
                </w:tcPr>
                <w:p w14:paraId="7523C5A7">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2065" w:type="pct"/>
                  <w:shd w:val="clear" w:color="auto" w:fill="auto"/>
                  <w:vAlign w:val="center"/>
                </w:tcPr>
                <w:p w14:paraId="6704AAC8">
                  <w:pPr>
                    <w:pStyle w:val="139"/>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1.检测淬火水的流量；2.检测淬火水的压力；3.检测进水口温度；4.检测出水口温度；5.设定并可调节淬火水的流量；6.所有数据显示工控机屏幕；</w:t>
                  </w:r>
                </w:p>
              </w:tc>
              <w:tc>
                <w:tcPr>
                  <w:tcW w:w="707" w:type="pct"/>
                  <w:shd w:val="clear" w:color="auto" w:fill="auto"/>
                  <w:vAlign w:val="center"/>
                </w:tcPr>
                <w:p w14:paraId="20FA5C46">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74F7C31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424" w:type="pct"/>
                  <w:shd w:val="clear" w:color="auto" w:fill="auto"/>
                  <w:vAlign w:val="center"/>
                </w:tcPr>
                <w:p w14:paraId="153D5F36">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13</w:t>
                  </w:r>
                </w:p>
              </w:tc>
              <w:tc>
                <w:tcPr>
                  <w:tcW w:w="1222" w:type="pct"/>
                  <w:shd w:val="clear" w:color="auto" w:fill="auto"/>
                  <w:vAlign w:val="center"/>
                </w:tcPr>
                <w:p w14:paraId="61E2D867">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淬火供水箱温度控制</w:t>
                  </w:r>
                </w:p>
              </w:tc>
              <w:tc>
                <w:tcPr>
                  <w:tcW w:w="581" w:type="pct"/>
                  <w:shd w:val="clear" w:color="auto" w:fill="auto"/>
                  <w:vAlign w:val="center"/>
                </w:tcPr>
                <w:p w14:paraId="243F84BA">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2065" w:type="pct"/>
                  <w:shd w:val="clear" w:color="auto" w:fill="auto"/>
                  <w:vAlign w:val="center"/>
                </w:tcPr>
                <w:p w14:paraId="7D36DD22">
                  <w:pPr>
                    <w:pStyle w:val="139"/>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1.利用回火炉的烟气加热淬火水池初轧时的水温；2.淬火供水箱温度自动控制；3.淬火供水池温度≤35</w:t>
                  </w:r>
                  <w:r>
                    <w:rPr>
                      <w:rFonts w:hint="default" w:ascii="Times New Roman" w:hAnsi="Times New Roman" w:eastAsia="宋体" w:cs="Times New Roman"/>
                      <w:b w:val="0"/>
                      <w:bCs w:val="0"/>
                      <w:color w:val="auto"/>
                      <w:sz w:val="21"/>
                      <w:szCs w:val="21"/>
                      <w:highlight w:val="none"/>
                      <w:lang w:eastAsia="zh-CN"/>
                    </w:rPr>
                    <w:t>°C</w:t>
                  </w:r>
                  <w:r>
                    <w:rPr>
                      <w:rFonts w:hint="default" w:ascii="Times New Roman" w:hAnsi="Times New Roman" w:eastAsia="宋体" w:cs="Times New Roman"/>
                      <w:b w:val="0"/>
                      <w:bCs w:val="0"/>
                      <w:color w:val="auto"/>
                      <w:sz w:val="21"/>
                      <w:szCs w:val="21"/>
                      <w:highlight w:val="none"/>
                    </w:rPr>
                    <w:t>、≥15</w:t>
                  </w:r>
                  <w:r>
                    <w:rPr>
                      <w:rFonts w:hint="default" w:ascii="Times New Roman" w:hAnsi="Times New Roman" w:eastAsia="宋体" w:cs="Times New Roman"/>
                      <w:b w:val="0"/>
                      <w:bCs w:val="0"/>
                      <w:color w:val="auto"/>
                      <w:sz w:val="21"/>
                      <w:szCs w:val="21"/>
                      <w:highlight w:val="none"/>
                      <w:lang w:eastAsia="zh-CN"/>
                    </w:rPr>
                    <w:t>°C</w:t>
                  </w:r>
                  <w:r>
                    <w:rPr>
                      <w:rFonts w:hint="default" w:ascii="Times New Roman" w:hAnsi="Times New Roman" w:eastAsia="宋体" w:cs="Times New Roman"/>
                      <w:b w:val="0"/>
                      <w:bCs w:val="0"/>
                      <w:color w:val="auto"/>
                      <w:sz w:val="21"/>
                      <w:szCs w:val="21"/>
                      <w:highlight w:val="none"/>
                    </w:rPr>
                    <w:t>；</w:t>
                  </w:r>
                </w:p>
              </w:tc>
              <w:tc>
                <w:tcPr>
                  <w:tcW w:w="707" w:type="pct"/>
                  <w:shd w:val="clear" w:color="auto" w:fill="auto"/>
                  <w:vAlign w:val="center"/>
                </w:tcPr>
                <w:p w14:paraId="5DA0C974">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637300F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pct"/>
                  <w:shd w:val="clear" w:color="auto" w:fill="auto"/>
                  <w:vAlign w:val="center"/>
                </w:tcPr>
                <w:p w14:paraId="5D73EFE0">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14</w:t>
                  </w:r>
                </w:p>
              </w:tc>
              <w:tc>
                <w:tcPr>
                  <w:tcW w:w="1222" w:type="pct"/>
                  <w:shd w:val="clear" w:color="auto" w:fill="auto"/>
                  <w:vAlign w:val="center"/>
                </w:tcPr>
                <w:p w14:paraId="1E5CC99D">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冷却系统</w:t>
                  </w:r>
                </w:p>
              </w:tc>
              <w:tc>
                <w:tcPr>
                  <w:tcW w:w="581" w:type="pct"/>
                  <w:shd w:val="clear" w:color="auto" w:fill="auto"/>
                  <w:vAlign w:val="center"/>
                </w:tcPr>
                <w:p w14:paraId="1686755A">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2065" w:type="pct"/>
                  <w:shd w:val="clear" w:color="auto" w:fill="auto"/>
                  <w:vAlign w:val="center"/>
                </w:tcPr>
                <w:p w14:paraId="50B4571F">
                  <w:pPr>
                    <w:pStyle w:val="139"/>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1.中频炉用闭式冷却塔，</w:t>
                  </w:r>
                  <w:r>
                    <w:rPr>
                      <w:rFonts w:hint="default" w:ascii="Times New Roman" w:hAnsi="Times New Roman" w:eastAsia="宋体" w:cs="Times New Roman"/>
                      <w:b w:val="0"/>
                      <w:bCs w:val="0"/>
                      <w:color w:val="auto"/>
                      <w:kern w:val="0"/>
                      <w:sz w:val="21"/>
                      <w:szCs w:val="21"/>
                      <w:highlight w:val="none"/>
                    </w:rPr>
                    <w:t>双机双泵，电源和炉体单独冷却，不锈钢304外壳，紫铜机芯；2.开式冷却塔包含：主塔+提升泵+电控箱；</w:t>
                  </w:r>
                </w:p>
              </w:tc>
              <w:tc>
                <w:tcPr>
                  <w:tcW w:w="707" w:type="pct"/>
                  <w:shd w:val="clear" w:color="auto" w:fill="auto"/>
                  <w:vAlign w:val="center"/>
                </w:tcPr>
                <w:p w14:paraId="3AD2B4AC">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3136B99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pct"/>
                  <w:shd w:val="clear" w:color="auto" w:fill="auto"/>
                  <w:vAlign w:val="center"/>
                </w:tcPr>
                <w:p w14:paraId="4A317570">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15</w:t>
                  </w:r>
                </w:p>
              </w:tc>
              <w:tc>
                <w:tcPr>
                  <w:tcW w:w="1222" w:type="pct"/>
                  <w:shd w:val="clear" w:color="auto" w:fill="auto"/>
                  <w:vAlign w:val="center"/>
                </w:tcPr>
                <w:p w14:paraId="779F6A25">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电气及基础自动化设备</w:t>
                  </w:r>
                </w:p>
              </w:tc>
              <w:tc>
                <w:tcPr>
                  <w:tcW w:w="581" w:type="pct"/>
                  <w:shd w:val="clear" w:color="auto" w:fill="auto"/>
                  <w:vAlign w:val="center"/>
                </w:tcPr>
                <w:p w14:paraId="7FF0EB45">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2065" w:type="pct"/>
                  <w:shd w:val="clear" w:color="auto" w:fill="auto"/>
                  <w:vAlign w:val="center"/>
                </w:tcPr>
                <w:p w14:paraId="773F717D">
                  <w:pPr>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1.西门子PLC控制；</w:t>
                  </w:r>
                  <w:r>
                    <w:rPr>
                      <w:rFonts w:hint="default" w:ascii="Times New Roman" w:hAnsi="Times New Roman" w:eastAsia="宋体" w:cs="Times New Roman"/>
                      <w:b w:val="0"/>
                      <w:bCs w:val="0"/>
                      <w:color w:val="auto"/>
                      <w:kern w:val="0"/>
                      <w:sz w:val="21"/>
                      <w:szCs w:val="21"/>
                      <w:highlight w:val="none"/>
                    </w:rPr>
                    <w:t>2.工控机；</w:t>
                  </w:r>
                </w:p>
              </w:tc>
              <w:tc>
                <w:tcPr>
                  <w:tcW w:w="707" w:type="pct"/>
                  <w:shd w:val="clear" w:color="auto" w:fill="auto"/>
                  <w:vAlign w:val="center"/>
                </w:tcPr>
                <w:p w14:paraId="061DD9FB">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39408C7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424" w:type="pct"/>
                  <w:shd w:val="clear" w:color="auto" w:fill="auto"/>
                  <w:vAlign w:val="center"/>
                </w:tcPr>
                <w:p w14:paraId="489CE4E6">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16</w:t>
                  </w:r>
                </w:p>
              </w:tc>
              <w:tc>
                <w:tcPr>
                  <w:tcW w:w="1222" w:type="pct"/>
                  <w:shd w:val="clear" w:color="auto" w:fill="auto"/>
                  <w:vAlign w:val="center"/>
                </w:tcPr>
                <w:p w14:paraId="707ABD5D">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管线</w:t>
                  </w:r>
                </w:p>
              </w:tc>
              <w:tc>
                <w:tcPr>
                  <w:tcW w:w="581" w:type="pct"/>
                  <w:shd w:val="clear" w:color="auto" w:fill="auto"/>
                  <w:vAlign w:val="center"/>
                </w:tcPr>
                <w:p w14:paraId="7B19A915">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2065" w:type="pct"/>
                  <w:shd w:val="clear" w:color="auto" w:fill="auto"/>
                  <w:vAlign w:val="center"/>
                </w:tcPr>
                <w:p w14:paraId="56AE7021">
                  <w:pPr>
                    <w:pStyle w:val="139"/>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含二次管线，1.电控柜至设备用户点的电线、电缆；2.液压站至设备用户点的液压管、管夹等；3.</w:t>
                  </w:r>
                  <w:r>
                    <w:rPr>
                      <w:rFonts w:hint="default" w:ascii="Times New Roman" w:hAnsi="Times New Roman" w:eastAsia="宋体" w:cs="Times New Roman"/>
                      <w:b w:val="0"/>
                      <w:bCs w:val="0"/>
                      <w:color w:val="auto"/>
                      <w:kern w:val="0"/>
                      <w:sz w:val="21"/>
                      <w:szCs w:val="21"/>
                      <w:highlight w:val="none"/>
                    </w:rPr>
                    <w:t>从回火炉到</w:t>
                  </w:r>
                  <w:r>
                    <w:rPr>
                      <w:rFonts w:hint="default" w:ascii="Times New Roman" w:hAnsi="Times New Roman" w:eastAsia="宋体" w:cs="Times New Roman"/>
                      <w:b w:val="0"/>
                      <w:bCs w:val="0"/>
                      <w:color w:val="auto"/>
                      <w:sz w:val="21"/>
                      <w:szCs w:val="21"/>
                      <w:highlight w:val="none"/>
                    </w:rPr>
                    <w:t>淬火供水箱</w:t>
                  </w:r>
                  <w:r>
                    <w:rPr>
                      <w:rFonts w:hint="default" w:ascii="Times New Roman" w:hAnsi="Times New Roman" w:eastAsia="宋体" w:cs="Times New Roman"/>
                      <w:b w:val="0"/>
                      <w:bCs w:val="0"/>
                      <w:color w:val="auto"/>
                      <w:kern w:val="0"/>
                      <w:sz w:val="21"/>
                      <w:szCs w:val="21"/>
                      <w:highlight w:val="none"/>
                    </w:rPr>
                    <w:t>的供热管、回热管、阀门等；</w:t>
                  </w:r>
                </w:p>
              </w:tc>
              <w:tc>
                <w:tcPr>
                  <w:tcW w:w="707" w:type="pct"/>
                  <w:shd w:val="clear" w:color="auto" w:fill="auto"/>
                  <w:vAlign w:val="center"/>
                </w:tcPr>
                <w:p w14:paraId="798EE062">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0CEF407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pct"/>
                  <w:shd w:val="clear" w:color="auto" w:fill="auto"/>
                  <w:vAlign w:val="center"/>
                </w:tcPr>
                <w:p w14:paraId="78E737AF">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17</w:t>
                  </w:r>
                </w:p>
              </w:tc>
              <w:tc>
                <w:tcPr>
                  <w:tcW w:w="1222" w:type="pct"/>
                  <w:shd w:val="clear" w:color="auto" w:fill="auto"/>
                  <w:vAlign w:val="center"/>
                </w:tcPr>
                <w:p w14:paraId="7CFB4BC7">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其它</w:t>
                  </w:r>
                </w:p>
              </w:tc>
              <w:tc>
                <w:tcPr>
                  <w:tcW w:w="581" w:type="pct"/>
                  <w:shd w:val="clear" w:color="auto" w:fill="auto"/>
                  <w:vAlign w:val="center"/>
                </w:tcPr>
                <w:p w14:paraId="423EB0D2">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2065" w:type="pct"/>
                  <w:shd w:val="clear" w:color="auto" w:fill="auto"/>
                  <w:vAlign w:val="center"/>
                </w:tcPr>
                <w:p w14:paraId="356A7A1D">
                  <w:pPr>
                    <w:pStyle w:val="139"/>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1.包装运输；2.安装调试、培训；3.指标考核；</w:t>
                  </w:r>
                </w:p>
              </w:tc>
              <w:tc>
                <w:tcPr>
                  <w:tcW w:w="707" w:type="pct"/>
                  <w:shd w:val="clear" w:color="auto" w:fill="auto"/>
                  <w:vAlign w:val="center"/>
                </w:tcPr>
                <w:p w14:paraId="1B83B662">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2556F78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5"/>
                  <w:shd w:val="clear" w:color="auto" w:fill="auto"/>
                  <w:vAlign w:val="center"/>
                </w:tcPr>
                <w:p w14:paraId="4BD7F0F5">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自由锻衬板</w:t>
                  </w:r>
                  <w:r>
                    <w:rPr>
                      <w:rFonts w:hint="eastAsia" w:ascii="Times New Roman" w:hAnsi="Times New Roman" w:eastAsia="宋体" w:cs="Times New Roman"/>
                      <w:i w:val="0"/>
                      <w:iCs w:val="0"/>
                      <w:color w:val="auto"/>
                      <w:kern w:val="0"/>
                      <w:sz w:val="21"/>
                      <w:szCs w:val="21"/>
                      <w:highlight w:val="none"/>
                      <w:u w:val="none"/>
                      <w:lang w:val="en-US" w:eastAsia="zh-CN" w:bidi="ar"/>
                    </w:rPr>
                    <w:t>生产线</w:t>
                  </w:r>
                </w:p>
              </w:tc>
            </w:tr>
            <w:tr w14:paraId="44D25F1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424" w:type="pct"/>
                  <w:shd w:val="clear" w:color="auto" w:fill="auto"/>
                  <w:vAlign w:val="center"/>
                </w:tcPr>
                <w:p w14:paraId="76DB44C7">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1</w:t>
                  </w:r>
                </w:p>
              </w:tc>
              <w:tc>
                <w:tcPr>
                  <w:tcW w:w="1222" w:type="pct"/>
                  <w:shd w:val="clear" w:color="auto" w:fill="auto"/>
                  <w:vAlign w:val="center"/>
                </w:tcPr>
                <w:p w14:paraId="6C28E2AC">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自由锻压机</w:t>
                  </w:r>
                </w:p>
              </w:tc>
              <w:tc>
                <w:tcPr>
                  <w:tcW w:w="581" w:type="pct"/>
                  <w:shd w:val="clear" w:color="auto" w:fill="auto"/>
                  <w:vAlign w:val="center"/>
                </w:tcPr>
                <w:p w14:paraId="09458DE4">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1</w:t>
                  </w:r>
                </w:p>
              </w:tc>
              <w:tc>
                <w:tcPr>
                  <w:tcW w:w="2065" w:type="pct"/>
                  <w:shd w:val="clear" w:color="auto" w:fill="auto"/>
                  <w:vAlign w:val="center"/>
                </w:tcPr>
                <w:p w14:paraId="4D88C610">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31.5MN</w:t>
                  </w:r>
                </w:p>
              </w:tc>
              <w:tc>
                <w:tcPr>
                  <w:tcW w:w="707" w:type="pct"/>
                  <w:shd w:val="clear" w:color="auto" w:fill="auto"/>
                  <w:vAlign w:val="center"/>
                </w:tcPr>
                <w:p w14:paraId="62F55E7B">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14:paraId="057DA71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pct"/>
                  <w:shd w:val="clear" w:color="auto" w:fill="auto"/>
                  <w:vAlign w:val="center"/>
                </w:tcPr>
                <w:p w14:paraId="6956632D">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2</w:t>
                  </w:r>
                </w:p>
              </w:tc>
              <w:tc>
                <w:tcPr>
                  <w:tcW w:w="1222" w:type="pct"/>
                  <w:shd w:val="clear" w:color="auto" w:fill="auto"/>
                  <w:vAlign w:val="center"/>
                </w:tcPr>
                <w:p w14:paraId="1CC544AB">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锻造操作机</w:t>
                  </w:r>
                </w:p>
              </w:tc>
              <w:tc>
                <w:tcPr>
                  <w:tcW w:w="581" w:type="pct"/>
                  <w:shd w:val="clear" w:color="auto" w:fill="auto"/>
                  <w:vAlign w:val="center"/>
                </w:tcPr>
                <w:p w14:paraId="07690A02">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1</w:t>
                  </w:r>
                </w:p>
              </w:tc>
              <w:tc>
                <w:tcPr>
                  <w:tcW w:w="2065" w:type="pct"/>
                  <w:shd w:val="clear" w:color="auto" w:fill="auto"/>
                  <w:vAlign w:val="center"/>
                </w:tcPr>
                <w:p w14:paraId="1395F876">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20T</w:t>
                  </w:r>
                </w:p>
              </w:tc>
              <w:tc>
                <w:tcPr>
                  <w:tcW w:w="707" w:type="pct"/>
                  <w:shd w:val="clear" w:color="auto" w:fill="auto"/>
                  <w:vAlign w:val="center"/>
                </w:tcPr>
                <w:p w14:paraId="21FB4653">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14:paraId="7EFA7C5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pct"/>
                  <w:shd w:val="clear" w:color="auto" w:fill="auto"/>
                  <w:vAlign w:val="center"/>
                </w:tcPr>
                <w:p w14:paraId="59BA9FF4">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3</w:t>
                  </w:r>
                </w:p>
              </w:tc>
              <w:tc>
                <w:tcPr>
                  <w:tcW w:w="1222" w:type="pct"/>
                  <w:shd w:val="clear" w:color="auto" w:fill="auto"/>
                  <w:vAlign w:val="center"/>
                </w:tcPr>
                <w:p w14:paraId="7D3A70A3">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装取料机</w:t>
                  </w:r>
                </w:p>
              </w:tc>
              <w:tc>
                <w:tcPr>
                  <w:tcW w:w="581" w:type="pct"/>
                  <w:shd w:val="clear" w:color="auto" w:fill="auto"/>
                  <w:vAlign w:val="center"/>
                </w:tcPr>
                <w:p w14:paraId="4ABB87AB">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1</w:t>
                  </w:r>
                </w:p>
              </w:tc>
              <w:tc>
                <w:tcPr>
                  <w:tcW w:w="2065" w:type="pct"/>
                  <w:shd w:val="clear" w:color="auto" w:fill="auto"/>
                  <w:vAlign w:val="center"/>
                </w:tcPr>
                <w:p w14:paraId="4361A508">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10T</w:t>
                  </w:r>
                </w:p>
              </w:tc>
              <w:tc>
                <w:tcPr>
                  <w:tcW w:w="707" w:type="pct"/>
                  <w:shd w:val="clear" w:color="auto" w:fill="auto"/>
                  <w:vAlign w:val="center"/>
                </w:tcPr>
                <w:p w14:paraId="3FE8EE74">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14:paraId="1F44503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pct"/>
                  <w:shd w:val="clear" w:color="auto" w:fill="auto"/>
                  <w:vAlign w:val="center"/>
                </w:tcPr>
                <w:p w14:paraId="44CD0F4E">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4</w:t>
                  </w:r>
                </w:p>
              </w:tc>
              <w:tc>
                <w:tcPr>
                  <w:tcW w:w="1222" w:type="pct"/>
                  <w:shd w:val="clear" w:color="auto" w:fill="auto"/>
                  <w:vAlign w:val="center"/>
                </w:tcPr>
                <w:p w14:paraId="137629F3">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电加热炉（室式）</w:t>
                  </w:r>
                </w:p>
              </w:tc>
              <w:tc>
                <w:tcPr>
                  <w:tcW w:w="581" w:type="pct"/>
                  <w:shd w:val="clear" w:color="auto" w:fill="auto"/>
                  <w:vAlign w:val="center"/>
                </w:tcPr>
                <w:p w14:paraId="2CDE0000">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1</w:t>
                  </w:r>
                </w:p>
              </w:tc>
              <w:tc>
                <w:tcPr>
                  <w:tcW w:w="2065" w:type="pct"/>
                  <w:shd w:val="clear" w:color="auto" w:fill="auto"/>
                  <w:vAlign w:val="center"/>
                </w:tcPr>
                <w:p w14:paraId="6FABC813">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2*3m12</w:t>
                  </w:r>
                  <w:r>
                    <w:rPr>
                      <w:rFonts w:hint="eastAsia"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rPr>
                    <w:t>0</w:t>
                  </w:r>
                  <w:r>
                    <w:rPr>
                      <w:rFonts w:hint="default" w:ascii="Times New Roman" w:hAnsi="Times New Roman" w:eastAsia="宋体" w:cs="Times New Roman"/>
                      <w:color w:val="auto"/>
                      <w:sz w:val="21"/>
                      <w:szCs w:val="21"/>
                      <w:highlight w:val="none"/>
                      <w:lang w:eastAsia="zh-CN"/>
                    </w:rPr>
                    <w:t>°C</w:t>
                  </w:r>
                </w:p>
              </w:tc>
              <w:tc>
                <w:tcPr>
                  <w:tcW w:w="707" w:type="pct"/>
                  <w:shd w:val="clear" w:color="auto" w:fill="auto"/>
                  <w:vAlign w:val="center"/>
                </w:tcPr>
                <w:p w14:paraId="79051185">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14:paraId="37011EF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PrEx>
              <w:trPr>
                <w:trHeight w:val="90" w:hRule="atLeast"/>
                <w:jc w:val="center"/>
              </w:trPr>
              <w:tc>
                <w:tcPr>
                  <w:tcW w:w="424" w:type="pct"/>
                  <w:shd w:val="clear" w:color="auto" w:fill="auto"/>
                  <w:vAlign w:val="center"/>
                </w:tcPr>
                <w:p w14:paraId="2DB076C3">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5</w:t>
                  </w:r>
                </w:p>
              </w:tc>
              <w:tc>
                <w:tcPr>
                  <w:tcW w:w="1222" w:type="pct"/>
                  <w:shd w:val="clear" w:color="auto" w:fill="auto"/>
                  <w:vAlign w:val="center"/>
                </w:tcPr>
                <w:p w14:paraId="6D71202E">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电加热炉（室式）</w:t>
                  </w:r>
                </w:p>
              </w:tc>
              <w:tc>
                <w:tcPr>
                  <w:tcW w:w="581" w:type="pct"/>
                  <w:shd w:val="clear" w:color="auto" w:fill="auto"/>
                  <w:vAlign w:val="center"/>
                </w:tcPr>
                <w:p w14:paraId="40F1748A">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1</w:t>
                  </w:r>
                </w:p>
              </w:tc>
              <w:tc>
                <w:tcPr>
                  <w:tcW w:w="2065" w:type="pct"/>
                  <w:shd w:val="clear" w:color="auto" w:fill="auto"/>
                  <w:vAlign w:val="center"/>
                </w:tcPr>
                <w:p w14:paraId="288B0D8A">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2*3m1</w:t>
                  </w:r>
                  <w:r>
                    <w:rPr>
                      <w:rFonts w:hint="eastAsia" w:cs="Times New Roman"/>
                      <w:color w:val="auto"/>
                      <w:sz w:val="21"/>
                      <w:szCs w:val="21"/>
                      <w:highlight w:val="none"/>
                      <w:lang w:val="en-US" w:eastAsia="zh-CN"/>
                    </w:rPr>
                    <w:t>30</w:t>
                  </w:r>
                  <w:r>
                    <w:rPr>
                      <w:rFonts w:hint="default" w:ascii="Times New Roman" w:hAnsi="Times New Roman" w:eastAsia="宋体" w:cs="Times New Roman"/>
                      <w:color w:val="auto"/>
                      <w:sz w:val="21"/>
                      <w:szCs w:val="21"/>
                      <w:highlight w:val="none"/>
                    </w:rPr>
                    <w:t>0</w:t>
                  </w:r>
                  <w:r>
                    <w:rPr>
                      <w:rFonts w:hint="default" w:ascii="Times New Roman" w:hAnsi="Times New Roman" w:eastAsia="宋体" w:cs="Times New Roman"/>
                      <w:color w:val="auto"/>
                      <w:sz w:val="21"/>
                      <w:szCs w:val="21"/>
                      <w:highlight w:val="none"/>
                      <w:lang w:eastAsia="zh-CN"/>
                    </w:rPr>
                    <w:t>°C</w:t>
                  </w:r>
                </w:p>
              </w:tc>
              <w:tc>
                <w:tcPr>
                  <w:tcW w:w="707" w:type="pct"/>
                  <w:shd w:val="clear" w:color="auto" w:fill="auto"/>
                  <w:vAlign w:val="center"/>
                </w:tcPr>
                <w:p w14:paraId="052417DB">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硅碳棒</w:t>
                  </w:r>
                </w:p>
              </w:tc>
            </w:tr>
            <w:tr w14:paraId="79C2327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pct"/>
                  <w:shd w:val="clear" w:color="auto" w:fill="auto"/>
                  <w:vAlign w:val="center"/>
                </w:tcPr>
                <w:p w14:paraId="55654111">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6</w:t>
                  </w:r>
                </w:p>
              </w:tc>
              <w:tc>
                <w:tcPr>
                  <w:tcW w:w="1222" w:type="pct"/>
                  <w:shd w:val="clear" w:color="auto" w:fill="auto"/>
                  <w:vAlign w:val="center"/>
                </w:tcPr>
                <w:p w14:paraId="672D4BD8">
                  <w:pPr>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燃气加热炉（室式）</w:t>
                  </w:r>
                  <w:r>
                    <w:rPr>
                      <w:rFonts w:hint="default" w:ascii="Times New Roman" w:hAnsi="Times New Roman" w:eastAsia="宋体" w:cs="Times New Roman"/>
                      <w:color w:val="auto"/>
                      <w:sz w:val="21"/>
                      <w:szCs w:val="21"/>
                      <w:highlight w:val="none"/>
                      <w:lang w:val="en-US" w:eastAsia="zh-CN"/>
                    </w:rPr>
                    <w:t>1#</w:t>
                  </w:r>
                </w:p>
              </w:tc>
              <w:tc>
                <w:tcPr>
                  <w:tcW w:w="581" w:type="pct"/>
                  <w:shd w:val="clear" w:color="auto" w:fill="auto"/>
                  <w:vAlign w:val="center"/>
                </w:tcPr>
                <w:p w14:paraId="48D7AC38">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1</w:t>
                  </w:r>
                </w:p>
              </w:tc>
              <w:tc>
                <w:tcPr>
                  <w:tcW w:w="2065" w:type="pct"/>
                  <w:shd w:val="clear" w:color="auto" w:fill="auto"/>
                  <w:vAlign w:val="center"/>
                </w:tcPr>
                <w:p w14:paraId="56FE10D6">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4*4m1300</w:t>
                  </w:r>
                  <w:r>
                    <w:rPr>
                      <w:rFonts w:hint="default" w:ascii="Times New Roman" w:hAnsi="Times New Roman" w:eastAsia="宋体" w:cs="Times New Roman"/>
                      <w:color w:val="auto"/>
                      <w:sz w:val="21"/>
                      <w:szCs w:val="21"/>
                      <w:highlight w:val="none"/>
                      <w:lang w:eastAsia="zh-CN"/>
                    </w:rPr>
                    <w:t>°C，</w:t>
                  </w:r>
                  <w:r>
                    <w:rPr>
                      <w:rFonts w:hint="default" w:ascii="Times New Roman" w:hAnsi="Times New Roman" w:eastAsia="宋体" w:cs="Times New Roman"/>
                      <w:color w:val="auto"/>
                      <w:sz w:val="21"/>
                      <w:szCs w:val="21"/>
                      <w:highlight w:val="none"/>
                      <w:vertAlign w:val="baseline"/>
                      <w:lang w:val="en-US" w:eastAsia="zh-CN"/>
                    </w:rPr>
                    <w:t>，载重量</w:t>
                  </w:r>
                  <w:r>
                    <w:rPr>
                      <w:rFonts w:hint="eastAsia" w:ascii="Times New Roman" w:hAnsi="Times New Roman" w:cs="Times New Roman"/>
                      <w:color w:val="auto"/>
                      <w:sz w:val="21"/>
                      <w:szCs w:val="21"/>
                      <w:highlight w:val="none"/>
                      <w:vertAlign w:val="baseline"/>
                      <w:lang w:val="en-US" w:eastAsia="zh-CN"/>
                    </w:rPr>
                    <w:t>5</w:t>
                  </w:r>
                  <w:r>
                    <w:rPr>
                      <w:rFonts w:hint="default" w:ascii="Times New Roman" w:hAnsi="Times New Roman" w:eastAsia="宋体" w:cs="Times New Roman"/>
                      <w:color w:val="auto"/>
                      <w:sz w:val="21"/>
                      <w:szCs w:val="21"/>
                      <w:highlight w:val="none"/>
                      <w:vertAlign w:val="baseline"/>
                      <w:lang w:val="en-US" w:eastAsia="zh-CN"/>
                    </w:rPr>
                    <w:t>0t，</w:t>
                  </w:r>
                  <w:r>
                    <w:rPr>
                      <w:rFonts w:hint="eastAsia"/>
                      <w:color w:val="auto"/>
                      <w:highlight w:val="none"/>
                      <w:vertAlign w:val="baseline"/>
                      <w:lang w:val="en-US" w:eastAsia="zh-CN"/>
                    </w:rPr>
                    <w:t>满载升温速率80~120℃/h</w:t>
                  </w:r>
                  <w:r>
                    <w:rPr>
                      <w:rFonts w:hint="default" w:ascii="Times New Roman" w:hAnsi="Times New Roman" w:eastAsia="宋体" w:cs="Times New Roman"/>
                      <w:color w:val="auto"/>
                      <w:sz w:val="21"/>
                      <w:szCs w:val="21"/>
                      <w:highlight w:val="none"/>
                      <w:vertAlign w:val="baseline"/>
                      <w:lang w:val="en-US" w:eastAsia="zh-CN"/>
                    </w:rPr>
                    <w:t>，均匀性±14℃。</w:t>
                  </w:r>
                  <w:r>
                    <w:rPr>
                      <w:rFonts w:hint="default" w:ascii="Times New Roman" w:hAnsi="Times New Roman" w:eastAsia="宋体" w:cs="Times New Roman"/>
                      <w:color w:val="auto"/>
                      <w:sz w:val="21"/>
                      <w:szCs w:val="21"/>
                      <w:highlight w:val="none"/>
                      <w:lang w:val="en-US" w:eastAsia="zh-CN"/>
                    </w:rPr>
                    <w:t>风量：5200m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/h</w:t>
                  </w:r>
                </w:p>
              </w:tc>
              <w:tc>
                <w:tcPr>
                  <w:tcW w:w="707" w:type="pct"/>
                  <w:vMerge w:val="restart"/>
                  <w:shd w:val="clear" w:color="auto" w:fill="auto"/>
                  <w:vAlign w:val="center"/>
                </w:tcPr>
                <w:p w14:paraId="2411FE31">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SFSV 600N超高速低氮烧嘴，每炉6支，100kw</w:t>
                  </w:r>
                </w:p>
              </w:tc>
            </w:tr>
            <w:tr w14:paraId="796DFC0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pct"/>
                  <w:shd w:val="clear" w:color="auto" w:fill="auto"/>
                  <w:vAlign w:val="center"/>
                </w:tcPr>
                <w:p w14:paraId="0E2A3357">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w:t>
                  </w:r>
                </w:p>
              </w:tc>
              <w:tc>
                <w:tcPr>
                  <w:tcW w:w="1222" w:type="pct"/>
                  <w:shd w:val="clear" w:color="auto" w:fill="auto"/>
                  <w:vAlign w:val="center"/>
                </w:tcPr>
                <w:p w14:paraId="0DCF4CFE">
                  <w:pPr>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燃气加热炉（室式）</w:t>
                  </w:r>
                  <w:r>
                    <w:rPr>
                      <w:rFonts w:hint="eastAsia" w:ascii="Times New Roman" w:hAnsi="Times New Roman"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w:t>
                  </w:r>
                </w:p>
              </w:tc>
              <w:tc>
                <w:tcPr>
                  <w:tcW w:w="581" w:type="pct"/>
                  <w:shd w:val="clear" w:color="auto" w:fill="auto"/>
                  <w:vAlign w:val="center"/>
                </w:tcPr>
                <w:p w14:paraId="51034948">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1</w:t>
                  </w:r>
                </w:p>
              </w:tc>
              <w:tc>
                <w:tcPr>
                  <w:tcW w:w="2065" w:type="pct"/>
                  <w:shd w:val="clear" w:color="auto" w:fill="auto"/>
                  <w:vAlign w:val="center"/>
                </w:tcPr>
                <w:p w14:paraId="11DB5DC5">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4*4m1300</w:t>
                  </w:r>
                  <w:r>
                    <w:rPr>
                      <w:rFonts w:hint="default" w:ascii="Times New Roman" w:hAnsi="Times New Roman" w:eastAsia="宋体" w:cs="Times New Roman"/>
                      <w:color w:val="auto"/>
                      <w:sz w:val="21"/>
                      <w:szCs w:val="21"/>
                      <w:highlight w:val="none"/>
                      <w:lang w:eastAsia="zh-CN"/>
                    </w:rPr>
                    <w:t>°C，</w:t>
                  </w:r>
                  <w:r>
                    <w:rPr>
                      <w:rFonts w:hint="default" w:ascii="Times New Roman" w:hAnsi="Times New Roman" w:eastAsia="宋体" w:cs="Times New Roman"/>
                      <w:color w:val="auto"/>
                      <w:sz w:val="21"/>
                      <w:szCs w:val="21"/>
                      <w:highlight w:val="none"/>
                      <w:vertAlign w:val="baseline"/>
                      <w:lang w:val="en-US" w:eastAsia="zh-CN"/>
                    </w:rPr>
                    <w:t>，载重量</w:t>
                  </w:r>
                  <w:r>
                    <w:rPr>
                      <w:rFonts w:hint="eastAsia" w:ascii="Times New Roman" w:hAnsi="Times New Roman" w:cs="Times New Roman"/>
                      <w:color w:val="auto"/>
                      <w:sz w:val="21"/>
                      <w:szCs w:val="21"/>
                      <w:highlight w:val="none"/>
                      <w:vertAlign w:val="baseline"/>
                      <w:lang w:val="en-US" w:eastAsia="zh-CN"/>
                    </w:rPr>
                    <w:t>5</w:t>
                  </w:r>
                  <w:r>
                    <w:rPr>
                      <w:rFonts w:hint="default" w:ascii="Times New Roman" w:hAnsi="Times New Roman" w:eastAsia="宋体" w:cs="Times New Roman"/>
                      <w:color w:val="auto"/>
                      <w:sz w:val="21"/>
                      <w:szCs w:val="21"/>
                      <w:highlight w:val="none"/>
                      <w:vertAlign w:val="baseline"/>
                      <w:lang w:val="en-US" w:eastAsia="zh-CN"/>
                    </w:rPr>
                    <w:t>0t，</w:t>
                  </w:r>
                  <w:r>
                    <w:rPr>
                      <w:rFonts w:hint="eastAsia"/>
                      <w:color w:val="auto"/>
                      <w:highlight w:val="none"/>
                      <w:vertAlign w:val="baseline"/>
                      <w:lang w:val="en-US" w:eastAsia="zh-CN"/>
                    </w:rPr>
                    <w:t>满载升温速率80~120℃/h</w:t>
                  </w:r>
                  <w:r>
                    <w:rPr>
                      <w:rFonts w:hint="default" w:ascii="Times New Roman" w:hAnsi="Times New Roman" w:eastAsia="宋体" w:cs="Times New Roman"/>
                      <w:color w:val="auto"/>
                      <w:sz w:val="21"/>
                      <w:szCs w:val="21"/>
                      <w:highlight w:val="none"/>
                      <w:vertAlign w:val="baseline"/>
                      <w:lang w:val="en-US" w:eastAsia="zh-CN"/>
                    </w:rPr>
                    <w:t>，均匀性±14℃。</w:t>
                  </w:r>
                  <w:r>
                    <w:rPr>
                      <w:rFonts w:hint="default" w:ascii="Times New Roman" w:hAnsi="Times New Roman" w:eastAsia="宋体" w:cs="Times New Roman"/>
                      <w:color w:val="auto"/>
                      <w:sz w:val="21"/>
                      <w:szCs w:val="21"/>
                      <w:highlight w:val="none"/>
                      <w:lang w:val="en-US" w:eastAsia="zh-CN"/>
                    </w:rPr>
                    <w:t>风量：5200m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/h</w:t>
                  </w:r>
                </w:p>
              </w:tc>
              <w:tc>
                <w:tcPr>
                  <w:tcW w:w="707" w:type="pct"/>
                  <w:vMerge w:val="continue"/>
                  <w:shd w:val="clear" w:color="auto" w:fill="auto"/>
                  <w:vAlign w:val="center"/>
                </w:tcPr>
                <w:p w14:paraId="4AE337A8">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14:paraId="2601FD1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pct"/>
                  <w:shd w:val="clear" w:color="auto" w:fill="auto"/>
                  <w:vAlign w:val="center"/>
                </w:tcPr>
                <w:p w14:paraId="641D5F43">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8</w:t>
                  </w:r>
                </w:p>
              </w:tc>
              <w:tc>
                <w:tcPr>
                  <w:tcW w:w="1222" w:type="pct"/>
                  <w:shd w:val="clear" w:color="auto" w:fill="auto"/>
                  <w:vAlign w:val="center"/>
                </w:tcPr>
                <w:p w14:paraId="36FC88AB">
                  <w:pPr>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燃气加热炉（台车）</w:t>
                  </w:r>
                  <w:r>
                    <w:rPr>
                      <w:rFonts w:hint="eastAsia" w:ascii="Times New Roman" w:hAnsi="Times New Roman"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t>#</w:t>
                  </w:r>
                </w:p>
              </w:tc>
              <w:tc>
                <w:tcPr>
                  <w:tcW w:w="581" w:type="pct"/>
                  <w:shd w:val="clear" w:color="auto" w:fill="auto"/>
                  <w:vAlign w:val="center"/>
                </w:tcPr>
                <w:p w14:paraId="0752C70E">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1</w:t>
                  </w:r>
                </w:p>
              </w:tc>
              <w:tc>
                <w:tcPr>
                  <w:tcW w:w="2065" w:type="pct"/>
                  <w:shd w:val="clear" w:color="auto" w:fill="auto"/>
                  <w:vAlign w:val="center"/>
                </w:tcPr>
                <w:p w14:paraId="301D0D15">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3*8m1300</w:t>
                  </w:r>
                  <w:r>
                    <w:rPr>
                      <w:rFonts w:hint="default" w:ascii="Times New Roman" w:hAnsi="Times New Roman" w:eastAsia="宋体" w:cs="Times New Roman"/>
                      <w:color w:val="auto"/>
                      <w:sz w:val="21"/>
                      <w:szCs w:val="21"/>
                      <w:highlight w:val="none"/>
                      <w:lang w:eastAsia="zh-CN"/>
                    </w:rPr>
                    <w:t>°C，</w:t>
                  </w:r>
                  <w:r>
                    <w:rPr>
                      <w:rFonts w:hint="default" w:ascii="Times New Roman" w:hAnsi="Times New Roman" w:eastAsia="宋体" w:cs="Times New Roman"/>
                      <w:color w:val="auto"/>
                      <w:sz w:val="21"/>
                      <w:szCs w:val="21"/>
                      <w:highlight w:val="none"/>
                      <w:vertAlign w:val="baseline"/>
                      <w:lang w:val="en-US" w:eastAsia="zh-CN"/>
                    </w:rPr>
                    <w:t>载重量</w:t>
                  </w:r>
                  <w:r>
                    <w:rPr>
                      <w:rFonts w:hint="eastAsia" w:ascii="Times New Roman" w:hAnsi="Times New Roman" w:cs="Times New Roman"/>
                      <w:color w:val="auto"/>
                      <w:sz w:val="21"/>
                      <w:szCs w:val="21"/>
                      <w:highlight w:val="none"/>
                      <w:vertAlign w:val="baseline"/>
                      <w:lang w:val="en-US" w:eastAsia="zh-CN"/>
                    </w:rPr>
                    <w:t>10</w:t>
                  </w:r>
                  <w:r>
                    <w:rPr>
                      <w:rFonts w:hint="default" w:ascii="Times New Roman" w:hAnsi="Times New Roman" w:eastAsia="宋体" w:cs="Times New Roman"/>
                      <w:color w:val="auto"/>
                      <w:sz w:val="21"/>
                      <w:szCs w:val="21"/>
                      <w:highlight w:val="none"/>
                      <w:vertAlign w:val="baseline"/>
                      <w:lang w:val="en-US" w:eastAsia="zh-CN"/>
                    </w:rPr>
                    <w:t>0t，</w:t>
                  </w:r>
                  <w:r>
                    <w:rPr>
                      <w:rFonts w:hint="eastAsia"/>
                      <w:color w:val="auto"/>
                      <w:highlight w:val="none"/>
                      <w:vertAlign w:val="baseline"/>
                      <w:lang w:val="en-US" w:eastAsia="zh-CN"/>
                    </w:rPr>
                    <w:t>满载升温速率80~120℃/h</w:t>
                  </w:r>
                  <w:r>
                    <w:rPr>
                      <w:rFonts w:hint="default" w:ascii="Times New Roman" w:hAnsi="Times New Roman" w:eastAsia="宋体" w:cs="Times New Roman"/>
                      <w:color w:val="auto"/>
                      <w:sz w:val="21"/>
                      <w:szCs w:val="21"/>
                      <w:highlight w:val="none"/>
                      <w:vertAlign w:val="baseline"/>
                      <w:lang w:val="en-US" w:eastAsia="zh-CN"/>
                    </w:rPr>
                    <w:t>，均匀性±14℃，</w:t>
                  </w:r>
                  <w:r>
                    <w:rPr>
                      <w:rFonts w:hint="default" w:ascii="Times New Roman" w:hAnsi="Times New Roman" w:eastAsia="宋体" w:cs="Times New Roman"/>
                      <w:color w:val="auto"/>
                      <w:sz w:val="21"/>
                      <w:szCs w:val="21"/>
                      <w:highlight w:val="none"/>
                      <w:lang w:val="en-US" w:eastAsia="zh-CN"/>
                    </w:rPr>
                    <w:t>风量：7200m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/h</w:t>
                  </w:r>
                </w:p>
              </w:tc>
              <w:tc>
                <w:tcPr>
                  <w:tcW w:w="707" w:type="pct"/>
                  <w:vMerge w:val="continue"/>
                  <w:shd w:val="clear" w:color="auto" w:fill="auto"/>
                  <w:vAlign w:val="center"/>
                </w:tcPr>
                <w:p w14:paraId="1CC90A0A">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14:paraId="0A0858A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424" w:type="pct"/>
                  <w:shd w:val="clear" w:color="auto" w:fill="auto"/>
                  <w:vAlign w:val="center"/>
                </w:tcPr>
                <w:p w14:paraId="6AC6AD36">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9</w:t>
                  </w:r>
                </w:p>
              </w:tc>
              <w:tc>
                <w:tcPr>
                  <w:tcW w:w="1222" w:type="pct"/>
                  <w:shd w:val="clear" w:color="auto" w:fill="auto"/>
                  <w:vAlign w:val="center"/>
                </w:tcPr>
                <w:p w14:paraId="3877D5EA">
                  <w:pPr>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燃气</w:t>
                  </w:r>
                  <w:r>
                    <w:rPr>
                      <w:rFonts w:hint="eastAsia"/>
                      <w:color w:val="auto"/>
                      <w:highlight w:val="none"/>
                      <w:vertAlign w:val="baseline"/>
                      <w:lang w:val="en-US" w:eastAsia="zh-CN"/>
                    </w:rPr>
                    <w:t>回</w:t>
                  </w:r>
                  <w:r>
                    <w:rPr>
                      <w:rFonts w:hint="default" w:ascii="Times New Roman" w:hAnsi="Times New Roman" w:eastAsia="宋体" w:cs="Times New Roman"/>
                      <w:color w:val="auto"/>
                      <w:kern w:val="2"/>
                      <w:sz w:val="21"/>
                      <w:szCs w:val="21"/>
                      <w:highlight w:val="none"/>
                      <w:lang w:val="en-US" w:eastAsia="zh-CN" w:bidi="ar-SA"/>
                    </w:rPr>
                    <w:t>火炉（台车式）</w:t>
                  </w:r>
                  <w:r>
                    <w:rPr>
                      <w:rFonts w:hint="eastAsia" w:ascii="Times New Roman" w:hAnsi="Times New Roman" w:cs="Times New Roman"/>
                      <w:color w:val="auto"/>
                      <w:kern w:val="2"/>
                      <w:sz w:val="21"/>
                      <w:szCs w:val="21"/>
                      <w:highlight w:val="none"/>
                      <w:lang w:val="en-US" w:eastAsia="zh-CN" w:bidi="ar-SA"/>
                    </w:rPr>
                    <w:t>3</w:t>
                  </w:r>
                  <w:r>
                    <w:rPr>
                      <w:rFonts w:hint="default" w:ascii="Times New Roman" w:hAnsi="Times New Roman" w:eastAsia="宋体" w:cs="Times New Roman"/>
                      <w:color w:val="auto"/>
                      <w:kern w:val="2"/>
                      <w:sz w:val="21"/>
                      <w:szCs w:val="21"/>
                      <w:highlight w:val="none"/>
                      <w:lang w:val="en-US" w:eastAsia="zh-CN" w:bidi="ar-SA"/>
                    </w:rPr>
                    <w:t>#</w:t>
                  </w:r>
                </w:p>
              </w:tc>
              <w:tc>
                <w:tcPr>
                  <w:tcW w:w="581" w:type="pct"/>
                  <w:shd w:val="clear" w:color="auto" w:fill="auto"/>
                  <w:vAlign w:val="center"/>
                </w:tcPr>
                <w:p w14:paraId="20CB79AF">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w:t>
                  </w:r>
                </w:p>
              </w:tc>
              <w:tc>
                <w:tcPr>
                  <w:tcW w:w="2065" w:type="pct"/>
                  <w:shd w:val="clear" w:color="auto" w:fill="auto"/>
                  <w:vAlign w:val="center"/>
                </w:tcPr>
                <w:p w14:paraId="10501B17">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*8m</w:t>
                  </w:r>
                  <w:r>
                    <w:rPr>
                      <w:rFonts w:hint="eastAsia" w:ascii="Times New Roman" w:hAnsi="Times New Roman" w:cs="Times New Roman"/>
                      <w:color w:val="auto"/>
                      <w:sz w:val="21"/>
                      <w:szCs w:val="21"/>
                      <w:highlight w:val="none"/>
                      <w:vertAlign w:val="baseline"/>
                      <w:lang w:val="en-US" w:eastAsia="zh-CN"/>
                    </w:rPr>
                    <w:t>96</w:t>
                  </w:r>
                  <w:r>
                    <w:rPr>
                      <w:rFonts w:hint="default" w:ascii="Times New Roman" w:hAnsi="Times New Roman" w:eastAsia="宋体" w:cs="Times New Roman"/>
                      <w:color w:val="auto"/>
                      <w:sz w:val="21"/>
                      <w:szCs w:val="21"/>
                      <w:highlight w:val="none"/>
                      <w:vertAlign w:val="baseline"/>
                      <w:lang w:val="en-US" w:eastAsia="zh-CN"/>
                    </w:rPr>
                    <w:t>0℃，载重量100t，</w:t>
                  </w:r>
                  <w:r>
                    <w:rPr>
                      <w:rFonts w:hint="eastAsia"/>
                      <w:color w:val="auto"/>
                      <w:highlight w:val="none"/>
                      <w:vertAlign w:val="baseline"/>
                      <w:lang w:val="en-US" w:eastAsia="zh-CN"/>
                    </w:rPr>
                    <w:t>满载升温速率50~100℃/h</w:t>
                  </w:r>
                  <w:r>
                    <w:rPr>
                      <w:rFonts w:hint="default" w:ascii="Times New Roman" w:hAnsi="Times New Roman" w:eastAsia="宋体" w:cs="Times New Roman"/>
                      <w:color w:val="auto"/>
                      <w:sz w:val="21"/>
                      <w:szCs w:val="21"/>
                      <w:highlight w:val="none"/>
                      <w:vertAlign w:val="baseline"/>
                      <w:lang w:val="en-US" w:eastAsia="zh-CN"/>
                    </w:rPr>
                    <w:t>；</w:t>
                  </w:r>
                  <w:r>
                    <w:rPr>
                      <w:rFonts w:hint="default" w:ascii="Times New Roman" w:hAnsi="Times New Roman" w:eastAsia="宋体" w:cs="Times New Roman"/>
                      <w:i w:val="0"/>
                      <w:iCs w:val="0"/>
                      <w:color w:val="auto"/>
                      <w:kern w:val="0"/>
                      <w:sz w:val="21"/>
                      <w:szCs w:val="21"/>
                      <w:highlight w:val="none"/>
                      <w:u w:val="none"/>
                      <w:lang w:val="en-US" w:eastAsia="zh-CN" w:bidi="ar"/>
                    </w:rPr>
                    <w:t>均匀性±10℃</w:t>
                  </w:r>
                  <w:r>
                    <w:rPr>
                      <w:rFonts w:hint="default" w:ascii="Times New Roman" w:hAnsi="Times New Roman" w:eastAsia="宋体"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lang w:val="en-US" w:eastAsia="zh-CN"/>
                    </w:rPr>
                    <w:t>风量：7200m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/h</w:t>
                  </w:r>
                </w:p>
              </w:tc>
              <w:tc>
                <w:tcPr>
                  <w:tcW w:w="707" w:type="pct"/>
                  <w:vMerge w:val="continue"/>
                  <w:shd w:val="clear" w:color="auto" w:fill="auto"/>
                  <w:vAlign w:val="center"/>
                </w:tcPr>
                <w:p w14:paraId="457EA72B">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14:paraId="22ADDAA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pct"/>
                  <w:shd w:val="clear" w:color="auto" w:fill="auto"/>
                  <w:vAlign w:val="center"/>
                </w:tcPr>
                <w:p w14:paraId="265DA7CF">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1222" w:type="pct"/>
                  <w:shd w:val="clear" w:color="auto" w:fill="auto"/>
                  <w:vAlign w:val="center"/>
                </w:tcPr>
                <w:p w14:paraId="4F096F4C">
                  <w:pPr>
                    <w:keepNext w:val="0"/>
                    <w:keepLines w:val="0"/>
                    <w:pageBreakBefore w:val="0"/>
                    <w:kinsoku/>
                    <w:wordWrap/>
                    <w:overflowPunct/>
                    <w:topLinePunct w:val="0"/>
                    <w:autoSpaceDE/>
                    <w:autoSpaceDN/>
                    <w:bidi w:val="0"/>
                    <w:adjustRightInd/>
                    <w:spacing w:line="240" w:lineRule="auto"/>
                    <w:ind w:right="0" w:firstLine="0" w:firstLineChars="0"/>
                    <w:jc w:val="center"/>
                    <w:rPr>
                      <w:rFonts w:hint="eastAsia"/>
                      <w:color w:val="auto"/>
                      <w:highlight w:val="none"/>
                      <w:vertAlign w:val="baseline"/>
                      <w:lang w:val="en-US" w:eastAsia="zh-CN"/>
                    </w:rPr>
                  </w:pPr>
                  <w:r>
                    <w:rPr>
                      <w:rFonts w:hint="eastAsia"/>
                      <w:color w:val="auto"/>
                      <w:highlight w:val="none"/>
                      <w:vertAlign w:val="baseline"/>
                      <w:lang w:val="en-US" w:eastAsia="zh-CN"/>
                    </w:rPr>
                    <w:t>电加热炉</w:t>
                  </w:r>
                </w:p>
              </w:tc>
              <w:tc>
                <w:tcPr>
                  <w:tcW w:w="581" w:type="pct"/>
                  <w:shd w:val="clear" w:color="auto" w:fill="auto"/>
                  <w:vAlign w:val="center"/>
                </w:tcPr>
                <w:p w14:paraId="6C20B62E">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2065" w:type="pct"/>
                  <w:shd w:val="clear" w:color="auto" w:fill="auto"/>
                  <w:vAlign w:val="center"/>
                </w:tcPr>
                <w:p w14:paraId="057C991A">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olor w:val="auto"/>
                      <w:highlight w:val="none"/>
                      <w:vertAlign w:val="baseline"/>
                      <w:lang w:val="en-US" w:eastAsia="zh-CN"/>
                    </w:rPr>
                    <w:t>260*300*260mm1700℃</w:t>
                  </w:r>
                </w:p>
              </w:tc>
              <w:tc>
                <w:tcPr>
                  <w:tcW w:w="707" w:type="pct"/>
                  <w:shd w:val="clear" w:color="auto" w:fill="auto"/>
                  <w:vAlign w:val="center"/>
                </w:tcPr>
                <w:p w14:paraId="3AF575D8">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14:paraId="7E4FCCF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pct"/>
                  <w:shd w:val="clear" w:color="auto" w:fill="auto"/>
                  <w:vAlign w:val="center"/>
                </w:tcPr>
                <w:p w14:paraId="2E032878">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11</w:t>
                  </w:r>
                </w:p>
              </w:tc>
              <w:tc>
                <w:tcPr>
                  <w:tcW w:w="1222" w:type="pct"/>
                  <w:shd w:val="clear" w:color="auto" w:fill="auto"/>
                  <w:vAlign w:val="center"/>
                </w:tcPr>
                <w:p w14:paraId="5F5F28B8">
                  <w:pPr>
                    <w:keepNext w:val="0"/>
                    <w:keepLines w:val="0"/>
                    <w:pageBreakBefore w:val="0"/>
                    <w:kinsoku/>
                    <w:wordWrap/>
                    <w:overflowPunct/>
                    <w:topLinePunct w:val="0"/>
                    <w:autoSpaceDE/>
                    <w:autoSpaceDN/>
                    <w:bidi w:val="0"/>
                    <w:adjustRightInd/>
                    <w:spacing w:line="240" w:lineRule="auto"/>
                    <w:ind w:right="0" w:firstLine="0" w:firstLineChars="0"/>
                    <w:jc w:val="center"/>
                    <w:rPr>
                      <w:rFonts w:hint="eastAsia"/>
                      <w:color w:val="auto"/>
                      <w:highlight w:val="none"/>
                      <w:vertAlign w:val="baseline"/>
                      <w:lang w:val="en-US" w:eastAsia="zh-CN"/>
                    </w:rPr>
                  </w:pPr>
                  <w:r>
                    <w:rPr>
                      <w:rFonts w:hint="eastAsia"/>
                      <w:color w:val="auto"/>
                      <w:highlight w:val="none"/>
                      <w:vertAlign w:val="baseline"/>
                      <w:lang w:val="en-US" w:eastAsia="zh-CN"/>
                    </w:rPr>
                    <w:t>电加热炉</w:t>
                  </w:r>
                </w:p>
              </w:tc>
              <w:tc>
                <w:tcPr>
                  <w:tcW w:w="581" w:type="pct"/>
                  <w:shd w:val="clear" w:color="auto" w:fill="auto"/>
                  <w:vAlign w:val="center"/>
                </w:tcPr>
                <w:p w14:paraId="18B0B6EA">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2065" w:type="pct"/>
                  <w:shd w:val="clear" w:color="auto" w:fill="auto"/>
                  <w:vAlign w:val="center"/>
                </w:tcPr>
                <w:p w14:paraId="315CA46D">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olor w:val="auto"/>
                      <w:highlight w:val="none"/>
                      <w:vertAlign w:val="baseline"/>
                      <w:lang w:val="en-US" w:eastAsia="zh-CN"/>
                    </w:rPr>
                    <w:t>1</w:t>
                  </w:r>
                  <w:r>
                    <w:rPr>
                      <w:rFonts w:hint="default" w:ascii="Times New Roman" w:hAnsi="Times New Roman" w:eastAsia="宋体" w:cs="Times New Roman"/>
                      <w:color w:val="auto"/>
                      <w:sz w:val="21"/>
                      <w:szCs w:val="21"/>
                      <w:highlight w:val="none"/>
                    </w:rPr>
                    <w:t>*</w:t>
                  </w:r>
                  <w:r>
                    <w:rPr>
                      <w:rFonts w:hint="eastAsia"/>
                      <w:color w:val="auto"/>
                      <w:highlight w:val="none"/>
                      <w:vertAlign w:val="baseline"/>
                      <w:lang w:val="en-US" w:eastAsia="zh-CN"/>
                    </w:rPr>
                    <w:t>1m 1100℃</w:t>
                  </w:r>
                </w:p>
              </w:tc>
              <w:tc>
                <w:tcPr>
                  <w:tcW w:w="707" w:type="pct"/>
                  <w:shd w:val="clear" w:color="auto" w:fill="auto"/>
                  <w:vAlign w:val="center"/>
                </w:tcPr>
                <w:p w14:paraId="6B9DD73E">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14:paraId="12E3D1A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pct"/>
                  <w:shd w:val="clear" w:color="auto" w:fill="auto"/>
                  <w:vAlign w:val="center"/>
                </w:tcPr>
                <w:p w14:paraId="1871BBCF">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w:t>
                  </w:r>
                </w:p>
              </w:tc>
              <w:tc>
                <w:tcPr>
                  <w:tcW w:w="1222" w:type="pct"/>
                  <w:shd w:val="clear" w:color="auto" w:fill="auto"/>
                  <w:vAlign w:val="center"/>
                </w:tcPr>
                <w:p w14:paraId="29A0AA56">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rPr>
                  </w:pPr>
                  <w:r>
                    <w:rPr>
                      <w:rFonts w:hint="eastAsia"/>
                      <w:color w:val="auto"/>
                      <w:highlight w:val="none"/>
                      <w:vertAlign w:val="baseline"/>
                      <w:lang w:val="en-US" w:eastAsia="zh-CN"/>
                    </w:rPr>
                    <w:t>电加热炉</w:t>
                  </w:r>
                </w:p>
              </w:tc>
              <w:tc>
                <w:tcPr>
                  <w:tcW w:w="581" w:type="pct"/>
                  <w:shd w:val="clear" w:color="auto" w:fill="auto"/>
                  <w:vAlign w:val="center"/>
                </w:tcPr>
                <w:p w14:paraId="6E7CD90B">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2065" w:type="pct"/>
                  <w:shd w:val="clear" w:color="auto" w:fill="auto"/>
                  <w:vAlign w:val="center"/>
                </w:tcPr>
                <w:p w14:paraId="7231509B">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φ2.5</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1.5m650℃</w:t>
                  </w:r>
                </w:p>
              </w:tc>
              <w:tc>
                <w:tcPr>
                  <w:tcW w:w="707" w:type="pct"/>
                  <w:shd w:val="clear" w:color="auto" w:fill="auto"/>
                  <w:vAlign w:val="center"/>
                </w:tcPr>
                <w:p w14:paraId="6706608D">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14:paraId="131757D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pct"/>
                  <w:shd w:val="clear" w:color="auto" w:fill="auto"/>
                  <w:vAlign w:val="center"/>
                </w:tcPr>
                <w:p w14:paraId="4F42D5AA">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13</w:t>
                  </w:r>
                </w:p>
              </w:tc>
              <w:tc>
                <w:tcPr>
                  <w:tcW w:w="1222" w:type="pct"/>
                  <w:shd w:val="clear" w:color="auto" w:fill="auto"/>
                  <w:vAlign w:val="center"/>
                </w:tcPr>
                <w:p w14:paraId="6E437667">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rPr>
                  </w:pPr>
                  <w:r>
                    <w:rPr>
                      <w:rFonts w:hint="eastAsia"/>
                      <w:color w:val="auto"/>
                      <w:highlight w:val="none"/>
                      <w:vertAlign w:val="baseline"/>
                      <w:lang w:val="en-US" w:eastAsia="zh-CN"/>
                    </w:rPr>
                    <w:t>电加热炉</w:t>
                  </w:r>
                </w:p>
              </w:tc>
              <w:tc>
                <w:tcPr>
                  <w:tcW w:w="581" w:type="pct"/>
                  <w:shd w:val="clear" w:color="auto" w:fill="auto"/>
                  <w:vAlign w:val="center"/>
                </w:tcPr>
                <w:p w14:paraId="21312622">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2065" w:type="pct"/>
                  <w:shd w:val="clear" w:color="auto" w:fill="auto"/>
                  <w:vAlign w:val="center"/>
                </w:tcPr>
                <w:p w14:paraId="106450CD">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sz w:val="21"/>
                      <w:szCs w:val="21"/>
                      <w:highlight w:val="none"/>
                      <w:lang w:val="en-US" w:eastAsia="zh-CN"/>
                    </w:rPr>
                    <w:t>2.5</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2.5m550℃</w:t>
                  </w:r>
                </w:p>
              </w:tc>
              <w:tc>
                <w:tcPr>
                  <w:tcW w:w="707" w:type="pct"/>
                  <w:shd w:val="clear" w:color="auto" w:fill="auto"/>
                  <w:vAlign w:val="center"/>
                </w:tcPr>
                <w:p w14:paraId="7E051F25">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14:paraId="451B415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pct"/>
                  <w:shd w:val="clear" w:color="auto" w:fill="auto"/>
                  <w:vAlign w:val="center"/>
                </w:tcPr>
                <w:p w14:paraId="4578932B">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14</w:t>
                  </w:r>
                </w:p>
              </w:tc>
              <w:tc>
                <w:tcPr>
                  <w:tcW w:w="1222" w:type="pct"/>
                  <w:shd w:val="clear" w:color="auto" w:fill="auto"/>
                  <w:vAlign w:val="center"/>
                </w:tcPr>
                <w:p w14:paraId="730F78FB">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rPr>
                  </w:pPr>
                  <w:r>
                    <w:rPr>
                      <w:rFonts w:hint="eastAsia"/>
                      <w:color w:val="auto"/>
                      <w:highlight w:val="none"/>
                      <w:vertAlign w:val="baseline"/>
                      <w:lang w:val="en-US" w:eastAsia="zh-CN"/>
                    </w:rPr>
                    <w:t>电回火炉</w:t>
                  </w:r>
                </w:p>
              </w:tc>
              <w:tc>
                <w:tcPr>
                  <w:tcW w:w="581" w:type="pct"/>
                  <w:shd w:val="clear" w:color="auto" w:fill="auto"/>
                  <w:vAlign w:val="center"/>
                </w:tcPr>
                <w:p w14:paraId="0D77FD2E">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2065" w:type="pct"/>
                  <w:shd w:val="clear" w:color="auto" w:fill="auto"/>
                  <w:vAlign w:val="center"/>
                </w:tcPr>
                <w:p w14:paraId="0C696875">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3*2m</w:t>
                  </w:r>
                  <w:r>
                    <w:rPr>
                      <w:rFonts w:hint="eastAsia"/>
                      <w:color w:val="auto"/>
                      <w:highlight w:val="none"/>
                      <w:vertAlign w:val="baseline"/>
                      <w:lang w:val="en-US" w:eastAsia="zh-CN"/>
                    </w:rPr>
                    <w:t>750℃</w:t>
                  </w:r>
                </w:p>
              </w:tc>
              <w:tc>
                <w:tcPr>
                  <w:tcW w:w="707" w:type="pct"/>
                  <w:shd w:val="clear" w:color="auto" w:fill="auto"/>
                  <w:vAlign w:val="center"/>
                </w:tcPr>
                <w:p w14:paraId="4019453E">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14:paraId="4FBDA86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pct"/>
                  <w:shd w:val="clear" w:color="auto" w:fill="auto"/>
                  <w:vAlign w:val="center"/>
                </w:tcPr>
                <w:p w14:paraId="710BC6EE">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15</w:t>
                  </w:r>
                </w:p>
              </w:tc>
              <w:tc>
                <w:tcPr>
                  <w:tcW w:w="1222" w:type="pct"/>
                  <w:shd w:val="clear" w:color="auto" w:fill="auto"/>
                  <w:vAlign w:val="center"/>
                </w:tcPr>
                <w:p w14:paraId="722C4F8D">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电热处理炉</w:t>
                  </w:r>
                </w:p>
              </w:tc>
              <w:tc>
                <w:tcPr>
                  <w:tcW w:w="581" w:type="pct"/>
                  <w:shd w:val="clear" w:color="auto" w:fill="auto"/>
                  <w:vAlign w:val="center"/>
                </w:tcPr>
                <w:p w14:paraId="6F8A200C">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2065" w:type="pct"/>
                  <w:shd w:val="clear" w:color="auto" w:fill="auto"/>
                  <w:vAlign w:val="center"/>
                </w:tcPr>
                <w:p w14:paraId="6E63F9FF">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3*2m</w:t>
                  </w:r>
                  <w:r>
                    <w:rPr>
                      <w:rFonts w:hint="eastAsia"/>
                      <w:color w:val="auto"/>
                      <w:highlight w:val="none"/>
                      <w:vertAlign w:val="baseline"/>
                      <w:lang w:val="en-US" w:eastAsia="zh-CN"/>
                    </w:rPr>
                    <w:t>1100℃</w:t>
                  </w:r>
                </w:p>
              </w:tc>
              <w:tc>
                <w:tcPr>
                  <w:tcW w:w="707" w:type="pct"/>
                  <w:shd w:val="clear" w:color="auto" w:fill="auto"/>
                  <w:vAlign w:val="center"/>
                </w:tcPr>
                <w:p w14:paraId="2A6F8B3C">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14:paraId="5B6E6A6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pct"/>
                  <w:shd w:val="clear" w:color="auto" w:fill="auto"/>
                  <w:vAlign w:val="center"/>
                </w:tcPr>
                <w:p w14:paraId="25B69456">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16</w:t>
                  </w:r>
                </w:p>
              </w:tc>
              <w:tc>
                <w:tcPr>
                  <w:tcW w:w="1222" w:type="pct"/>
                  <w:shd w:val="clear" w:color="auto" w:fill="auto"/>
                  <w:vAlign w:val="center"/>
                </w:tcPr>
                <w:p w14:paraId="75557445">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电热处理炉</w:t>
                  </w:r>
                </w:p>
              </w:tc>
              <w:tc>
                <w:tcPr>
                  <w:tcW w:w="581" w:type="pct"/>
                  <w:shd w:val="clear" w:color="auto" w:fill="auto"/>
                  <w:vAlign w:val="center"/>
                </w:tcPr>
                <w:p w14:paraId="06C5FC35">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1</w:t>
                  </w:r>
                </w:p>
              </w:tc>
              <w:tc>
                <w:tcPr>
                  <w:tcW w:w="2065" w:type="pct"/>
                  <w:shd w:val="clear" w:color="auto" w:fill="auto"/>
                  <w:vAlign w:val="center"/>
                </w:tcPr>
                <w:p w14:paraId="01F6B286">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3*5m</w:t>
                  </w:r>
                  <w:r>
                    <w:rPr>
                      <w:rFonts w:hint="eastAsia"/>
                      <w:color w:val="auto"/>
                      <w:highlight w:val="none"/>
                      <w:vertAlign w:val="baseline"/>
                      <w:lang w:val="en-US" w:eastAsia="zh-CN"/>
                    </w:rPr>
                    <w:t>1100℃</w:t>
                  </w:r>
                </w:p>
              </w:tc>
              <w:tc>
                <w:tcPr>
                  <w:tcW w:w="707" w:type="pct"/>
                  <w:shd w:val="clear" w:color="auto" w:fill="auto"/>
                  <w:vAlign w:val="center"/>
                </w:tcPr>
                <w:p w14:paraId="001DD425">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14:paraId="1AD51DF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pct"/>
                  <w:shd w:val="clear" w:color="auto" w:fill="auto"/>
                  <w:vAlign w:val="center"/>
                </w:tcPr>
                <w:p w14:paraId="4FB6561B">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17</w:t>
                  </w:r>
                </w:p>
              </w:tc>
              <w:tc>
                <w:tcPr>
                  <w:tcW w:w="1222" w:type="pct"/>
                  <w:shd w:val="clear" w:color="auto" w:fill="auto"/>
                  <w:vAlign w:val="center"/>
                </w:tcPr>
                <w:p w14:paraId="1969A6EE">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rPr>
                  </w:pPr>
                  <w:r>
                    <w:rPr>
                      <w:rFonts w:hint="default"/>
                      <w:color w:val="auto"/>
                      <w:highlight w:val="none"/>
                      <w:vertAlign w:val="baseline"/>
                      <w:lang w:val="en-US" w:eastAsia="zh-CN"/>
                    </w:rPr>
                    <w:t>热处理水池</w:t>
                  </w:r>
                </w:p>
              </w:tc>
              <w:tc>
                <w:tcPr>
                  <w:tcW w:w="581" w:type="pct"/>
                  <w:shd w:val="clear" w:color="auto" w:fill="auto"/>
                  <w:vAlign w:val="center"/>
                </w:tcPr>
                <w:p w14:paraId="5C6E43E4">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2065" w:type="pct"/>
                  <w:shd w:val="clear" w:color="auto" w:fill="auto"/>
                  <w:vAlign w:val="center"/>
                </w:tcPr>
                <w:p w14:paraId="06D5D6E1">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sz w:val="21"/>
                      <w:szCs w:val="21"/>
                      <w:highlight w:val="none"/>
                      <w:lang w:val="en-US"/>
                    </w:rPr>
                  </w:pPr>
                  <w:r>
                    <w:rPr>
                      <w:rFonts w:hint="eastAsia"/>
                      <w:color w:val="auto"/>
                      <w:highlight w:val="none"/>
                      <w:vertAlign w:val="baseline"/>
                      <w:lang w:val="en-US" w:eastAsia="zh-CN"/>
                    </w:rPr>
                    <w:t>14.5</w:t>
                  </w:r>
                  <w:r>
                    <w:rPr>
                      <w:rFonts w:hint="eastAsia" w:cs="Times New Roman"/>
                      <w:color w:val="auto"/>
                      <w:sz w:val="21"/>
                      <w:szCs w:val="21"/>
                      <w:highlight w:val="none"/>
                      <w:lang w:val="en-US" w:eastAsia="zh-CN"/>
                    </w:rPr>
                    <w:t>*</w:t>
                  </w:r>
                  <w:r>
                    <w:rPr>
                      <w:rFonts w:hint="eastAsia"/>
                      <w:color w:val="auto"/>
                      <w:highlight w:val="none"/>
                      <w:vertAlign w:val="baseline"/>
                      <w:lang w:val="en-US" w:eastAsia="zh-CN"/>
                    </w:rPr>
                    <w:t>6</w:t>
                  </w:r>
                  <w:r>
                    <w:rPr>
                      <w:rFonts w:hint="eastAsia" w:cs="Times New Roman"/>
                      <w:color w:val="auto"/>
                      <w:sz w:val="21"/>
                      <w:szCs w:val="21"/>
                      <w:highlight w:val="none"/>
                      <w:lang w:val="en-US" w:eastAsia="zh-CN"/>
                    </w:rPr>
                    <w:t>*</w:t>
                  </w:r>
                  <w:r>
                    <w:rPr>
                      <w:rFonts w:hint="eastAsia"/>
                      <w:color w:val="auto"/>
                      <w:highlight w:val="none"/>
                      <w:vertAlign w:val="baseline"/>
                      <w:lang w:val="en-US" w:eastAsia="zh-CN"/>
                    </w:rPr>
                    <w:t>4.5m</w:t>
                  </w:r>
                </w:p>
              </w:tc>
              <w:tc>
                <w:tcPr>
                  <w:tcW w:w="707" w:type="pct"/>
                  <w:shd w:val="clear" w:color="auto" w:fill="auto"/>
                  <w:vAlign w:val="center"/>
                </w:tcPr>
                <w:p w14:paraId="36A9B7C7">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14:paraId="5C2D792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PrEx>
              <w:trPr>
                <w:trHeight w:val="90" w:hRule="atLeast"/>
                <w:jc w:val="center"/>
              </w:trPr>
              <w:tc>
                <w:tcPr>
                  <w:tcW w:w="424" w:type="pct"/>
                  <w:shd w:val="clear" w:color="auto" w:fill="auto"/>
                  <w:vAlign w:val="center"/>
                </w:tcPr>
                <w:p w14:paraId="1A2888CB">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18</w:t>
                  </w:r>
                </w:p>
              </w:tc>
              <w:tc>
                <w:tcPr>
                  <w:tcW w:w="1222" w:type="pct"/>
                  <w:shd w:val="clear" w:color="auto" w:fill="auto"/>
                  <w:vAlign w:val="center"/>
                </w:tcPr>
                <w:p w14:paraId="07A74139">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rPr>
                  </w:pPr>
                  <w:r>
                    <w:rPr>
                      <w:rFonts w:hint="default"/>
                      <w:color w:val="auto"/>
                      <w:highlight w:val="none"/>
                      <w:vertAlign w:val="baseline"/>
                      <w:lang w:val="en-US" w:eastAsia="zh-CN"/>
                    </w:rPr>
                    <w:t>热处理水池</w:t>
                  </w:r>
                </w:p>
              </w:tc>
              <w:tc>
                <w:tcPr>
                  <w:tcW w:w="581" w:type="pct"/>
                  <w:shd w:val="clear" w:color="auto" w:fill="auto"/>
                  <w:vAlign w:val="center"/>
                </w:tcPr>
                <w:p w14:paraId="5A4F5636">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2065" w:type="pct"/>
                  <w:shd w:val="clear" w:color="auto" w:fill="auto"/>
                  <w:vAlign w:val="center"/>
                </w:tcPr>
                <w:p w14:paraId="09AF196A">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sz w:val="21"/>
                      <w:szCs w:val="21"/>
                      <w:highlight w:val="none"/>
                      <w:lang w:val="en-US"/>
                    </w:rPr>
                  </w:pPr>
                  <w:r>
                    <w:rPr>
                      <w:rFonts w:hint="eastAsia"/>
                      <w:color w:val="auto"/>
                      <w:highlight w:val="none"/>
                      <w:vertAlign w:val="baseline"/>
                      <w:lang w:val="en-US" w:eastAsia="zh-CN"/>
                    </w:rPr>
                    <w:t>7</w:t>
                  </w:r>
                  <w:r>
                    <w:rPr>
                      <w:rFonts w:hint="eastAsia" w:cs="Times New Roman"/>
                      <w:color w:val="auto"/>
                      <w:sz w:val="21"/>
                      <w:szCs w:val="21"/>
                      <w:highlight w:val="none"/>
                      <w:lang w:val="en-US" w:eastAsia="zh-CN"/>
                    </w:rPr>
                    <w:t>*</w:t>
                  </w:r>
                  <w:r>
                    <w:rPr>
                      <w:rFonts w:hint="eastAsia"/>
                      <w:color w:val="auto"/>
                      <w:highlight w:val="none"/>
                      <w:vertAlign w:val="baseline"/>
                      <w:lang w:val="en-US" w:eastAsia="zh-CN"/>
                    </w:rPr>
                    <w:t>6</w:t>
                  </w:r>
                  <w:r>
                    <w:rPr>
                      <w:rFonts w:hint="eastAsia" w:cs="Times New Roman"/>
                      <w:color w:val="auto"/>
                      <w:sz w:val="21"/>
                      <w:szCs w:val="21"/>
                      <w:highlight w:val="none"/>
                      <w:lang w:val="en-US" w:eastAsia="zh-CN"/>
                    </w:rPr>
                    <w:t>*</w:t>
                  </w:r>
                  <w:r>
                    <w:rPr>
                      <w:rFonts w:hint="eastAsia"/>
                      <w:color w:val="auto"/>
                      <w:highlight w:val="none"/>
                      <w:vertAlign w:val="baseline"/>
                      <w:lang w:val="en-US" w:eastAsia="zh-CN"/>
                    </w:rPr>
                    <w:t>4.5m</w:t>
                  </w:r>
                </w:p>
              </w:tc>
              <w:tc>
                <w:tcPr>
                  <w:tcW w:w="707" w:type="pct"/>
                  <w:shd w:val="clear" w:color="auto" w:fill="auto"/>
                  <w:vAlign w:val="center"/>
                </w:tcPr>
                <w:p w14:paraId="2A57E9A4">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14:paraId="722349A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424" w:type="pct"/>
                  <w:shd w:val="clear" w:color="auto" w:fill="auto"/>
                  <w:vAlign w:val="center"/>
                </w:tcPr>
                <w:p w14:paraId="6F3D5848">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19</w:t>
                  </w:r>
                </w:p>
              </w:tc>
              <w:tc>
                <w:tcPr>
                  <w:tcW w:w="1222" w:type="pct"/>
                  <w:shd w:val="clear" w:color="auto" w:fill="auto"/>
                  <w:vAlign w:val="center"/>
                </w:tcPr>
                <w:p w14:paraId="16B10685">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rPr>
                  </w:pPr>
                  <w:r>
                    <w:rPr>
                      <w:rFonts w:hint="eastAsia"/>
                      <w:color w:val="auto"/>
                      <w:highlight w:val="none"/>
                      <w:vertAlign w:val="baseline"/>
                      <w:lang w:val="en-US" w:eastAsia="zh-CN"/>
                    </w:rPr>
                    <w:t>取料机</w:t>
                  </w:r>
                </w:p>
              </w:tc>
              <w:tc>
                <w:tcPr>
                  <w:tcW w:w="581" w:type="pct"/>
                  <w:shd w:val="clear" w:color="auto" w:fill="auto"/>
                  <w:vAlign w:val="center"/>
                </w:tcPr>
                <w:p w14:paraId="365BA874">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2065" w:type="pct"/>
                  <w:shd w:val="clear" w:color="auto" w:fill="auto"/>
                  <w:vAlign w:val="center"/>
                </w:tcPr>
                <w:p w14:paraId="12BB632B">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sz w:val="21"/>
                      <w:szCs w:val="21"/>
                      <w:highlight w:val="none"/>
                    </w:rPr>
                  </w:pPr>
                  <w:r>
                    <w:rPr>
                      <w:rStyle w:val="137"/>
                      <w:rFonts w:hint="default" w:ascii="Times New Roman" w:hAnsi="Times New Roman" w:eastAsia="宋体" w:cs="Times New Roman"/>
                      <w:color w:val="auto"/>
                      <w:highlight w:val="none"/>
                      <w:lang w:val="en-US" w:eastAsia="zh-CN" w:bidi="ar"/>
                    </w:rPr>
                    <w:t>20t</w:t>
                  </w:r>
                </w:p>
              </w:tc>
              <w:tc>
                <w:tcPr>
                  <w:tcW w:w="707" w:type="pct"/>
                  <w:shd w:val="clear" w:color="auto" w:fill="auto"/>
                  <w:vAlign w:val="center"/>
                </w:tcPr>
                <w:p w14:paraId="1B12BC75">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14:paraId="66E93AE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pct"/>
                  <w:shd w:val="clear" w:color="auto" w:fill="auto"/>
                  <w:vAlign w:val="center"/>
                </w:tcPr>
                <w:p w14:paraId="4E6551C8">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20</w:t>
                  </w:r>
                </w:p>
              </w:tc>
              <w:tc>
                <w:tcPr>
                  <w:tcW w:w="1222" w:type="pct"/>
                  <w:shd w:val="clear" w:color="auto" w:fill="auto"/>
                  <w:vAlign w:val="center"/>
                </w:tcPr>
                <w:p w14:paraId="78410C6E">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带锯床</w:t>
                  </w:r>
                </w:p>
              </w:tc>
              <w:tc>
                <w:tcPr>
                  <w:tcW w:w="581" w:type="pct"/>
                  <w:shd w:val="clear" w:color="auto" w:fill="auto"/>
                  <w:vAlign w:val="center"/>
                </w:tcPr>
                <w:p w14:paraId="6820D748">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2</w:t>
                  </w:r>
                </w:p>
              </w:tc>
              <w:tc>
                <w:tcPr>
                  <w:tcW w:w="2065" w:type="pct"/>
                  <w:shd w:val="clear" w:color="auto" w:fill="auto"/>
                  <w:vAlign w:val="center"/>
                </w:tcPr>
                <w:p w14:paraId="3348B18D">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Ф500（数控款）</w:t>
                  </w:r>
                </w:p>
              </w:tc>
              <w:tc>
                <w:tcPr>
                  <w:tcW w:w="707" w:type="pct"/>
                  <w:shd w:val="clear" w:color="auto" w:fill="auto"/>
                  <w:vAlign w:val="center"/>
                </w:tcPr>
                <w:p w14:paraId="3405FFCE">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14:paraId="3ADB304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424" w:type="pct"/>
                  <w:shd w:val="clear" w:color="auto" w:fill="auto"/>
                  <w:vAlign w:val="center"/>
                </w:tcPr>
                <w:p w14:paraId="366BE077">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21</w:t>
                  </w:r>
                </w:p>
              </w:tc>
              <w:tc>
                <w:tcPr>
                  <w:tcW w:w="1222" w:type="pct"/>
                  <w:shd w:val="clear" w:color="auto" w:fill="auto"/>
                  <w:vAlign w:val="center"/>
                </w:tcPr>
                <w:p w14:paraId="43BD7C3A">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带锯床</w:t>
                  </w:r>
                </w:p>
              </w:tc>
              <w:tc>
                <w:tcPr>
                  <w:tcW w:w="581" w:type="pct"/>
                  <w:shd w:val="clear" w:color="auto" w:fill="auto"/>
                  <w:vAlign w:val="center"/>
                </w:tcPr>
                <w:p w14:paraId="6669B6B7">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2</w:t>
                  </w:r>
                </w:p>
              </w:tc>
              <w:tc>
                <w:tcPr>
                  <w:tcW w:w="2065" w:type="pct"/>
                  <w:shd w:val="clear" w:color="auto" w:fill="auto"/>
                  <w:vAlign w:val="center"/>
                </w:tcPr>
                <w:p w14:paraId="5A81EABF">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Ф800（手动款）</w:t>
                  </w:r>
                </w:p>
              </w:tc>
              <w:tc>
                <w:tcPr>
                  <w:tcW w:w="707" w:type="pct"/>
                  <w:shd w:val="clear" w:color="auto" w:fill="auto"/>
                  <w:vAlign w:val="center"/>
                </w:tcPr>
                <w:p w14:paraId="6B3A7D5F">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14:paraId="5217A7A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5000" w:type="pct"/>
                  <w:gridSpan w:val="5"/>
                  <w:shd w:val="clear" w:color="auto" w:fill="auto"/>
                  <w:vAlign w:val="center"/>
                </w:tcPr>
                <w:p w14:paraId="74307D9F">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检验设备</w:t>
                  </w:r>
                </w:p>
              </w:tc>
            </w:tr>
            <w:tr w14:paraId="68CE23A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24" w:type="pct"/>
                  <w:shd w:val="clear" w:color="auto" w:fill="auto"/>
                  <w:vAlign w:val="center"/>
                </w:tcPr>
                <w:p w14:paraId="7994D8D3">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w:t>
                  </w:r>
                </w:p>
              </w:tc>
              <w:tc>
                <w:tcPr>
                  <w:tcW w:w="1222" w:type="pct"/>
                  <w:shd w:val="clear" w:color="auto" w:fill="auto"/>
                  <w:vAlign w:val="center"/>
                </w:tcPr>
                <w:p w14:paraId="1BD5D65F">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直读光谱仪</w:t>
                  </w:r>
                </w:p>
              </w:tc>
              <w:tc>
                <w:tcPr>
                  <w:tcW w:w="581" w:type="pct"/>
                  <w:shd w:val="clear" w:color="auto" w:fill="auto"/>
                  <w:vAlign w:val="center"/>
                </w:tcPr>
                <w:p w14:paraId="4AAAC20B">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2065" w:type="pct"/>
                  <w:shd w:val="clear" w:color="auto" w:fill="auto"/>
                  <w:vAlign w:val="center"/>
                </w:tcPr>
                <w:p w14:paraId="450B9B15">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M5000PLUS</w:t>
                  </w:r>
                </w:p>
              </w:tc>
              <w:tc>
                <w:tcPr>
                  <w:tcW w:w="707" w:type="pct"/>
                  <w:shd w:val="clear" w:color="auto" w:fill="auto"/>
                  <w:vAlign w:val="center"/>
                </w:tcPr>
                <w:p w14:paraId="00ACD272">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14:paraId="6496D3B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424" w:type="pct"/>
                  <w:shd w:val="clear" w:color="auto" w:fill="auto"/>
                  <w:vAlign w:val="center"/>
                </w:tcPr>
                <w:p w14:paraId="66C5FF80">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2</w:t>
                  </w:r>
                </w:p>
              </w:tc>
              <w:tc>
                <w:tcPr>
                  <w:tcW w:w="1222" w:type="pct"/>
                  <w:shd w:val="clear" w:color="auto" w:fill="auto"/>
                  <w:vAlign w:val="center"/>
                </w:tcPr>
                <w:p w14:paraId="6717633E">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落球试验机</w:t>
                  </w:r>
                </w:p>
              </w:tc>
              <w:tc>
                <w:tcPr>
                  <w:tcW w:w="581" w:type="pct"/>
                  <w:shd w:val="clear" w:color="auto" w:fill="auto"/>
                  <w:vAlign w:val="center"/>
                </w:tcPr>
                <w:p w14:paraId="2F8F39A9">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2065" w:type="pct"/>
                  <w:shd w:val="clear" w:color="auto" w:fill="auto"/>
                  <w:vAlign w:val="center"/>
                </w:tcPr>
                <w:p w14:paraId="10434080">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定制</w:t>
                  </w:r>
                </w:p>
              </w:tc>
              <w:tc>
                <w:tcPr>
                  <w:tcW w:w="707" w:type="pct"/>
                  <w:shd w:val="clear" w:color="auto" w:fill="auto"/>
                  <w:vAlign w:val="center"/>
                </w:tcPr>
                <w:p w14:paraId="3B204A4D">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14:paraId="417B0F2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pct"/>
                  <w:shd w:val="clear" w:color="auto" w:fill="auto"/>
                  <w:vAlign w:val="center"/>
                </w:tcPr>
                <w:p w14:paraId="21EC6CF6">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1222" w:type="pct"/>
                  <w:shd w:val="clear" w:color="auto" w:fill="auto"/>
                  <w:vAlign w:val="center"/>
                </w:tcPr>
                <w:p w14:paraId="35C9DA5F">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300KN万能试验机</w:t>
                  </w:r>
                </w:p>
              </w:tc>
              <w:tc>
                <w:tcPr>
                  <w:tcW w:w="581" w:type="pct"/>
                  <w:shd w:val="clear" w:color="auto" w:fill="auto"/>
                  <w:vAlign w:val="center"/>
                </w:tcPr>
                <w:p w14:paraId="66BD7F61">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2065" w:type="pct"/>
                  <w:shd w:val="clear" w:color="auto" w:fill="auto"/>
                  <w:vAlign w:val="center"/>
                </w:tcPr>
                <w:p w14:paraId="541F0D31">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MT81-1030</w:t>
                  </w:r>
                </w:p>
              </w:tc>
              <w:tc>
                <w:tcPr>
                  <w:tcW w:w="707" w:type="pct"/>
                  <w:shd w:val="clear" w:color="auto" w:fill="auto"/>
                  <w:vAlign w:val="center"/>
                </w:tcPr>
                <w:p w14:paraId="204CAF70">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14:paraId="30EA154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pct"/>
                  <w:shd w:val="clear" w:color="auto" w:fill="auto"/>
                  <w:vAlign w:val="center"/>
                </w:tcPr>
                <w:p w14:paraId="225B5628">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w:t>
                  </w:r>
                </w:p>
              </w:tc>
              <w:tc>
                <w:tcPr>
                  <w:tcW w:w="1222" w:type="pct"/>
                  <w:shd w:val="clear" w:color="auto" w:fill="auto"/>
                  <w:vAlign w:val="center"/>
                </w:tcPr>
                <w:p w14:paraId="7A0D5221">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100KN万能试验机</w:t>
                  </w:r>
                </w:p>
              </w:tc>
              <w:tc>
                <w:tcPr>
                  <w:tcW w:w="581" w:type="pct"/>
                  <w:shd w:val="clear" w:color="auto" w:fill="auto"/>
                  <w:vAlign w:val="center"/>
                </w:tcPr>
                <w:p w14:paraId="5CEA69C8">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2065" w:type="pct"/>
                  <w:shd w:val="clear" w:color="auto" w:fill="auto"/>
                  <w:vAlign w:val="center"/>
                </w:tcPr>
                <w:p w14:paraId="7CD01E4E">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MT81-1010</w:t>
                  </w:r>
                </w:p>
              </w:tc>
              <w:tc>
                <w:tcPr>
                  <w:tcW w:w="707" w:type="pct"/>
                  <w:shd w:val="clear" w:color="auto" w:fill="auto"/>
                  <w:vAlign w:val="center"/>
                </w:tcPr>
                <w:p w14:paraId="147B770E">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14:paraId="1D9796F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424" w:type="pct"/>
                  <w:shd w:val="clear" w:color="auto" w:fill="auto"/>
                  <w:vAlign w:val="center"/>
                </w:tcPr>
                <w:p w14:paraId="0466E9BA">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w:t>
                  </w:r>
                </w:p>
              </w:tc>
              <w:tc>
                <w:tcPr>
                  <w:tcW w:w="1222" w:type="pct"/>
                  <w:shd w:val="clear" w:color="auto" w:fill="auto"/>
                  <w:vAlign w:val="center"/>
                </w:tcPr>
                <w:p w14:paraId="382D6C7A">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动载磨粒磨损试验机</w:t>
                  </w:r>
                </w:p>
              </w:tc>
              <w:tc>
                <w:tcPr>
                  <w:tcW w:w="581" w:type="pct"/>
                  <w:shd w:val="clear" w:color="auto" w:fill="auto"/>
                  <w:vAlign w:val="center"/>
                </w:tcPr>
                <w:p w14:paraId="05A20C81">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2065" w:type="pct"/>
                  <w:shd w:val="clear" w:color="auto" w:fill="auto"/>
                  <w:vAlign w:val="center"/>
                </w:tcPr>
                <w:p w14:paraId="27CC4B12">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冲击次数50-200次/分，磨料流量0-50千克/小时，冲锤自由落体高度0-50mm</w:t>
                  </w:r>
                </w:p>
              </w:tc>
              <w:tc>
                <w:tcPr>
                  <w:tcW w:w="707" w:type="pct"/>
                  <w:shd w:val="clear" w:color="auto" w:fill="auto"/>
                  <w:vAlign w:val="center"/>
                </w:tcPr>
                <w:p w14:paraId="3BE8B718">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14:paraId="557D9C6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424" w:type="pct"/>
                  <w:shd w:val="clear" w:color="auto" w:fill="auto"/>
                  <w:vAlign w:val="center"/>
                </w:tcPr>
                <w:p w14:paraId="76B360C6">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w:t>
                  </w:r>
                </w:p>
              </w:tc>
              <w:tc>
                <w:tcPr>
                  <w:tcW w:w="1222" w:type="pct"/>
                  <w:shd w:val="clear" w:color="auto" w:fill="auto"/>
                  <w:vAlign w:val="center"/>
                </w:tcPr>
                <w:p w14:paraId="4B41BB17">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高温蠕变试验机</w:t>
                  </w:r>
                </w:p>
              </w:tc>
              <w:tc>
                <w:tcPr>
                  <w:tcW w:w="581" w:type="pct"/>
                  <w:shd w:val="clear" w:color="auto" w:fill="auto"/>
                  <w:vAlign w:val="center"/>
                </w:tcPr>
                <w:p w14:paraId="3DB1D2FB">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2065" w:type="pct"/>
                  <w:shd w:val="clear" w:color="auto" w:fill="auto"/>
                  <w:vAlign w:val="center"/>
                </w:tcPr>
                <w:p w14:paraId="3DFA8FA1">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MT80-6030</w:t>
                  </w:r>
                </w:p>
              </w:tc>
              <w:tc>
                <w:tcPr>
                  <w:tcW w:w="707" w:type="pct"/>
                  <w:shd w:val="clear" w:color="auto" w:fill="auto"/>
                  <w:vAlign w:val="center"/>
                </w:tcPr>
                <w:p w14:paraId="30CC96D6">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14:paraId="5832754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pct"/>
                  <w:shd w:val="clear" w:color="auto" w:fill="auto"/>
                  <w:vAlign w:val="center"/>
                </w:tcPr>
                <w:p w14:paraId="1CD881C2">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w:t>
                  </w:r>
                </w:p>
              </w:tc>
              <w:tc>
                <w:tcPr>
                  <w:tcW w:w="1222" w:type="pct"/>
                  <w:shd w:val="clear" w:color="auto" w:fill="auto"/>
                  <w:vAlign w:val="center"/>
                </w:tcPr>
                <w:p w14:paraId="78A25BA7">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氧氮氢分析仪</w:t>
                  </w:r>
                </w:p>
              </w:tc>
              <w:tc>
                <w:tcPr>
                  <w:tcW w:w="581" w:type="pct"/>
                  <w:shd w:val="clear" w:color="auto" w:fill="auto"/>
                  <w:vAlign w:val="center"/>
                </w:tcPr>
                <w:p w14:paraId="0DF0DBF6">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2065" w:type="pct"/>
                  <w:shd w:val="clear" w:color="auto" w:fill="auto"/>
                  <w:vAlign w:val="center"/>
                </w:tcPr>
                <w:p w14:paraId="73257AD4">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ONH5000</w:t>
                  </w:r>
                </w:p>
              </w:tc>
              <w:tc>
                <w:tcPr>
                  <w:tcW w:w="707" w:type="pct"/>
                  <w:shd w:val="clear" w:color="auto" w:fill="auto"/>
                  <w:vAlign w:val="center"/>
                </w:tcPr>
                <w:p w14:paraId="7A3951FA">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14:paraId="4ED2DD9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90" w:hRule="atLeast"/>
                <w:jc w:val="center"/>
              </w:trPr>
              <w:tc>
                <w:tcPr>
                  <w:tcW w:w="424" w:type="pct"/>
                  <w:shd w:val="clear" w:color="auto" w:fill="auto"/>
                  <w:vAlign w:val="center"/>
                </w:tcPr>
                <w:p w14:paraId="13B33BDA">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w:t>
                  </w:r>
                </w:p>
              </w:tc>
              <w:tc>
                <w:tcPr>
                  <w:tcW w:w="1222" w:type="pct"/>
                  <w:shd w:val="clear" w:color="auto" w:fill="auto"/>
                  <w:vAlign w:val="center"/>
                </w:tcPr>
                <w:p w14:paraId="4CE42FC6">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金相显微镜</w:t>
                  </w:r>
                </w:p>
              </w:tc>
              <w:tc>
                <w:tcPr>
                  <w:tcW w:w="581" w:type="pct"/>
                  <w:shd w:val="clear" w:color="auto" w:fill="auto"/>
                  <w:vAlign w:val="center"/>
                </w:tcPr>
                <w:p w14:paraId="454B0FEB">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2065" w:type="pct"/>
                  <w:shd w:val="clear" w:color="auto" w:fill="auto"/>
                  <w:vAlign w:val="center"/>
                </w:tcPr>
                <w:p w14:paraId="2EEDE00C">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vh-5500</w:t>
                  </w:r>
                </w:p>
              </w:tc>
              <w:tc>
                <w:tcPr>
                  <w:tcW w:w="707" w:type="pct"/>
                  <w:shd w:val="clear" w:color="auto" w:fill="auto"/>
                  <w:vAlign w:val="center"/>
                </w:tcPr>
                <w:p w14:paraId="0CA99669">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14:paraId="52B95E2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424" w:type="pct"/>
                  <w:shd w:val="clear" w:color="auto" w:fill="auto"/>
                  <w:vAlign w:val="center"/>
                </w:tcPr>
                <w:p w14:paraId="124AD0B0">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w:t>
                  </w:r>
                </w:p>
              </w:tc>
              <w:tc>
                <w:tcPr>
                  <w:tcW w:w="1222" w:type="pct"/>
                  <w:shd w:val="clear" w:color="auto" w:fill="auto"/>
                  <w:vAlign w:val="center"/>
                </w:tcPr>
                <w:p w14:paraId="41BDB7A6">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便携式布氏硬度计</w:t>
                  </w:r>
                </w:p>
              </w:tc>
              <w:tc>
                <w:tcPr>
                  <w:tcW w:w="581" w:type="pct"/>
                  <w:shd w:val="clear" w:color="auto" w:fill="auto"/>
                  <w:vAlign w:val="center"/>
                </w:tcPr>
                <w:p w14:paraId="46F36984">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2065" w:type="pct"/>
                  <w:shd w:val="clear" w:color="auto" w:fill="auto"/>
                  <w:vAlign w:val="center"/>
                </w:tcPr>
                <w:p w14:paraId="4279B933">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100-650HBW</w:t>
                  </w:r>
                </w:p>
              </w:tc>
              <w:tc>
                <w:tcPr>
                  <w:tcW w:w="707" w:type="pct"/>
                  <w:shd w:val="clear" w:color="auto" w:fill="auto"/>
                  <w:vAlign w:val="center"/>
                </w:tcPr>
                <w:p w14:paraId="6B7A2CB4">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14:paraId="6EFB74A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424" w:type="pct"/>
                  <w:shd w:val="clear" w:color="auto" w:fill="auto"/>
                  <w:vAlign w:val="center"/>
                </w:tcPr>
                <w:p w14:paraId="1E8EC54B">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1222" w:type="pct"/>
                  <w:shd w:val="clear" w:color="auto" w:fill="auto"/>
                  <w:vAlign w:val="center"/>
                </w:tcPr>
                <w:p w14:paraId="55E4BA15">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测温枪</w:t>
                  </w:r>
                </w:p>
              </w:tc>
              <w:tc>
                <w:tcPr>
                  <w:tcW w:w="581" w:type="pct"/>
                  <w:shd w:val="clear" w:color="auto" w:fill="auto"/>
                  <w:vAlign w:val="center"/>
                </w:tcPr>
                <w:p w14:paraId="46896EAB">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2065" w:type="pct"/>
                  <w:shd w:val="clear" w:color="auto" w:fill="auto"/>
                  <w:vAlign w:val="center"/>
                </w:tcPr>
                <w:p w14:paraId="02900910">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高温1300℃</w:t>
                  </w:r>
                </w:p>
              </w:tc>
              <w:tc>
                <w:tcPr>
                  <w:tcW w:w="707" w:type="pct"/>
                  <w:shd w:val="clear" w:color="auto" w:fill="auto"/>
                  <w:vAlign w:val="center"/>
                </w:tcPr>
                <w:p w14:paraId="55A7421B">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14:paraId="1D7AEDE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pct"/>
                  <w:shd w:val="clear" w:color="auto" w:fill="auto"/>
                  <w:vAlign w:val="center"/>
                </w:tcPr>
                <w:p w14:paraId="4F639672">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11</w:t>
                  </w:r>
                </w:p>
              </w:tc>
              <w:tc>
                <w:tcPr>
                  <w:tcW w:w="1222" w:type="pct"/>
                  <w:shd w:val="clear" w:color="auto" w:fill="auto"/>
                  <w:vAlign w:val="center"/>
                </w:tcPr>
                <w:p w14:paraId="1B92D041">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测温枪</w:t>
                  </w:r>
                </w:p>
              </w:tc>
              <w:tc>
                <w:tcPr>
                  <w:tcW w:w="581" w:type="pct"/>
                  <w:shd w:val="clear" w:color="auto" w:fill="auto"/>
                  <w:vAlign w:val="center"/>
                </w:tcPr>
                <w:p w14:paraId="4371CE25">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2065" w:type="pct"/>
                  <w:shd w:val="clear" w:color="auto" w:fill="auto"/>
                  <w:vAlign w:val="center"/>
                </w:tcPr>
                <w:p w14:paraId="5B613774">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低温780℃</w:t>
                  </w:r>
                </w:p>
              </w:tc>
              <w:tc>
                <w:tcPr>
                  <w:tcW w:w="707" w:type="pct"/>
                  <w:shd w:val="clear" w:color="auto" w:fill="auto"/>
                  <w:vAlign w:val="center"/>
                </w:tcPr>
                <w:p w14:paraId="0FE2C172">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14:paraId="53D61F2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424" w:type="pct"/>
                  <w:shd w:val="clear" w:color="auto" w:fill="auto"/>
                  <w:vAlign w:val="center"/>
                </w:tcPr>
                <w:p w14:paraId="506D9A17">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w:t>
                  </w:r>
                </w:p>
              </w:tc>
              <w:tc>
                <w:tcPr>
                  <w:tcW w:w="1222" w:type="pct"/>
                  <w:shd w:val="clear" w:color="auto" w:fill="auto"/>
                  <w:vAlign w:val="center"/>
                </w:tcPr>
                <w:p w14:paraId="5C0834D0">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线切割</w:t>
                  </w:r>
                </w:p>
              </w:tc>
              <w:tc>
                <w:tcPr>
                  <w:tcW w:w="581" w:type="pct"/>
                  <w:shd w:val="clear" w:color="auto" w:fill="auto"/>
                  <w:vAlign w:val="center"/>
                </w:tcPr>
                <w:p w14:paraId="2FF14931">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2065" w:type="pct"/>
                  <w:shd w:val="clear" w:color="auto" w:fill="auto"/>
                  <w:vAlign w:val="center"/>
                </w:tcPr>
                <w:p w14:paraId="500FC663">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DK7735</w:t>
                  </w:r>
                </w:p>
              </w:tc>
              <w:tc>
                <w:tcPr>
                  <w:tcW w:w="707" w:type="pct"/>
                  <w:shd w:val="clear" w:color="auto" w:fill="auto"/>
                  <w:vAlign w:val="center"/>
                </w:tcPr>
                <w:p w14:paraId="7C5F2684">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14:paraId="0EA583C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424" w:type="pct"/>
                  <w:shd w:val="clear" w:color="auto" w:fill="auto"/>
                  <w:vAlign w:val="center"/>
                </w:tcPr>
                <w:p w14:paraId="00552F54">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13</w:t>
                  </w:r>
                </w:p>
              </w:tc>
              <w:tc>
                <w:tcPr>
                  <w:tcW w:w="1222" w:type="pct"/>
                  <w:shd w:val="clear" w:color="auto" w:fill="auto"/>
                  <w:vAlign w:val="center"/>
                </w:tcPr>
                <w:p w14:paraId="0F3698B2">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洛氏硬度计</w:t>
                  </w:r>
                </w:p>
              </w:tc>
              <w:tc>
                <w:tcPr>
                  <w:tcW w:w="581" w:type="pct"/>
                  <w:shd w:val="clear" w:color="auto" w:fill="auto"/>
                  <w:vAlign w:val="center"/>
                </w:tcPr>
                <w:p w14:paraId="718E1512">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p>
              </w:tc>
              <w:tc>
                <w:tcPr>
                  <w:tcW w:w="2065" w:type="pct"/>
                  <w:shd w:val="clear" w:color="auto" w:fill="auto"/>
                  <w:vAlign w:val="center"/>
                </w:tcPr>
                <w:p w14:paraId="68DF6DB5">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WHR-150</w:t>
                  </w:r>
                </w:p>
              </w:tc>
              <w:tc>
                <w:tcPr>
                  <w:tcW w:w="707" w:type="pct"/>
                  <w:shd w:val="clear" w:color="auto" w:fill="auto"/>
                  <w:vAlign w:val="center"/>
                </w:tcPr>
                <w:p w14:paraId="61E3A4C8">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14:paraId="226EBAF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pct"/>
                  <w:shd w:val="clear" w:color="auto" w:fill="auto"/>
                  <w:vAlign w:val="center"/>
                </w:tcPr>
                <w:p w14:paraId="69E891CA">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14</w:t>
                  </w:r>
                </w:p>
              </w:tc>
              <w:tc>
                <w:tcPr>
                  <w:tcW w:w="1222" w:type="pct"/>
                  <w:shd w:val="clear" w:color="auto" w:fill="auto"/>
                  <w:vAlign w:val="center"/>
                </w:tcPr>
                <w:p w14:paraId="5CD11ECC">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便携式里氏硬度机</w:t>
                  </w:r>
                </w:p>
              </w:tc>
              <w:tc>
                <w:tcPr>
                  <w:tcW w:w="581" w:type="pct"/>
                  <w:shd w:val="clear" w:color="auto" w:fill="auto"/>
                  <w:vAlign w:val="center"/>
                </w:tcPr>
                <w:p w14:paraId="4FDA006E">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p>
              </w:tc>
              <w:tc>
                <w:tcPr>
                  <w:tcW w:w="2065" w:type="pct"/>
                  <w:shd w:val="clear" w:color="auto" w:fill="auto"/>
                  <w:vAlign w:val="center"/>
                </w:tcPr>
                <w:p w14:paraId="38B259E4">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TIME5351</w:t>
                  </w:r>
                </w:p>
              </w:tc>
              <w:tc>
                <w:tcPr>
                  <w:tcW w:w="707" w:type="pct"/>
                  <w:shd w:val="clear" w:color="auto" w:fill="auto"/>
                  <w:vAlign w:val="center"/>
                </w:tcPr>
                <w:p w14:paraId="3158A35D">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14:paraId="38BB564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pct"/>
                  <w:shd w:val="clear" w:color="auto" w:fill="auto"/>
                  <w:vAlign w:val="center"/>
                </w:tcPr>
                <w:p w14:paraId="3FE51878">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15</w:t>
                  </w:r>
                </w:p>
              </w:tc>
              <w:tc>
                <w:tcPr>
                  <w:tcW w:w="1222" w:type="pct"/>
                  <w:shd w:val="clear" w:color="auto" w:fill="auto"/>
                  <w:vAlign w:val="center"/>
                </w:tcPr>
                <w:p w14:paraId="0E40E113">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全自动抛磨机</w:t>
                  </w:r>
                </w:p>
              </w:tc>
              <w:tc>
                <w:tcPr>
                  <w:tcW w:w="581" w:type="pct"/>
                  <w:shd w:val="clear" w:color="auto" w:fill="auto"/>
                  <w:vAlign w:val="center"/>
                </w:tcPr>
                <w:p w14:paraId="1387404C">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p>
              </w:tc>
              <w:tc>
                <w:tcPr>
                  <w:tcW w:w="2065" w:type="pct"/>
                  <w:shd w:val="clear" w:color="auto" w:fill="auto"/>
                  <w:vAlign w:val="center"/>
                </w:tcPr>
                <w:p w14:paraId="0377A3CD">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WMP-250</w:t>
                  </w:r>
                </w:p>
              </w:tc>
              <w:tc>
                <w:tcPr>
                  <w:tcW w:w="707" w:type="pct"/>
                  <w:shd w:val="clear" w:color="auto" w:fill="auto"/>
                  <w:vAlign w:val="center"/>
                </w:tcPr>
                <w:p w14:paraId="13C40215">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14:paraId="6494150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90" w:hRule="atLeast"/>
                <w:jc w:val="center"/>
              </w:trPr>
              <w:tc>
                <w:tcPr>
                  <w:tcW w:w="5000" w:type="pct"/>
                  <w:gridSpan w:val="5"/>
                  <w:shd w:val="clear" w:color="auto" w:fill="auto"/>
                  <w:vAlign w:val="center"/>
                </w:tcPr>
                <w:p w14:paraId="45D47F44">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其他公辅设施</w:t>
                  </w:r>
                </w:p>
              </w:tc>
            </w:tr>
            <w:tr w14:paraId="19D4C50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424" w:type="pct"/>
                  <w:shd w:val="clear" w:color="auto" w:fill="auto"/>
                  <w:vAlign w:val="center"/>
                </w:tcPr>
                <w:p w14:paraId="091970C8">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222" w:type="pct"/>
                  <w:shd w:val="clear" w:color="auto" w:fill="auto"/>
                  <w:vAlign w:val="center"/>
                </w:tcPr>
                <w:p w14:paraId="39EBB7DE">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变压器</w:t>
                  </w:r>
                </w:p>
              </w:tc>
              <w:tc>
                <w:tcPr>
                  <w:tcW w:w="581" w:type="pct"/>
                  <w:shd w:val="clear" w:color="auto" w:fill="auto"/>
                  <w:vAlign w:val="center"/>
                </w:tcPr>
                <w:p w14:paraId="245C8A88">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2065" w:type="pct"/>
                  <w:shd w:val="clear" w:color="auto" w:fill="auto"/>
                  <w:vAlign w:val="center"/>
                </w:tcPr>
                <w:p w14:paraId="770D972B">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S20-1500/10 型 1500kVA </w:t>
                  </w:r>
                </w:p>
                <w:p w14:paraId="3DDF3408">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S20-2000/10 型 2000kVA </w:t>
                  </w:r>
                </w:p>
                <w:p w14:paraId="58936131">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S20-3000/10 型 3000kVA</w:t>
                  </w:r>
                </w:p>
              </w:tc>
              <w:tc>
                <w:tcPr>
                  <w:tcW w:w="707" w:type="pct"/>
                  <w:shd w:val="clear" w:color="auto" w:fill="auto"/>
                  <w:vAlign w:val="center"/>
                </w:tcPr>
                <w:p w14:paraId="03EC9271">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14:paraId="6B4F6FE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pct"/>
                  <w:shd w:val="clear" w:color="auto" w:fill="auto"/>
                  <w:vAlign w:val="center"/>
                </w:tcPr>
                <w:p w14:paraId="3BAD35BF">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1222" w:type="pct"/>
                  <w:shd w:val="clear" w:color="auto" w:fill="auto"/>
                  <w:vAlign w:val="center"/>
                </w:tcPr>
                <w:p w14:paraId="602A3494">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循环水泵</w:t>
                  </w:r>
                </w:p>
              </w:tc>
              <w:tc>
                <w:tcPr>
                  <w:tcW w:w="581" w:type="pct"/>
                  <w:shd w:val="clear" w:color="auto" w:fill="auto"/>
                  <w:vAlign w:val="center"/>
                </w:tcPr>
                <w:p w14:paraId="2738C1E8">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2065" w:type="pct"/>
                  <w:shd w:val="clear" w:color="auto" w:fill="auto"/>
                  <w:vAlign w:val="center"/>
                </w:tcPr>
                <w:p w14:paraId="75BB0BBE">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320m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/h，22kw，单级单吸</w:t>
                  </w:r>
                </w:p>
              </w:tc>
              <w:tc>
                <w:tcPr>
                  <w:tcW w:w="707" w:type="pct"/>
                  <w:shd w:val="clear" w:color="auto" w:fill="auto"/>
                  <w:vAlign w:val="center"/>
                </w:tcPr>
                <w:p w14:paraId="28082FAA">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14:paraId="1E4B946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424" w:type="pct"/>
                  <w:shd w:val="clear" w:color="auto" w:fill="auto"/>
                  <w:vAlign w:val="center"/>
                </w:tcPr>
                <w:p w14:paraId="2DF00CDF">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1222" w:type="pct"/>
                  <w:shd w:val="clear" w:color="auto" w:fill="auto"/>
                  <w:vAlign w:val="center"/>
                </w:tcPr>
                <w:p w14:paraId="7C07770C">
                  <w:pPr>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桥式起重机</w:t>
                  </w:r>
                </w:p>
              </w:tc>
              <w:tc>
                <w:tcPr>
                  <w:tcW w:w="581" w:type="pct"/>
                  <w:shd w:val="clear" w:color="auto" w:fill="auto"/>
                  <w:vAlign w:val="center"/>
                </w:tcPr>
                <w:p w14:paraId="2935697A">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7</w:t>
                  </w:r>
                </w:p>
              </w:tc>
              <w:tc>
                <w:tcPr>
                  <w:tcW w:w="2065" w:type="pct"/>
                  <w:shd w:val="clear" w:color="auto" w:fill="auto"/>
                  <w:vAlign w:val="center"/>
                </w:tcPr>
                <w:p w14:paraId="297BD8E9">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707" w:type="pct"/>
                  <w:shd w:val="clear" w:color="auto" w:fill="auto"/>
                  <w:vAlign w:val="center"/>
                </w:tcPr>
                <w:p w14:paraId="12F3CAD1">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14:paraId="5C72D6AC">
              <w:tblPrEx>
                <w:shd w:val="clear" w:color="auto" w:fill="auto"/>
              </w:tblPrEx>
              <w:trPr>
                <w:trHeight w:val="90" w:hRule="atLeast"/>
                <w:jc w:val="center"/>
              </w:trPr>
              <w:tc>
                <w:tcPr>
                  <w:tcW w:w="424" w:type="pct"/>
                  <w:shd w:val="clear" w:color="auto" w:fill="auto"/>
                  <w:vAlign w:val="center"/>
                </w:tcPr>
                <w:p w14:paraId="16BC8B43">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w:t>
                  </w:r>
                </w:p>
              </w:tc>
              <w:tc>
                <w:tcPr>
                  <w:tcW w:w="1222" w:type="pct"/>
                  <w:shd w:val="clear" w:color="auto" w:fill="auto"/>
                  <w:vAlign w:val="center"/>
                </w:tcPr>
                <w:p w14:paraId="2CA9A62A">
                  <w:pPr>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过跨车</w:t>
                  </w:r>
                </w:p>
              </w:tc>
              <w:tc>
                <w:tcPr>
                  <w:tcW w:w="581" w:type="pct"/>
                  <w:shd w:val="clear" w:color="auto" w:fill="auto"/>
                  <w:vAlign w:val="center"/>
                </w:tcPr>
                <w:p w14:paraId="5320E471">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2065" w:type="pct"/>
                  <w:shd w:val="clear" w:color="auto" w:fill="auto"/>
                  <w:vAlign w:val="center"/>
                </w:tcPr>
                <w:p w14:paraId="55DD7FF3">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707" w:type="pct"/>
                  <w:shd w:val="clear" w:color="auto" w:fill="auto"/>
                  <w:vAlign w:val="center"/>
                </w:tcPr>
                <w:p w14:paraId="417A3536">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14:paraId="6D844E4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pct"/>
                  <w:shd w:val="clear" w:color="auto" w:fill="auto"/>
                  <w:vAlign w:val="center"/>
                </w:tcPr>
                <w:p w14:paraId="157A92F2">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w:t>
                  </w:r>
                </w:p>
              </w:tc>
              <w:tc>
                <w:tcPr>
                  <w:tcW w:w="1222" w:type="pct"/>
                  <w:shd w:val="clear" w:color="auto" w:fill="auto"/>
                  <w:vAlign w:val="center"/>
                </w:tcPr>
                <w:p w14:paraId="3573CDE6">
                  <w:pPr>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液压站</w:t>
                  </w:r>
                </w:p>
              </w:tc>
              <w:tc>
                <w:tcPr>
                  <w:tcW w:w="581" w:type="pct"/>
                  <w:shd w:val="clear" w:color="auto" w:fill="auto"/>
                  <w:vAlign w:val="center"/>
                </w:tcPr>
                <w:p w14:paraId="0792D43F">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p>
              </w:tc>
              <w:tc>
                <w:tcPr>
                  <w:tcW w:w="2065" w:type="pct"/>
                  <w:shd w:val="clear" w:color="auto" w:fill="auto"/>
                  <w:vAlign w:val="center"/>
                </w:tcPr>
                <w:p w14:paraId="41FF4A48">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707" w:type="pct"/>
                  <w:shd w:val="clear" w:color="auto" w:fill="auto"/>
                  <w:vAlign w:val="center"/>
                </w:tcPr>
                <w:p w14:paraId="7DA195C7">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bl>
          <w:p w14:paraId="53A5DFA5">
            <w:pPr>
              <w:pStyle w:val="122"/>
              <w:rPr>
                <w:color w:val="auto"/>
              </w:rPr>
            </w:pPr>
            <w:r>
              <w:rPr>
                <w:rFonts w:hint="eastAsia"/>
                <w:color w:val="auto"/>
              </w:rPr>
              <w:t>4</w:t>
            </w:r>
            <w:r>
              <w:rPr>
                <w:color w:val="auto"/>
              </w:rPr>
              <w:t>、主要原辅材料及能源消耗</w:t>
            </w:r>
          </w:p>
          <w:p w14:paraId="5C871B45">
            <w:pPr>
              <w:pStyle w:val="116"/>
              <w:ind w:firstLine="420"/>
              <w:rPr>
                <w:color w:val="auto"/>
              </w:rPr>
            </w:pPr>
            <w:r>
              <w:rPr>
                <w:color w:val="auto"/>
              </w:rPr>
              <w:t>本项目</w:t>
            </w:r>
            <w:r>
              <w:rPr>
                <w:rFonts w:hint="eastAsia"/>
                <w:color w:val="auto"/>
              </w:rPr>
              <w:t>所用</w:t>
            </w:r>
            <w:r>
              <w:rPr>
                <w:color w:val="auto"/>
              </w:rPr>
              <w:t>原辅料</w:t>
            </w:r>
            <w:r>
              <w:rPr>
                <w:rFonts w:hint="eastAsia"/>
                <w:color w:val="auto"/>
              </w:rPr>
              <w:t>及</w:t>
            </w:r>
            <w:r>
              <w:rPr>
                <w:color w:val="auto"/>
              </w:rPr>
              <w:t>能源消耗见下表</w:t>
            </w:r>
            <w:r>
              <w:rPr>
                <w:rFonts w:hint="eastAsia"/>
                <w:color w:val="auto"/>
              </w:rPr>
              <w:t>。</w:t>
            </w:r>
          </w:p>
          <w:p w14:paraId="25376CEB">
            <w:pPr>
              <w:pStyle w:val="10"/>
              <w:rPr>
                <w:color w:val="auto"/>
                <w:highlight w:val="none"/>
              </w:rPr>
            </w:pPr>
            <w:r>
              <w:rPr>
                <w:rFonts w:hint="eastAsia"/>
                <w:color w:val="auto"/>
                <w:highlight w:val="none"/>
              </w:rPr>
              <w:t>表2</w:t>
            </w:r>
            <w:r>
              <w:rPr>
                <w:rFonts w:hint="eastAsia"/>
                <w:color w:val="auto"/>
                <w:highlight w:val="none"/>
                <w:lang w:eastAsia="zh-CN"/>
              </w:rPr>
              <w:t>-</w:t>
            </w:r>
            <w:r>
              <w:rPr>
                <w:rFonts w:hint="eastAsia"/>
                <w:color w:val="auto"/>
                <w:highlight w:val="none"/>
                <w:lang w:val="en-US" w:eastAsia="zh-CN"/>
              </w:rPr>
              <w:t>4</w:t>
            </w:r>
            <w:r>
              <w:rPr>
                <w:rFonts w:hint="eastAsia"/>
                <w:color w:val="auto"/>
                <w:highlight w:val="none"/>
              </w:rPr>
              <w:t>本项目原辅材料及能源消耗一览表</w:t>
            </w:r>
          </w:p>
          <w:tbl>
            <w:tblPr>
              <w:tblStyle w:val="33"/>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3"/>
              <w:gridCol w:w="945"/>
              <w:gridCol w:w="1155"/>
              <w:gridCol w:w="1170"/>
              <w:gridCol w:w="4363"/>
            </w:tblGrid>
            <w:tr w14:paraId="1ECEEE1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399" w:type="pct"/>
                  <w:vAlign w:val="center"/>
                </w:tcPr>
                <w:p w14:paraId="35EE516F">
                  <w:pPr>
                    <w:widowControl/>
                    <w:jc w:val="center"/>
                    <w:rPr>
                      <w:rFonts w:hint="default" w:ascii="Times New Roman" w:hAnsi="Times New Roman" w:cs="Times New Roman" w:eastAsiaTheme="minorEastAsia"/>
                      <w:color w:val="auto"/>
                      <w:kern w:val="0"/>
                      <w:szCs w:val="21"/>
                      <w:highlight w:val="none"/>
                    </w:rPr>
                  </w:pPr>
                  <w:r>
                    <w:rPr>
                      <w:rFonts w:hint="default" w:ascii="Times New Roman" w:hAnsi="Times New Roman" w:cs="Times New Roman" w:eastAsiaTheme="minorEastAsia"/>
                      <w:color w:val="auto"/>
                      <w:kern w:val="0"/>
                      <w:szCs w:val="21"/>
                      <w:highlight w:val="none"/>
                    </w:rPr>
                    <w:t>序号</w:t>
                  </w:r>
                </w:p>
              </w:tc>
              <w:tc>
                <w:tcPr>
                  <w:tcW w:w="569" w:type="pct"/>
                  <w:vAlign w:val="center"/>
                </w:tcPr>
                <w:p w14:paraId="12FDBC03">
                  <w:pPr>
                    <w:jc w:val="center"/>
                    <w:rPr>
                      <w:rFonts w:hint="default" w:ascii="Times New Roman" w:hAnsi="Times New Roman" w:cs="Times New Roman" w:eastAsiaTheme="minorEastAsia"/>
                      <w:color w:val="auto"/>
                      <w:szCs w:val="21"/>
                      <w:highlight w:val="none"/>
                    </w:rPr>
                  </w:pPr>
                  <w:r>
                    <w:rPr>
                      <w:rFonts w:hint="default" w:ascii="Times New Roman" w:hAnsi="Times New Roman" w:cs="Times New Roman" w:eastAsiaTheme="minorEastAsia"/>
                      <w:color w:val="auto"/>
                      <w:szCs w:val="21"/>
                      <w:highlight w:val="none"/>
                    </w:rPr>
                    <w:t>名称</w:t>
                  </w:r>
                </w:p>
              </w:tc>
              <w:tc>
                <w:tcPr>
                  <w:tcW w:w="696" w:type="pct"/>
                  <w:vAlign w:val="center"/>
                </w:tcPr>
                <w:p w14:paraId="16DB2FE1">
                  <w:pPr>
                    <w:widowControl/>
                    <w:jc w:val="center"/>
                    <w:rPr>
                      <w:rFonts w:hint="default" w:ascii="Times New Roman" w:hAnsi="Times New Roman" w:cs="Times New Roman" w:eastAsiaTheme="minorEastAsia"/>
                      <w:color w:val="auto"/>
                      <w:kern w:val="0"/>
                      <w:szCs w:val="21"/>
                      <w:highlight w:val="none"/>
                    </w:rPr>
                  </w:pPr>
                  <w:r>
                    <w:rPr>
                      <w:rFonts w:hint="default" w:ascii="Times New Roman" w:hAnsi="Times New Roman" w:cs="Times New Roman" w:eastAsiaTheme="minorEastAsia"/>
                      <w:color w:val="auto"/>
                      <w:kern w:val="0"/>
                      <w:szCs w:val="21"/>
                      <w:highlight w:val="none"/>
                    </w:rPr>
                    <w:t>单位</w:t>
                  </w:r>
                </w:p>
              </w:tc>
              <w:tc>
                <w:tcPr>
                  <w:tcW w:w="705" w:type="pct"/>
                  <w:vAlign w:val="center"/>
                </w:tcPr>
                <w:p w14:paraId="5F41B08E">
                  <w:pPr>
                    <w:widowControl/>
                    <w:jc w:val="center"/>
                    <w:rPr>
                      <w:rFonts w:hint="default" w:ascii="Times New Roman" w:hAnsi="Times New Roman" w:cs="Times New Roman" w:eastAsiaTheme="minorEastAsia"/>
                      <w:color w:val="auto"/>
                      <w:kern w:val="0"/>
                      <w:szCs w:val="21"/>
                      <w:highlight w:val="none"/>
                    </w:rPr>
                  </w:pPr>
                  <w:r>
                    <w:rPr>
                      <w:rFonts w:hint="default" w:ascii="Times New Roman" w:hAnsi="Times New Roman" w:cs="Times New Roman" w:eastAsiaTheme="minorEastAsia"/>
                      <w:color w:val="auto"/>
                      <w:kern w:val="0"/>
                      <w:szCs w:val="21"/>
                      <w:highlight w:val="none"/>
                    </w:rPr>
                    <w:t>用量</w:t>
                  </w:r>
                </w:p>
              </w:tc>
              <w:tc>
                <w:tcPr>
                  <w:tcW w:w="2629" w:type="pct"/>
                  <w:vAlign w:val="center"/>
                </w:tcPr>
                <w:p w14:paraId="011E46FB">
                  <w:pPr>
                    <w:widowControl/>
                    <w:jc w:val="center"/>
                    <w:rPr>
                      <w:rFonts w:hint="default" w:ascii="Times New Roman" w:hAnsi="Times New Roman" w:cs="Times New Roman" w:eastAsiaTheme="minorEastAsia"/>
                      <w:color w:val="auto"/>
                      <w:kern w:val="0"/>
                      <w:szCs w:val="21"/>
                      <w:highlight w:val="none"/>
                    </w:rPr>
                  </w:pPr>
                  <w:r>
                    <w:rPr>
                      <w:rFonts w:hint="default" w:ascii="Times New Roman" w:hAnsi="Times New Roman" w:cs="Times New Roman" w:eastAsiaTheme="minorEastAsia"/>
                      <w:color w:val="auto"/>
                      <w:kern w:val="0"/>
                      <w:szCs w:val="21"/>
                      <w:highlight w:val="none"/>
                    </w:rPr>
                    <w:t>备注</w:t>
                  </w:r>
                </w:p>
              </w:tc>
            </w:tr>
            <w:tr w14:paraId="3700067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9" w:type="pct"/>
                  <w:vAlign w:val="center"/>
                </w:tcPr>
                <w:p w14:paraId="58BF9784">
                  <w:pPr>
                    <w:jc w:val="center"/>
                    <w:rPr>
                      <w:rFonts w:hint="default" w:ascii="Times New Roman" w:hAnsi="Times New Roman" w:cs="Times New Roman" w:eastAsiaTheme="minorEastAsia"/>
                      <w:color w:val="auto"/>
                      <w:kern w:val="0"/>
                      <w:szCs w:val="21"/>
                      <w:highlight w:val="none"/>
                    </w:rPr>
                  </w:pPr>
                  <w:r>
                    <w:rPr>
                      <w:rFonts w:hint="default" w:ascii="Times New Roman" w:hAnsi="Times New Roman" w:cs="Times New Roman" w:eastAsiaTheme="minorEastAsia"/>
                      <w:color w:val="auto"/>
                      <w:kern w:val="0"/>
                      <w:szCs w:val="21"/>
                      <w:highlight w:val="none"/>
                    </w:rPr>
                    <w:t>1</w:t>
                  </w:r>
                </w:p>
              </w:tc>
              <w:tc>
                <w:tcPr>
                  <w:tcW w:w="569" w:type="pct"/>
                  <w:vMerge w:val="restart"/>
                  <w:vAlign w:val="center"/>
                </w:tcPr>
                <w:p w14:paraId="3DBA0712">
                  <w:pPr>
                    <w:keepNext w:val="0"/>
                    <w:keepLines w:val="0"/>
                    <w:widowControl/>
                    <w:suppressLineNumbers w:val="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kern w:val="0"/>
                      <w:sz w:val="21"/>
                      <w:szCs w:val="21"/>
                      <w:highlight w:val="none"/>
                      <w:lang w:val="en-US" w:eastAsia="zh-CN" w:bidi="ar"/>
                    </w:rPr>
                    <w:t>圆钢</w:t>
                  </w:r>
                </w:p>
              </w:tc>
              <w:tc>
                <w:tcPr>
                  <w:tcW w:w="696" w:type="pct"/>
                  <w:vAlign w:val="center"/>
                </w:tcPr>
                <w:p w14:paraId="47D3C19C">
                  <w:pPr>
                    <w:adjustRightInd w:val="0"/>
                    <w:snapToGrid w:val="0"/>
                    <w:jc w:val="center"/>
                    <w:rPr>
                      <w:rFonts w:hint="default" w:ascii="Times New Roman" w:hAnsi="Times New Roman" w:cs="Times New Roman" w:eastAsiaTheme="minorEastAsia"/>
                      <w:color w:val="auto"/>
                      <w:spacing w:val="5"/>
                      <w:sz w:val="21"/>
                      <w:szCs w:val="21"/>
                      <w:highlight w:val="none"/>
                    </w:rPr>
                  </w:pPr>
                  <w:r>
                    <w:rPr>
                      <w:rFonts w:hint="default" w:ascii="Times New Roman" w:hAnsi="Times New Roman" w:cs="Times New Roman" w:eastAsiaTheme="minorEastAsia"/>
                      <w:color w:val="auto"/>
                      <w:spacing w:val="5"/>
                      <w:sz w:val="21"/>
                      <w:szCs w:val="21"/>
                      <w:highlight w:val="none"/>
                    </w:rPr>
                    <w:t>t/a</w:t>
                  </w:r>
                </w:p>
              </w:tc>
              <w:tc>
                <w:tcPr>
                  <w:tcW w:w="705" w:type="pct"/>
                  <w:vAlign w:val="center"/>
                </w:tcPr>
                <w:p w14:paraId="2B60C2DF">
                  <w:pPr>
                    <w:keepNext w:val="0"/>
                    <w:keepLines w:val="0"/>
                    <w:widowControl/>
                    <w:suppressLineNumbers w:val="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kern w:val="0"/>
                      <w:sz w:val="21"/>
                      <w:szCs w:val="21"/>
                      <w:highlight w:val="none"/>
                      <w:lang w:val="en-US" w:eastAsia="zh-CN" w:bidi="ar"/>
                    </w:rPr>
                    <w:t>42105.26</w:t>
                  </w:r>
                </w:p>
              </w:tc>
              <w:tc>
                <w:tcPr>
                  <w:tcW w:w="2629" w:type="pct"/>
                  <w:vAlign w:val="center"/>
                </w:tcPr>
                <w:p w14:paraId="1A75A33B">
                  <w:pPr>
                    <w:keepNext w:val="0"/>
                    <w:keepLines w:val="0"/>
                    <w:widowControl/>
                    <w:suppressLineNumbers w:val="0"/>
                    <w:jc w:val="center"/>
                    <w:rPr>
                      <w:rFonts w:hint="default" w:ascii="Times New Roman" w:hAnsi="Times New Roman" w:cs="Times New Roman" w:eastAsiaTheme="minorEastAsia"/>
                      <w:color w:val="auto"/>
                      <w:spacing w:val="5"/>
                      <w:sz w:val="21"/>
                      <w:szCs w:val="21"/>
                      <w:highlight w:val="none"/>
                      <w:lang w:val="en-US"/>
                    </w:rPr>
                  </w:pPr>
                  <w:r>
                    <w:rPr>
                      <w:rFonts w:hint="default" w:ascii="Times New Roman" w:hAnsi="Times New Roman" w:cs="Times New Roman" w:eastAsiaTheme="minorEastAsia"/>
                      <w:color w:val="auto"/>
                      <w:kern w:val="0"/>
                      <w:sz w:val="21"/>
                      <w:szCs w:val="21"/>
                      <w:highlight w:val="none"/>
                      <w:lang w:val="en-US" w:eastAsia="zh-CN" w:bidi="ar"/>
                    </w:rPr>
                    <w:t>外购，用于</w:t>
                  </w:r>
                  <w:r>
                    <w:rPr>
                      <w:rFonts w:hint="eastAsia" w:cs="Times New Roman" w:eastAsiaTheme="minorEastAsia"/>
                      <w:color w:val="auto"/>
                      <w:kern w:val="0"/>
                      <w:sz w:val="21"/>
                      <w:szCs w:val="21"/>
                      <w:highlight w:val="none"/>
                      <w:lang w:val="en-US" w:eastAsia="zh-CN" w:bidi="ar"/>
                    </w:rPr>
                    <w:t>轧线、锻线</w:t>
                  </w:r>
                  <w:r>
                    <w:rPr>
                      <w:rFonts w:hint="default" w:ascii="Times New Roman" w:hAnsi="Times New Roman" w:cs="Times New Roman" w:eastAsiaTheme="minorEastAsia"/>
                      <w:color w:val="auto"/>
                      <w:kern w:val="0"/>
                      <w:sz w:val="21"/>
                      <w:szCs w:val="21"/>
                      <w:highlight w:val="none"/>
                      <w:lang w:val="en-US" w:eastAsia="zh-CN" w:bidi="ar"/>
                    </w:rPr>
                    <w:t>生产钢球</w:t>
                  </w:r>
                  <w:r>
                    <w:rPr>
                      <w:rFonts w:hint="eastAsia" w:cs="Times New Roman" w:eastAsiaTheme="minorEastAsia"/>
                      <w:color w:val="auto"/>
                      <w:kern w:val="0"/>
                      <w:sz w:val="21"/>
                      <w:szCs w:val="21"/>
                      <w:highlight w:val="none"/>
                      <w:lang w:val="en-US" w:eastAsia="zh-CN" w:bidi="ar"/>
                    </w:rPr>
                    <w:t>，圆钢材质B2/B3/B6 φ80-100mm</w:t>
                  </w:r>
                </w:p>
              </w:tc>
            </w:tr>
            <w:tr w14:paraId="7C615B6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399" w:type="pct"/>
                  <w:vAlign w:val="center"/>
                </w:tcPr>
                <w:p w14:paraId="0C7B5887">
                  <w:pPr>
                    <w:widowControl/>
                    <w:jc w:val="center"/>
                    <w:rPr>
                      <w:rFonts w:hint="default" w:ascii="Times New Roman" w:hAnsi="Times New Roman" w:cs="Times New Roman" w:eastAsiaTheme="minorEastAsia"/>
                      <w:color w:val="auto"/>
                      <w:kern w:val="0"/>
                      <w:szCs w:val="21"/>
                      <w:highlight w:val="none"/>
                    </w:rPr>
                  </w:pPr>
                  <w:r>
                    <w:rPr>
                      <w:rFonts w:hint="default" w:ascii="Times New Roman" w:hAnsi="Times New Roman" w:cs="Times New Roman" w:eastAsiaTheme="minorEastAsia"/>
                      <w:color w:val="auto"/>
                      <w:kern w:val="0"/>
                      <w:szCs w:val="21"/>
                      <w:highlight w:val="none"/>
                    </w:rPr>
                    <w:t>2</w:t>
                  </w:r>
                </w:p>
              </w:tc>
              <w:tc>
                <w:tcPr>
                  <w:tcW w:w="569" w:type="pct"/>
                  <w:vMerge w:val="continue"/>
                  <w:vAlign w:val="center"/>
                </w:tcPr>
                <w:p w14:paraId="5C00DA52">
                  <w:pPr>
                    <w:keepNext w:val="0"/>
                    <w:keepLines w:val="0"/>
                    <w:widowControl/>
                    <w:suppressLineNumbers w:val="0"/>
                    <w:jc w:val="center"/>
                    <w:rPr>
                      <w:rFonts w:hint="default" w:ascii="Times New Roman" w:hAnsi="Times New Roman" w:cs="Times New Roman" w:eastAsiaTheme="minorEastAsia"/>
                      <w:color w:val="auto"/>
                      <w:sz w:val="21"/>
                      <w:szCs w:val="21"/>
                      <w:highlight w:val="none"/>
                    </w:rPr>
                  </w:pPr>
                </w:p>
              </w:tc>
              <w:tc>
                <w:tcPr>
                  <w:tcW w:w="696" w:type="pct"/>
                  <w:vAlign w:val="center"/>
                </w:tcPr>
                <w:p w14:paraId="6859B6D1">
                  <w:pPr>
                    <w:adjustRightInd w:val="0"/>
                    <w:snapToGrid w:val="0"/>
                    <w:jc w:val="center"/>
                    <w:rPr>
                      <w:rFonts w:hint="default" w:ascii="Times New Roman" w:hAnsi="Times New Roman" w:cs="Times New Roman" w:eastAsiaTheme="minorEastAsia"/>
                      <w:color w:val="auto"/>
                      <w:spacing w:val="5"/>
                      <w:sz w:val="21"/>
                      <w:szCs w:val="21"/>
                      <w:highlight w:val="none"/>
                    </w:rPr>
                  </w:pPr>
                  <w:r>
                    <w:rPr>
                      <w:rFonts w:hint="default" w:ascii="Times New Roman" w:hAnsi="Times New Roman" w:cs="Times New Roman" w:eastAsiaTheme="minorEastAsia"/>
                      <w:color w:val="auto"/>
                      <w:spacing w:val="5"/>
                      <w:sz w:val="21"/>
                      <w:szCs w:val="21"/>
                      <w:highlight w:val="none"/>
                    </w:rPr>
                    <w:t>t/a</w:t>
                  </w:r>
                </w:p>
              </w:tc>
              <w:tc>
                <w:tcPr>
                  <w:tcW w:w="705" w:type="pct"/>
                  <w:vAlign w:val="center"/>
                </w:tcPr>
                <w:p w14:paraId="04AD4E78">
                  <w:pPr>
                    <w:keepNext w:val="0"/>
                    <w:keepLines w:val="0"/>
                    <w:widowControl/>
                    <w:suppressLineNumbers w:val="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kern w:val="0"/>
                      <w:sz w:val="21"/>
                      <w:szCs w:val="21"/>
                      <w:highlight w:val="none"/>
                      <w:lang w:val="en-US" w:eastAsia="zh-CN" w:bidi="ar"/>
                    </w:rPr>
                    <w:t>8893</w:t>
                  </w:r>
                </w:p>
              </w:tc>
              <w:tc>
                <w:tcPr>
                  <w:tcW w:w="2629" w:type="pct"/>
                  <w:vAlign w:val="center"/>
                </w:tcPr>
                <w:p w14:paraId="0C90BC9A">
                  <w:pPr>
                    <w:keepNext w:val="0"/>
                    <w:keepLines w:val="0"/>
                    <w:widowControl/>
                    <w:suppressLineNumbers w:val="0"/>
                    <w:jc w:val="center"/>
                    <w:rPr>
                      <w:rFonts w:hint="default" w:ascii="Times New Roman" w:hAnsi="Times New Roman" w:cs="Times New Roman" w:eastAsiaTheme="minorEastAsia"/>
                      <w:color w:val="auto"/>
                      <w:sz w:val="21"/>
                      <w:szCs w:val="21"/>
                      <w:highlight w:val="none"/>
                      <w:lang w:val="en-US"/>
                    </w:rPr>
                  </w:pPr>
                  <w:r>
                    <w:rPr>
                      <w:rFonts w:hint="default" w:ascii="Times New Roman" w:hAnsi="Times New Roman" w:cs="Times New Roman" w:eastAsiaTheme="minorEastAsia"/>
                      <w:color w:val="auto"/>
                      <w:kern w:val="0"/>
                      <w:sz w:val="21"/>
                      <w:szCs w:val="21"/>
                      <w:highlight w:val="none"/>
                      <w:lang w:val="en-US" w:eastAsia="zh-CN" w:bidi="ar"/>
                    </w:rPr>
                    <w:t>外购，用于自由锻</w:t>
                  </w:r>
                  <w:r>
                    <w:rPr>
                      <w:rFonts w:hint="eastAsia" w:cs="Times New Roman" w:eastAsiaTheme="minorEastAsia"/>
                      <w:color w:val="auto"/>
                      <w:kern w:val="0"/>
                      <w:sz w:val="21"/>
                      <w:szCs w:val="21"/>
                      <w:highlight w:val="none"/>
                      <w:lang w:val="en-US" w:eastAsia="zh-CN" w:bidi="ar"/>
                    </w:rPr>
                    <w:t>生产线</w:t>
                  </w:r>
                  <w:r>
                    <w:rPr>
                      <w:rFonts w:hint="default" w:ascii="Times New Roman" w:hAnsi="Times New Roman" w:cs="Times New Roman" w:eastAsiaTheme="minorEastAsia"/>
                      <w:color w:val="auto"/>
                      <w:kern w:val="0"/>
                      <w:sz w:val="21"/>
                      <w:szCs w:val="21"/>
                      <w:highlight w:val="none"/>
                      <w:lang w:val="en-US" w:eastAsia="zh-CN" w:bidi="ar"/>
                    </w:rPr>
                    <w:t>生产</w:t>
                  </w:r>
                  <w:r>
                    <w:rPr>
                      <w:rFonts w:hint="eastAsia" w:cs="Times New Roman" w:eastAsiaTheme="minorEastAsia"/>
                      <w:color w:val="auto"/>
                      <w:kern w:val="0"/>
                      <w:sz w:val="21"/>
                      <w:szCs w:val="21"/>
                      <w:highlight w:val="none"/>
                      <w:lang w:val="en-US" w:eastAsia="zh-CN" w:bidi="ar"/>
                    </w:rPr>
                    <w:t>衬板，圆钢材质B2/B3/B6 φ80-100mm</w:t>
                  </w:r>
                </w:p>
              </w:tc>
            </w:tr>
            <w:tr w14:paraId="272BAD7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399" w:type="pct"/>
                  <w:vAlign w:val="center"/>
                </w:tcPr>
                <w:p w14:paraId="7AD67AA4">
                  <w:pPr>
                    <w:widowControl/>
                    <w:jc w:val="center"/>
                    <w:rPr>
                      <w:rFonts w:hint="default" w:ascii="Times New Roman" w:hAnsi="Times New Roman" w:cs="Times New Roman" w:eastAsiaTheme="minorEastAsia"/>
                      <w:color w:val="auto"/>
                      <w:kern w:val="0"/>
                      <w:szCs w:val="21"/>
                      <w:highlight w:val="none"/>
                    </w:rPr>
                  </w:pPr>
                  <w:r>
                    <w:rPr>
                      <w:rFonts w:hint="default" w:ascii="Times New Roman" w:hAnsi="Times New Roman" w:cs="Times New Roman" w:eastAsiaTheme="minorEastAsia"/>
                      <w:color w:val="auto"/>
                      <w:kern w:val="0"/>
                      <w:szCs w:val="21"/>
                      <w:highlight w:val="none"/>
                    </w:rPr>
                    <w:t>3</w:t>
                  </w:r>
                </w:p>
              </w:tc>
              <w:tc>
                <w:tcPr>
                  <w:tcW w:w="569" w:type="pct"/>
                  <w:vAlign w:val="center"/>
                </w:tcPr>
                <w:p w14:paraId="6C6D9B2A">
                  <w:pPr>
                    <w:jc w:val="center"/>
                    <w:rPr>
                      <w:rFonts w:hint="default" w:ascii="Times New Roman" w:hAnsi="Times New Roman" w:cs="Times New Roman" w:eastAsiaTheme="minorEastAsia"/>
                      <w:color w:val="auto"/>
                      <w:szCs w:val="21"/>
                      <w:highlight w:val="none"/>
                    </w:rPr>
                  </w:pPr>
                  <w:r>
                    <w:rPr>
                      <w:rFonts w:hint="default" w:ascii="Times New Roman" w:hAnsi="Times New Roman" w:cs="Times New Roman" w:eastAsiaTheme="minorEastAsia"/>
                      <w:color w:val="auto"/>
                      <w:szCs w:val="21"/>
                      <w:highlight w:val="none"/>
                    </w:rPr>
                    <w:t>钢丸</w:t>
                  </w:r>
                </w:p>
              </w:tc>
              <w:tc>
                <w:tcPr>
                  <w:tcW w:w="696" w:type="pct"/>
                  <w:vAlign w:val="center"/>
                </w:tcPr>
                <w:p w14:paraId="760A55AC">
                  <w:pPr>
                    <w:adjustRightInd w:val="0"/>
                    <w:snapToGrid w:val="0"/>
                    <w:jc w:val="center"/>
                    <w:rPr>
                      <w:rFonts w:hint="default" w:ascii="Times New Roman" w:hAnsi="Times New Roman" w:cs="Times New Roman" w:eastAsiaTheme="minorEastAsia"/>
                      <w:color w:val="auto"/>
                      <w:spacing w:val="5"/>
                      <w:szCs w:val="21"/>
                      <w:highlight w:val="none"/>
                    </w:rPr>
                  </w:pPr>
                  <w:r>
                    <w:rPr>
                      <w:rFonts w:hint="default" w:ascii="Times New Roman" w:hAnsi="Times New Roman" w:cs="Times New Roman" w:eastAsiaTheme="minorEastAsia"/>
                      <w:color w:val="auto"/>
                      <w:spacing w:val="5"/>
                      <w:szCs w:val="21"/>
                      <w:highlight w:val="none"/>
                    </w:rPr>
                    <w:t>t/a</w:t>
                  </w:r>
                </w:p>
              </w:tc>
              <w:tc>
                <w:tcPr>
                  <w:tcW w:w="705" w:type="pct"/>
                  <w:vAlign w:val="center"/>
                </w:tcPr>
                <w:p w14:paraId="42ACDCB8">
                  <w:pPr>
                    <w:jc w:val="center"/>
                    <w:rPr>
                      <w:rFonts w:hint="default" w:ascii="Times New Roman" w:hAnsi="Times New Roman" w:cs="Times New Roman" w:eastAsiaTheme="minorEastAsia"/>
                      <w:color w:val="auto"/>
                      <w:szCs w:val="21"/>
                      <w:highlight w:val="none"/>
                    </w:rPr>
                  </w:pPr>
                  <w:r>
                    <w:rPr>
                      <w:rFonts w:hint="default" w:ascii="Times New Roman" w:hAnsi="Times New Roman" w:cs="Times New Roman" w:eastAsiaTheme="minorEastAsia"/>
                      <w:color w:val="auto"/>
                      <w:szCs w:val="21"/>
                      <w:highlight w:val="none"/>
                    </w:rPr>
                    <w:t>1.5</w:t>
                  </w:r>
                </w:p>
              </w:tc>
              <w:tc>
                <w:tcPr>
                  <w:tcW w:w="2629" w:type="pct"/>
                  <w:vAlign w:val="center"/>
                </w:tcPr>
                <w:p w14:paraId="0F4B0D53">
                  <w:pPr>
                    <w:jc w:val="center"/>
                    <w:rPr>
                      <w:rFonts w:hint="default" w:ascii="Times New Roman" w:hAnsi="Times New Roman" w:cs="Times New Roman" w:eastAsiaTheme="minorEastAsia"/>
                      <w:color w:val="auto"/>
                      <w:szCs w:val="21"/>
                      <w:highlight w:val="none"/>
                    </w:rPr>
                  </w:pPr>
                  <w:r>
                    <w:rPr>
                      <w:rFonts w:hint="default" w:ascii="Times New Roman" w:hAnsi="Times New Roman" w:cs="Times New Roman" w:eastAsiaTheme="minorEastAsia"/>
                      <w:color w:val="auto"/>
                      <w:szCs w:val="21"/>
                      <w:highlight w:val="none"/>
                    </w:rPr>
                    <w:t>随用随买</w:t>
                  </w:r>
                </w:p>
              </w:tc>
            </w:tr>
            <w:tr w14:paraId="4FAD845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399" w:type="pct"/>
                  <w:vAlign w:val="center"/>
                </w:tcPr>
                <w:p w14:paraId="7E24DC17">
                  <w:pPr>
                    <w:widowControl/>
                    <w:jc w:val="center"/>
                    <w:rPr>
                      <w:rFonts w:hint="default" w:ascii="Times New Roman" w:hAnsi="Times New Roman" w:cs="Times New Roman" w:eastAsiaTheme="minorEastAsia"/>
                      <w:color w:val="auto"/>
                      <w:kern w:val="0"/>
                      <w:szCs w:val="21"/>
                      <w:highlight w:val="none"/>
                    </w:rPr>
                  </w:pPr>
                  <w:r>
                    <w:rPr>
                      <w:rFonts w:hint="default" w:ascii="Times New Roman" w:hAnsi="Times New Roman" w:cs="Times New Roman" w:eastAsiaTheme="minorEastAsia"/>
                      <w:color w:val="auto"/>
                      <w:kern w:val="0"/>
                      <w:szCs w:val="21"/>
                      <w:highlight w:val="none"/>
                    </w:rPr>
                    <w:t>4</w:t>
                  </w:r>
                </w:p>
              </w:tc>
              <w:tc>
                <w:tcPr>
                  <w:tcW w:w="569" w:type="pct"/>
                  <w:vAlign w:val="center"/>
                </w:tcPr>
                <w:p w14:paraId="3E96FFB5">
                  <w:pPr>
                    <w:jc w:val="center"/>
                    <w:rPr>
                      <w:rFonts w:hint="default" w:ascii="Times New Roman" w:hAnsi="Times New Roman" w:cs="Times New Roman" w:eastAsiaTheme="minorEastAsia"/>
                      <w:color w:val="auto"/>
                      <w:szCs w:val="21"/>
                      <w:highlight w:val="none"/>
                    </w:rPr>
                  </w:pPr>
                  <w:r>
                    <w:rPr>
                      <w:rFonts w:hint="default" w:ascii="Times New Roman" w:hAnsi="Times New Roman" w:cs="Times New Roman" w:eastAsiaTheme="minorEastAsia"/>
                      <w:color w:val="auto"/>
                      <w:szCs w:val="21"/>
                      <w:highlight w:val="none"/>
                    </w:rPr>
                    <w:t>润滑油</w:t>
                  </w:r>
                </w:p>
              </w:tc>
              <w:tc>
                <w:tcPr>
                  <w:tcW w:w="696" w:type="pct"/>
                  <w:vAlign w:val="center"/>
                </w:tcPr>
                <w:p w14:paraId="639739A5">
                  <w:pPr>
                    <w:adjustRightInd w:val="0"/>
                    <w:snapToGrid w:val="0"/>
                    <w:jc w:val="center"/>
                    <w:rPr>
                      <w:rFonts w:hint="default" w:ascii="Times New Roman" w:hAnsi="Times New Roman" w:cs="Times New Roman" w:eastAsiaTheme="minorEastAsia"/>
                      <w:color w:val="auto"/>
                      <w:spacing w:val="5"/>
                      <w:szCs w:val="21"/>
                      <w:highlight w:val="none"/>
                    </w:rPr>
                  </w:pPr>
                  <w:r>
                    <w:rPr>
                      <w:rFonts w:hint="default" w:ascii="Times New Roman" w:hAnsi="Times New Roman" w:cs="Times New Roman" w:eastAsiaTheme="minorEastAsia"/>
                      <w:color w:val="auto"/>
                      <w:spacing w:val="5"/>
                      <w:szCs w:val="21"/>
                      <w:highlight w:val="none"/>
                    </w:rPr>
                    <w:t>t/a</w:t>
                  </w:r>
                </w:p>
              </w:tc>
              <w:tc>
                <w:tcPr>
                  <w:tcW w:w="705" w:type="pct"/>
                  <w:vAlign w:val="center"/>
                </w:tcPr>
                <w:p w14:paraId="3620ED9F">
                  <w:pPr>
                    <w:jc w:val="center"/>
                    <w:rPr>
                      <w:rFonts w:hint="default" w:ascii="Times New Roman" w:hAnsi="Times New Roman" w:cs="Times New Roman" w:eastAsiaTheme="minorEastAsia"/>
                      <w:color w:val="auto"/>
                      <w:spacing w:val="5"/>
                      <w:szCs w:val="21"/>
                      <w:highlight w:val="none"/>
                      <w:lang w:val="en-US" w:eastAsia="zh-CN"/>
                    </w:rPr>
                  </w:pPr>
                  <w:r>
                    <w:rPr>
                      <w:rFonts w:hint="eastAsia" w:cs="Times New Roman" w:eastAsiaTheme="minorEastAsia"/>
                      <w:color w:val="auto"/>
                      <w:spacing w:val="5"/>
                      <w:szCs w:val="21"/>
                      <w:highlight w:val="none"/>
                      <w:lang w:val="en-US" w:eastAsia="zh-CN"/>
                    </w:rPr>
                    <w:t>1.72</w:t>
                  </w:r>
                </w:p>
              </w:tc>
              <w:tc>
                <w:tcPr>
                  <w:tcW w:w="2629" w:type="pct"/>
                  <w:vAlign w:val="center"/>
                </w:tcPr>
                <w:p w14:paraId="1302E03B">
                  <w:pPr>
                    <w:jc w:val="center"/>
                    <w:rPr>
                      <w:rFonts w:hint="default" w:ascii="Times New Roman" w:hAnsi="Times New Roman" w:cs="Times New Roman" w:eastAsiaTheme="minorEastAsia"/>
                      <w:color w:val="auto"/>
                      <w:spacing w:val="5"/>
                      <w:szCs w:val="21"/>
                      <w:highlight w:val="none"/>
                    </w:rPr>
                  </w:pPr>
                  <w:r>
                    <w:rPr>
                      <w:rFonts w:hint="eastAsia" w:cs="Times New Roman" w:eastAsiaTheme="minorEastAsia"/>
                      <w:color w:val="auto"/>
                      <w:spacing w:val="5"/>
                      <w:szCs w:val="21"/>
                      <w:highlight w:val="none"/>
                      <w:lang w:val="en-US" w:eastAsia="zh-CN"/>
                    </w:rPr>
                    <w:t>外购，桶装，</w:t>
                  </w:r>
                  <w:r>
                    <w:rPr>
                      <w:rFonts w:hint="default" w:ascii="Times New Roman" w:hAnsi="Times New Roman" w:cs="Times New Roman" w:eastAsiaTheme="minorEastAsia"/>
                      <w:color w:val="auto"/>
                      <w:spacing w:val="5"/>
                      <w:szCs w:val="21"/>
                      <w:highlight w:val="none"/>
                    </w:rPr>
                    <w:t>存储于原料存储区，下设托盘</w:t>
                  </w:r>
                </w:p>
              </w:tc>
            </w:tr>
            <w:tr w14:paraId="3FB188B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399" w:type="pct"/>
                  <w:shd w:val="clear" w:color="auto" w:fill="auto"/>
                  <w:vAlign w:val="center"/>
                </w:tcPr>
                <w:p w14:paraId="2773097C">
                  <w:pPr>
                    <w:widowControl/>
                    <w:jc w:val="center"/>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eastAsiaTheme="minorEastAsia"/>
                      <w:color w:val="auto"/>
                      <w:kern w:val="0"/>
                      <w:sz w:val="21"/>
                      <w:szCs w:val="21"/>
                      <w:highlight w:val="none"/>
                    </w:rPr>
                    <w:t>5</w:t>
                  </w:r>
                </w:p>
              </w:tc>
              <w:tc>
                <w:tcPr>
                  <w:tcW w:w="569" w:type="pct"/>
                  <w:vAlign w:val="center"/>
                </w:tcPr>
                <w:p w14:paraId="269A4268">
                  <w:pPr>
                    <w:jc w:val="center"/>
                    <w:rPr>
                      <w:rFonts w:hint="eastAsia" w:ascii="Times New Roman" w:hAnsi="Times New Roman" w:cs="Times New Roman" w:eastAsiaTheme="minorEastAsia"/>
                      <w:color w:val="auto"/>
                      <w:szCs w:val="21"/>
                      <w:highlight w:val="none"/>
                      <w:lang w:val="en-US" w:eastAsia="zh-CN"/>
                    </w:rPr>
                  </w:pPr>
                  <w:r>
                    <w:rPr>
                      <w:rFonts w:hint="eastAsia" w:cs="Times New Roman" w:eastAsiaTheme="minorEastAsia"/>
                      <w:color w:val="auto"/>
                      <w:szCs w:val="21"/>
                      <w:highlight w:val="none"/>
                      <w:lang w:val="en-US" w:eastAsia="zh-CN"/>
                    </w:rPr>
                    <w:t>液压油</w:t>
                  </w:r>
                </w:p>
              </w:tc>
              <w:tc>
                <w:tcPr>
                  <w:tcW w:w="696" w:type="pct"/>
                  <w:vAlign w:val="center"/>
                </w:tcPr>
                <w:p w14:paraId="7544F097">
                  <w:pPr>
                    <w:adjustRightInd w:val="0"/>
                    <w:snapToGrid w:val="0"/>
                    <w:jc w:val="center"/>
                    <w:rPr>
                      <w:rFonts w:hint="default" w:ascii="Times New Roman" w:hAnsi="Times New Roman" w:cs="Times New Roman" w:eastAsiaTheme="minorEastAsia"/>
                      <w:color w:val="auto"/>
                      <w:spacing w:val="5"/>
                      <w:szCs w:val="21"/>
                      <w:highlight w:val="none"/>
                    </w:rPr>
                  </w:pPr>
                  <w:r>
                    <w:rPr>
                      <w:rFonts w:hint="default" w:ascii="Times New Roman" w:hAnsi="Times New Roman" w:cs="Times New Roman" w:eastAsiaTheme="minorEastAsia"/>
                      <w:color w:val="auto"/>
                      <w:spacing w:val="5"/>
                      <w:szCs w:val="21"/>
                      <w:highlight w:val="none"/>
                    </w:rPr>
                    <w:t>t/a</w:t>
                  </w:r>
                </w:p>
              </w:tc>
              <w:tc>
                <w:tcPr>
                  <w:tcW w:w="705" w:type="pct"/>
                  <w:vAlign w:val="center"/>
                </w:tcPr>
                <w:p w14:paraId="37DFD24E">
                  <w:pPr>
                    <w:jc w:val="center"/>
                    <w:rPr>
                      <w:rFonts w:hint="default" w:ascii="Times New Roman" w:hAnsi="Times New Roman" w:cs="Times New Roman" w:eastAsiaTheme="minorEastAsia"/>
                      <w:color w:val="auto"/>
                      <w:spacing w:val="5"/>
                      <w:szCs w:val="21"/>
                      <w:highlight w:val="none"/>
                      <w:lang w:val="en-US" w:eastAsia="zh-CN"/>
                    </w:rPr>
                  </w:pPr>
                  <w:r>
                    <w:rPr>
                      <w:rFonts w:hint="eastAsia" w:cs="Times New Roman" w:eastAsiaTheme="minorEastAsia"/>
                      <w:color w:val="auto"/>
                      <w:spacing w:val="5"/>
                      <w:szCs w:val="21"/>
                      <w:highlight w:val="none"/>
                      <w:lang w:val="en-US" w:eastAsia="zh-CN"/>
                    </w:rPr>
                    <w:t>0.87</w:t>
                  </w:r>
                </w:p>
              </w:tc>
              <w:tc>
                <w:tcPr>
                  <w:tcW w:w="2629" w:type="pct"/>
                  <w:vAlign w:val="center"/>
                </w:tcPr>
                <w:p w14:paraId="52CA1CF4">
                  <w:pPr>
                    <w:jc w:val="center"/>
                    <w:rPr>
                      <w:rFonts w:hint="eastAsia" w:ascii="Times New Roman" w:hAnsi="Times New Roman" w:cs="Times New Roman" w:eastAsiaTheme="minorEastAsia"/>
                      <w:color w:val="auto"/>
                      <w:spacing w:val="5"/>
                      <w:szCs w:val="21"/>
                      <w:highlight w:val="none"/>
                      <w:lang w:val="en-US" w:eastAsia="zh-CN"/>
                    </w:rPr>
                  </w:pPr>
                  <w:r>
                    <w:rPr>
                      <w:rFonts w:hint="eastAsia" w:cs="Times New Roman" w:eastAsiaTheme="minorEastAsia"/>
                      <w:color w:val="auto"/>
                      <w:spacing w:val="5"/>
                      <w:szCs w:val="21"/>
                      <w:highlight w:val="none"/>
                      <w:lang w:val="en-US" w:eastAsia="zh-CN"/>
                    </w:rPr>
                    <w:t>外购，桶装，32、46号抗磨液压油</w:t>
                  </w:r>
                </w:p>
              </w:tc>
            </w:tr>
            <w:tr w14:paraId="26A9C3A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399" w:type="pct"/>
                  <w:shd w:val="clear" w:color="auto" w:fill="auto"/>
                  <w:vAlign w:val="center"/>
                </w:tcPr>
                <w:p w14:paraId="692B7D1E">
                  <w:pPr>
                    <w:widowControl/>
                    <w:jc w:val="center"/>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eastAsiaTheme="minorEastAsia"/>
                      <w:color w:val="auto"/>
                      <w:kern w:val="0"/>
                      <w:sz w:val="21"/>
                      <w:szCs w:val="21"/>
                      <w:highlight w:val="none"/>
                      <w:lang w:val="en-US" w:eastAsia="zh-CN"/>
                    </w:rPr>
                    <w:t>6</w:t>
                  </w:r>
                </w:p>
              </w:tc>
              <w:tc>
                <w:tcPr>
                  <w:tcW w:w="569" w:type="pct"/>
                  <w:vAlign w:val="center"/>
                </w:tcPr>
                <w:p w14:paraId="0F2764AC">
                  <w:pPr>
                    <w:jc w:val="center"/>
                    <w:rPr>
                      <w:rFonts w:hint="eastAsia" w:cs="Times New Roman" w:eastAsiaTheme="minorEastAsia"/>
                      <w:color w:val="auto"/>
                      <w:szCs w:val="21"/>
                      <w:highlight w:val="none"/>
                      <w:lang w:val="en-US" w:eastAsia="zh-CN"/>
                    </w:rPr>
                  </w:pPr>
                  <w:r>
                    <w:rPr>
                      <w:rFonts w:hint="eastAsia"/>
                      <w:color w:val="auto"/>
                      <w:lang w:val="en-US" w:eastAsia="zh-CN"/>
                    </w:rPr>
                    <w:t>吨包袋</w:t>
                  </w:r>
                </w:p>
              </w:tc>
              <w:tc>
                <w:tcPr>
                  <w:tcW w:w="696" w:type="pct"/>
                  <w:vAlign w:val="center"/>
                </w:tcPr>
                <w:p w14:paraId="6E237A9D">
                  <w:pPr>
                    <w:adjustRightInd w:val="0"/>
                    <w:snapToGrid w:val="0"/>
                    <w:jc w:val="center"/>
                    <w:rPr>
                      <w:rFonts w:hint="default" w:ascii="Times New Roman" w:hAnsi="Times New Roman" w:cs="Times New Roman" w:eastAsiaTheme="minorEastAsia"/>
                      <w:color w:val="auto"/>
                      <w:spacing w:val="5"/>
                      <w:szCs w:val="21"/>
                      <w:highlight w:val="none"/>
                    </w:rPr>
                  </w:pPr>
                  <w:r>
                    <w:rPr>
                      <w:rFonts w:hint="eastAsia"/>
                      <w:color w:val="auto"/>
                      <w:lang w:val="en-US" w:eastAsia="zh-CN"/>
                    </w:rPr>
                    <w:t>万袋</w:t>
                  </w:r>
                  <w:r>
                    <w:rPr>
                      <w:rFonts w:hint="default" w:ascii="Times New Roman" w:hAnsi="Times New Roman" w:cs="Times New Roman" w:eastAsiaTheme="minorEastAsia"/>
                      <w:color w:val="auto"/>
                      <w:spacing w:val="5"/>
                      <w:szCs w:val="21"/>
                      <w:highlight w:val="none"/>
                    </w:rPr>
                    <w:t>/a</w:t>
                  </w:r>
                </w:p>
              </w:tc>
              <w:tc>
                <w:tcPr>
                  <w:tcW w:w="705" w:type="pct"/>
                  <w:vAlign w:val="center"/>
                </w:tcPr>
                <w:p w14:paraId="570747BF">
                  <w:pPr>
                    <w:jc w:val="center"/>
                    <w:rPr>
                      <w:rFonts w:hint="eastAsia" w:cs="Times New Roman" w:eastAsiaTheme="minorEastAsia"/>
                      <w:color w:val="auto"/>
                      <w:spacing w:val="5"/>
                      <w:szCs w:val="21"/>
                      <w:highlight w:val="none"/>
                      <w:lang w:val="en-US" w:eastAsia="zh-CN"/>
                    </w:rPr>
                  </w:pPr>
                  <w:r>
                    <w:rPr>
                      <w:rFonts w:hint="eastAsia"/>
                      <w:color w:val="auto"/>
                      <w:lang w:val="en-US" w:eastAsia="zh-CN"/>
                    </w:rPr>
                    <w:t>2.4</w:t>
                  </w:r>
                </w:p>
              </w:tc>
              <w:tc>
                <w:tcPr>
                  <w:tcW w:w="2629" w:type="pct"/>
                  <w:vAlign w:val="center"/>
                </w:tcPr>
                <w:p w14:paraId="1C6289E3">
                  <w:pPr>
                    <w:jc w:val="center"/>
                    <w:rPr>
                      <w:rFonts w:hint="default" w:cs="Times New Roman" w:eastAsiaTheme="minorEastAsia"/>
                      <w:color w:val="auto"/>
                      <w:spacing w:val="5"/>
                      <w:szCs w:val="21"/>
                      <w:highlight w:val="none"/>
                      <w:lang w:val="en-US" w:eastAsia="zh-CN"/>
                    </w:rPr>
                  </w:pPr>
                  <w:r>
                    <w:rPr>
                      <w:rFonts w:hint="eastAsia" w:cs="Times New Roman" w:eastAsiaTheme="minorEastAsia"/>
                      <w:color w:val="auto"/>
                      <w:spacing w:val="5"/>
                      <w:szCs w:val="21"/>
                      <w:highlight w:val="none"/>
                      <w:lang w:val="en-US" w:eastAsia="zh-CN"/>
                    </w:rPr>
                    <w:t>外购，包装产品</w:t>
                  </w:r>
                </w:p>
              </w:tc>
            </w:tr>
            <w:tr w14:paraId="0F87F8A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399" w:type="pct"/>
                  <w:shd w:val="clear" w:color="auto" w:fill="auto"/>
                  <w:vAlign w:val="center"/>
                </w:tcPr>
                <w:p w14:paraId="76C46060">
                  <w:pPr>
                    <w:widowControl/>
                    <w:jc w:val="center"/>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eastAsiaTheme="minorEastAsia"/>
                      <w:color w:val="auto"/>
                      <w:kern w:val="0"/>
                      <w:sz w:val="21"/>
                      <w:szCs w:val="21"/>
                      <w:highlight w:val="none"/>
                      <w:lang w:val="en-US" w:eastAsia="zh-CN"/>
                    </w:rPr>
                    <w:t>7</w:t>
                  </w:r>
                </w:p>
              </w:tc>
              <w:tc>
                <w:tcPr>
                  <w:tcW w:w="569" w:type="pct"/>
                  <w:vAlign w:val="center"/>
                </w:tcPr>
                <w:p w14:paraId="561C6609">
                  <w:pPr>
                    <w:jc w:val="center"/>
                    <w:rPr>
                      <w:rFonts w:hint="eastAsia" w:cs="Times New Roman" w:eastAsiaTheme="minorEastAsia"/>
                      <w:color w:val="auto"/>
                      <w:szCs w:val="21"/>
                      <w:highlight w:val="none"/>
                      <w:lang w:val="en-US" w:eastAsia="zh-CN"/>
                    </w:rPr>
                  </w:pPr>
                  <w:r>
                    <w:rPr>
                      <w:rFonts w:hint="eastAsia"/>
                      <w:color w:val="auto"/>
                      <w:lang w:val="en-US" w:eastAsia="zh-CN"/>
                    </w:rPr>
                    <w:t>包装桶</w:t>
                  </w:r>
                </w:p>
              </w:tc>
              <w:tc>
                <w:tcPr>
                  <w:tcW w:w="696" w:type="pct"/>
                  <w:vAlign w:val="center"/>
                </w:tcPr>
                <w:p w14:paraId="1B92743D">
                  <w:pPr>
                    <w:adjustRightInd w:val="0"/>
                    <w:snapToGrid w:val="0"/>
                    <w:jc w:val="center"/>
                    <w:rPr>
                      <w:rFonts w:hint="default" w:ascii="Times New Roman" w:hAnsi="Times New Roman" w:cs="Times New Roman" w:eastAsiaTheme="minorEastAsia"/>
                      <w:color w:val="auto"/>
                      <w:spacing w:val="5"/>
                      <w:szCs w:val="21"/>
                      <w:highlight w:val="none"/>
                    </w:rPr>
                  </w:pPr>
                  <w:r>
                    <w:rPr>
                      <w:rFonts w:hint="eastAsia"/>
                      <w:color w:val="auto"/>
                      <w:lang w:val="en-US" w:eastAsia="zh-CN"/>
                    </w:rPr>
                    <w:t>万桶</w:t>
                  </w:r>
                  <w:r>
                    <w:rPr>
                      <w:rFonts w:hint="default" w:ascii="Times New Roman" w:hAnsi="Times New Roman" w:cs="Times New Roman" w:eastAsiaTheme="minorEastAsia"/>
                      <w:color w:val="auto"/>
                      <w:spacing w:val="5"/>
                      <w:szCs w:val="21"/>
                      <w:highlight w:val="none"/>
                    </w:rPr>
                    <w:t>/a</w:t>
                  </w:r>
                </w:p>
              </w:tc>
              <w:tc>
                <w:tcPr>
                  <w:tcW w:w="705" w:type="pct"/>
                  <w:vAlign w:val="center"/>
                </w:tcPr>
                <w:p w14:paraId="4208CA55">
                  <w:pPr>
                    <w:jc w:val="center"/>
                    <w:rPr>
                      <w:rFonts w:hint="eastAsia" w:cs="Times New Roman" w:eastAsiaTheme="minorEastAsia"/>
                      <w:color w:val="auto"/>
                      <w:spacing w:val="5"/>
                      <w:szCs w:val="21"/>
                      <w:highlight w:val="none"/>
                      <w:lang w:val="en-US" w:eastAsia="zh-CN"/>
                    </w:rPr>
                  </w:pPr>
                  <w:r>
                    <w:rPr>
                      <w:rFonts w:hint="eastAsia"/>
                      <w:color w:val="auto"/>
                      <w:lang w:val="en-US" w:eastAsia="zh-CN"/>
                    </w:rPr>
                    <w:t>2.4</w:t>
                  </w:r>
                </w:p>
              </w:tc>
              <w:tc>
                <w:tcPr>
                  <w:tcW w:w="2629" w:type="pct"/>
                  <w:vAlign w:val="center"/>
                </w:tcPr>
                <w:p w14:paraId="79BBCAC3">
                  <w:pPr>
                    <w:jc w:val="center"/>
                    <w:rPr>
                      <w:rFonts w:hint="eastAsia" w:cs="Times New Roman" w:eastAsiaTheme="minorEastAsia"/>
                      <w:color w:val="auto"/>
                      <w:spacing w:val="5"/>
                      <w:szCs w:val="21"/>
                      <w:highlight w:val="none"/>
                      <w:lang w:val="en-US" w:eastAsia="zh-CN"/>
                    </w:rPr>
                  </w:pPr>
                  <w:r>
                    <w:rPr>
                      <w:rFonts w:hint="eastAsia" w:cs="Times New Roman" w:eastAsiaTheme="minorEastAsia"/>
                      <w:color w:val="auto"/>
                      <w:spacing w:val="5"/>
                      <w:szCs w:val="21"/>
                      <w:highlight w:val="none"/>
                      <w:lang w:val="en-US" w:eastAsia="zh-CN"/>
                    </w:rPr>
                    <w:t>外购，包装产品</w:t>
                  </w:r>
                </w:p>
              </w:tc>
            </w:tr>
            <w:tr w14:paraId="6B6C05D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399" w:type="pct"/>
                  <w:shd w:val="clear" w:color="auto" w:fill="auto"/>
                  <w:vAlign w:val="center"/>
                </w:tcPr>
                <w:p w14:paraId="1CA7CD0E">
                  <w:pPr>
                    <w:widowControl/>
                    <w:jc w:val="center"/>
                    <w:rPr>
                      <w:rFonts w:hint="default" w:ascii="Times New Roman" w:hAnsi="Times New Roman" w:cs="Times New Roman" w:eastAsiaTheme="minorEastAsia"/>
                      <w:color w:val="auto"/>
                      <w:kern w:val="0"/>
                      <w:sz w:val="21"/>
                      <w:szCs w:val="21"/>
                      <w:highlight w:val="none"/>
                      <w:lang w:val="en-US" w:eastAsia="zh-CN" w:bidi="ar-SA"/>
                    </w:rPr>
                  </w:pPr>
                  <w:r>
                    <w:rPr>
                      <w:rFonts w:hint="eastAsia" w:cs="Times New Roman" w:eastAsiaTheme="minorEastAsia"/>
                      <w:color w:val="auto"/>
                      <w:kern w:val="0"/>
                      <w:sz w:val="21"/>
                      <w:szCs w:val="21"/>
                      <w:highlight w:val="none"/>
                      <w:lang w:val="en-US" w:eastAsia="zh-CN"/>
                    </w:rPr>
                    <w:t>8</w:t>
                  </w:r>
                </w:p>
              </w:tc>
              <w:tc>
                <w:tcPr>
                  <w:tcW w:w="569" w:type="pct"/>
                  <w:vAlign w:val="center"/>
                </w:tcPr>
                <w:p w14:paraId="48925C8A">
                  <w:pPr>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新鲜水</w:t>
                  </w:r>
                </w:p>
              </w:tc>
              <w:tc>
                <w:tcPr>
                  <w:tcW w:w="696" w:type="pct"/>
                  <w:vAlign w:val="center"/>
                </w:tcPr>
                <w:p w14:paraId="721996B3">
                  <w:pPr>
                    <w:adjustRightInd w:val="0"/>
                    <w:snapToGrid w:val="0"/>
                    <w:jc w:val="center"/>
                    <w:rPr>
                      <w:rFonts w:hint="default" w:ascii="Times New Roman" w:hAnsi="Times New Roman" w:cs="Times New Roman" w:eastAsiaTheme="minorEastAsia"/>
                      <w:color w:val="auto"/>
                      <w:spacing w:val="5"/>
                      <w:sz w:val="21"/>
                      <w:szCs w:val="21"/>
                      <w:highlight w:val="none"/>
                    </w:rPr>
                  </w:pPr>
                  <w:r>
                    <w:rPr>
                      <w:rFonts w:hint="default" w:ascii="Times New Roman" w:hAnsi="Times New Roman" w:cs="Times New Roman" w:eastAsiaTheme="minorEastAsia"/>
                      <w:color w:val="auto"/>
                      <w:spacing w:val="5"/>
                      <w:sz w:val="21"/>
                      <w:szCs w:val="21"/>
                      <w:highlight w:val="none"/>
                      <w:lang w:val="zh-CN"/>
                    </w:rPr>
                    <w:t>万</w:t>
                  </w:r>
                  <w:r>
                    <w:rPr>
                      <w:rFonts w:hint="default" w:ascii="Times New Roman" w:hAnsi="Times New Roman" w:cs="Times New Roman" w:eastAsiaTheme="minorEastAsia"/>
                      <w:color w:val="auto"/>
                      <w:spacing w:val="5"/>
                      <w:sz w:val="21"/>
                      <w:szCs w:val="21"/>
                      <w:highlight w:val="none"/>
                    </w:rPr>
                    <w:t>m</w:t>
                  </w:r>
                  <w:r>
                    <w:rPr>
                      <w:rFonts w:hint="default" w:ascii="Times New Roman" w:hAnsi="Times New Roman" w:cs="Times New Roman" w:eastAsiaTheme="minorEastAsia"/>
                      <w:color w:val="auto"/>
                      <w:spacing w:val="5"/>
                      <w:sz w:val="21"/>
                      <w:szCs w:val="21"/>
                      <w:highlight w:val="none"/>
                      <w:vertAlign w:val="superscript"/>
                    </w:rPr>
                    <w:t>3</w:t>
                  </w:r>
                  <w:r>
                    <w:rPr>
                      <w:rFonts w:hint="default" w:ascii="Times New Roman" w:hAnsi="Times New Roman" w:cs="Times New Roman" w:eastAsiaTheme="minorEastAsia"/>
                      <w:color w:val="auto"/>
                      <w:spacing w:val="5"/>
                      <w:sz w:val="21"/>
                      <w:szCs w:val="21"/>
                      <w:highlight w:val="none"/>
                    </w:rPr>
                    <w:t>/a</w:t>
                  </w:r>
                </w:p>
              </w:tc>
              <w:tc>
                <w:tcPr>
                  <w:tcW w:w="705" w:type="pct"/>
                  <w:vAlign w:val="center"/>
                </w:tcPr>
                <w:p w14:paraId="37D1F234">
                  <w:pPr>
                    <w:keepNext w:val="0"/>
                    <w:keepLines w:val="0"/>
                    <w:widowControl/>
                    <w:suppressLineNumbers w:val="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kern w:val="0"/>
                      <w:sz w:val="21"/>
                      <w:szCs w:val="21"/>
                      <w:highlight w:val="none"/>
                      <w:lang w:val="en-US" w:eastAsia="zh-CN" w:bidi="ar"/>
                    </w:rPr>
                    <w:t>3.53</w:t>
                  </w:r>
                </w:p>
              </w:tc>
              <w:tc>
                <w:tcPr>
                  <w:tcW w:w="2629" w:type="pct"/>
                  <w:vAlign w:val="center"/>
                </w:tcPr>
                <w:p w14:paraId="320ED0A9">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市政管网供水</w:t>
                  </w:r>
                </w:p>
              </w:tc>
            </w:tr>
            <w:tr w14:paraId="77E3AF3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399" w:type="pct"/>
                  <w:shd w:val="clear" w:color="auto" w:fill="auto"/>
                  <w:vAlign w:val="center"/>
                </w:tcPr>
                <w:p w14:paraId="2CC3BBD6">
                  <w:pPr>
                    <w:widowControl/>
                    <w:jc w:val="center"/>
                    <w:rPr>
                      <w:rFonts w:hint="default" w:ascii="Times New Roman" w:hAnsi="Times New Roman" w:cs="Times New Roman" w:eastAsiaTheme="minorEastAsia"/>
                      <w:color w:val="auto"/>
                      <w:kern w:val="0"/>
                      <w:sz w:val="21"/>
                      <w:szCs w:val="21"/>
                      <w:highlight w:val="none"/>
                      <w:lang w:val="en-US" w:eastAsia="zh-CN" w:bidi="ar-SA"/>
                    </w:rPr>
                  </w:pPr>
                  <w:r>
                    <w:rPr>
                      <w:rFonts w:hint="eastAsia" w:cs="Times New Roman" w:eastAsiaTheme="minorEastAsia"/>
                      <w:color w:val="auto"/>
                      <w:kern w:val="0"/>
                      <w:sz w:val="21"/>
                      <w:szCs w:val="21"/>
                      <w:highlight w:val="none"/>
                      <w:lang w:val="en-US" w:eastAsia="zh-CN" w:bidi="ar-SA"/>
                    </w:rPr>
                    <w:t>9</w:t>
                  </w:r>
                </w:p>
              </w:tc>
              <w:tc>
                <w:tcPr>
                  <w:tcW w:w="569" w:type="pct"/>
                  <w:shd w:val="clear" w:color="auto" w:fill="auto"/>
                  <w:vAlign w:val="center"/>
                </w:tcPr>
                <w:p w14:paraId="7179A80B">
                  <w:pPr>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rPr>
                    <w:t>电</w:t>
                  </w:r>
                </w:p>
              </w:tc>
              <w:tc>
                <w:tcPr>
                  <w:tcW w:w="696" w:type="pct"/>
                  <w:shd w:val="clear" w:color="auto" w:fill="auto"/>
                  <w:vAlign w:val="center"/>
                </w:tcPr>
                <w:p w14:paraId="0F7A0F03">
                  <w:pPr>
                    <w:adjustRightInd w:val="0"/>
                    <w:snapToGrid w:val="0"/>
                    <w:jc w:val="center"/>
                    <w:rPr>
                      <w:rFonts w:hint="default" w:ascii="Times New Roman" w:hAnsi="Times New Roman" w:cs="Times New Roman" w:eastAsiaTheme="minorEastAsia"/>
                      <w:color w:val="auto"/>
                      <w:spacing w:val="5"/>
                      <w:kern w:val="2"/>
                      <w:sz w:val="21"/>
                      <w:szCs w:val="21"/>
                      <w:highlight w:val="none"/>
                      <w:lang w:val="zh-CN" w:eastAsia="zh-CN" w:bidi="ar-SA"/>
                    </w:rPr>
                  </w:pPr>
                  <w:r>
                    <w:rPr>
                      <w:rFonts w:hint="default" w:ascii="Times New Roman" w:hAnsi="Times New Roman" w:cs="Times New Roman" w:eastAsiaTheme="minorEastAsia"/>
                      <w:color w:val="auto"/>
                      <w:spacing w:val="5"/>
                      <w:sz w:val="21"/>
                      <w:szCs w:val="21"/>
                      <w:highlight w:val="none"/>
                      <w:lang w:val="zh-CN"/>
                    </w:rPr>
                    <w:t>万</w:t>
                  </w:r>
                  <w:r>
                    <w:rPr>
                      <w:rFonts w:hint="default" w:ascii="Times New Roman" w:hAnsi="Times New Roman" w:cs="Times New Roman" w:eastAsiaTheme="minorEastAsia"/>
                      <w:color w:val="auto"/>
                      <w:spacing w:val="5"/>
                      <w:sz w:val="21"/>
                      <w:szCs w:val="21"/>
                      <w:highlight w:val="none"/>
                    </w:rPr>
                    <w:t>kWh/a</w:t>
                  </w:r>
                </w:p>
              </w:tc>
              <w:tc>
                <w:tcPr>
                  <w:tcW w:w="705" w:type="pct"/>
                  <w:shd w:val="clear" w:color="auto" w:fill="auto"/>
                  <w:vAlign w:val="center"/>
                </w:tcPr>
                <w:p w14:paraId="469C1D03">
                  <w:pPr>
                    <w:keepNext w:val="0"/>
                    <w:keepLines w:val="0"/>
                    <w:widowControl/>
                    <w:suppressLineNumbers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0"/>
                      <w:sz w:val="21"/>
                      <w:szCs w:val="21"/>
                      <w:highlight w:val="none"/>
                      <w:lang w:val="en-US" w:eastAsia="zh-CN" w:bidi="ar"/>
                    </w:rPr>
                    <w:t>3659.69</w:t>
                  </w:r>
                </w:p>
              </w:tc>
              <w:tc>
                <w:tcPr>
                  <w:tcW w:w="2629" w:type="pct"/>
                  <w:vAlign w:val="center"/>
                </w:tcPr>
                <w:p w14:paraId="1BACD28B">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由园区供电网提供</w:t>
                  </w:r>
                </w:p>
              </w:tc>
            </w:tr>
            <w:tr w14:paraId="7136D00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9" w:type="pct"/>
                  <w:vAlign w:val="center"/>
                </w:tcPr>
                <w:p w14:paraId="65D19B32">
                  <w:pPr>
                    <w:widowControl/>
                    <w:jc w:val="center"/>
                    <w:rPr>
                      <w:rFonts w:hint="default" w:ascii="Times New Roman" w:hAnsi="Times New Roman" w:cs="Times New Roman" w:eastAsiaTheme="minorEastAsia"/>
                      <w:color w:val="auto"/>
                      <w:kern w:val="0"/>
                      <w:sz w:val="21"/>
                      <w:szCs w:val="21"/>
                      <w:highlight w:val="none"/>
                      <w:lang w:val="en-US" w:eastAsia="zh-CN"/>
                    </w:rPr>
                  </w:pPr>
                  <w:r>
                    <w:rPr>
                      <w:rFonts w:hint="eastAsia" w:cs="Times New Roman" w:eastAsiaTheme="minorEastAsia"/>
                      <w:color w:val="auto"/>
                      <w:kern w:val="0"/>
                      <w:sz w:val="21"/>
                      <w:szCs w:val="21"/>
                      <w:highlight w:val="none"/>
                      <w:lang w:val="en-US" w:eastAsia="zh-CN"/>
                    </w:rPr>
                    <w:t>10</w:t>
                  </w:r>
                </w:p>
              </w:tc>
              <w:tc>
                <w:tcPr>
                  <w:tcW w:w="569" w:type="pct"/>
                  <w:vAlign w:val="center"/>
                </w:tcPr>
                <w:p w14:paraId="58244052">
                  <w:pPr>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天然气</w:t>
                  </w:r>
                </w:p>
              </w:tc>
              <w:tc>
                <w:tcPr>
                  <w:tcW w:w="696" w:type="pct"/>
                  <w:vAlign w:val="center"/>
                </w:tcPr>
                <w:p w14:paraId="156BD41E">
                  <w:pPr>
                    <w:adjustRightInd w:val="0"/>
                    <w:snapToGrid w:val="0"/>
                    <w:jc w:val="center"/>
                    <w:rPr>
                      <w:rFonts w:hint="default" w:ascii="Times New Roman" w:hAnsi="Times New Roman" w:cs="Times New Roman" w:eastAsiaTheme="minorEastAsia"/>
                      <w:color w:val="auto"/>
                      <w:spacing w:val="5"/>
                      <w:sz w:val="21"/>
                      <w:szCs w:val="21"/>
                      <w:highlight w:val="none"/>
                      <w:lang w:val="zh-CN"/>
                    </w:rPr>
                  </w:pPr>
                  <w:r>
                    <w:rPr>
                      <w:rFonts w:hint="default" w:ascii="Times New Roman" w:hAnsi="Times New Roman" w:cs="Times New Roman" w:eastAsiaTheme="minorEastAsia"/>
                      <w:color w:val="auto"/>
                      <w:spacing w:val="5"/>
                      <w:sz w:val="21"/>
                      <w:szCs w:val="21"/>
                      <w:highlight w:val="none"/>
                      <w:lang w:val="en-US" w:eastAsia="zh-CN"/>
                    </w:rPr>
                    <w:t>万</w:t>
                  </w:r>
                  <w:r>
                    <w:rPr>
                      <w:rFonts w:hint="default" w:ascii="Times New Roman" w:hAnsi="Times New Roman" w:cs="Times New Roman" w:eastAsiaTheme="minorEastAsia"/>
                      <w:color w:val="auto"/>
                      <w:spacing w:val="5"/>
                      <w:sz w:val="21"/>
                      <w:szCs w:val="21"/>
                      <w:highlight w:val="none"/>
                    </w:rPr>
                    <w:t>m</w:t>
                  </w:r>
                  <w:r>
                    <w:rPr>
                      <w:rFonts w:hint="default" w:ascii="Times New Roman" w:hAnsi="Times New Roman" w:cs="Times New Roman" w:eastAsiaTheme="minorEastAsia"/>
                      <w:color w:val="auto"/>
                      <w:spacing w:val="5"/>
                      <w:sz w:val="21"/>
                      <w:szCs w:val="21"/>
                      <w:highlight w:val="none"/>
                      <w:vertAlign w:val="superscript"/>
                    </w:rPr>
                    <w:t>3</w:t>
                  </w:r>
                  <w:r>
                    <w:rPr>
                      <w:rFonts w:hint="default" w:ascii="Times New Roman" w:hAnsi="Times New Roman" w:cs="Times New Roman" w:eastAsiaTheme="minorEastAsia"/>
                      <w:color w:val="auto"/>
                      <w:spacing w:val="5"/>
                      <w:sz w:val="21"/>
                      <w:szCs w:val="21"/>
                      <w:highlight w:val="none"/>
                    </w:rPr>
                    <w:t>/a</w:t>
                  </w:r>
                </w:p>
              </w:tc>
              <w:tc>
                <w:tcPr>
                  <w:tcW w:w="705" w:type="pct"/>
                  <w:vAlign w:val="center"/>
                </w:tcPr>
                <w:p w14:paraId="147D30AB">
                  <w:pPr>
                    <w:keepNext w:val="0"/>
                    <w:keepLines w:val="0"/>
                    <w:widowControl/>
                    <w:suppressLineNumbers w:val="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kern w:val="0"/>
                      <w:sz w:val="21"/>
                      <w:szCs w:val="21"/>
                      <w:highlight w:val="none"/>
                      <w:lang w:val="en-US" w:eastAsia="zh-CN" w:bidi="ar"/>
                    </w:rPr>
                    <w:t>435.60</w:t>
                  </w:r>
                </w:p>
              </w:tc>
              <w:tc>
                <w:tcPr>
                  <w:tcW w:w="2629" w:type="pct"/>
                  <w:vAlign w:val="center"/>
                </w:tcPr>
                <w:p w14:paraId="7C48DCA5">
                  <w:pPr>
                    <w:jc w:val="center"/>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z w:val="21"/>
                      <w:szCs w:val="21"/>
                      <w:highlight w:val="none"/>
                    </w:rPr>
                    <w:t>唐山市燃气集团有限企业供应</w:t>
                  </w:r>
                  <w:r>
                    <w:rPr>
                      <w:rFonts w:hint="default" w:ascii="Times New Roman" w:hAnsi="Times New Roman" w:cs="Times New Roman" w:eastAsiaTheme="minorEastAsia"/>
                      <w:color w:val="auto"/>
                      <w:sz w:val="21"/>
                      <w:szCs w:val="21"/>
                      <w:highlight w:val="none"/>
                      <w:lang w:eastAsia="zh-CN"/>
                    </w:rPr>
                    <w:t>，市政燃气管网</w:t>
                  </w:r>
                </w:p>
              </w:tc>
            </w:tr>
          </w:tbl>
          <w:p w14:paraId="456BECAA">
            <w:pPr>
              <w:pStyle w:val="116"/>
              <w:ind w:firstLine="420"/>
              <w:rPr>
                <w:color w:val="auto"/>
              </w:rPr>
            </w:pPr>
            <w:r>
              <w:rPr>
                <w:color w:val="auto"/>
              </w:rPr>
              <w:t>本项目建成后全厂主要原辅材料及能源消耗情况见下表。</w:t>
            </w:r>
          </w:p>
          <w:p w14:paraId="4F2FEF17">
            <w:pPr>
              <w:pStyle w:val="10"/>
              <w:rPr>
                <w:color w:val="auto"/>
              </w:rPr>
            </w:pPr>
            <w:r>
              <w:rPr>
                <w:rFonts w:hint="eastAsia"/>
                <w:color w:val="auto"/>
              </w:rPr>
              <w:t>表2-</w:t>
            </w:r>
            <w:r>
              <w:rPr>
                <w:rFonts w:hint="eastAsia"/>
                <w:color w:val="auto"/>
                <w:lang w:val="en-US" w:eastAsia="zh-CN"/>
              </w:rPr>
              <w:t>5</w:t>
            </w:r>
            <w:r>
              <w:rPr>
                <w:color w:val="auto"/>
                <w:szCs w:val="21"/>
              </w:rPr>
              <w:t>项目建成后全厂原辅材料及能源消耗一览表</w:t>
            </w:r>
          </w:p>
          <w:tbl>
            <w:tblPr>
              <w:tblStyle w:val="33"/>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40"/>
              <w:gridCol w:w="885"/>
              <w:gridCol w:w="1149"/>
              <w:gridCol w:w="1244"/>
              <w:gridCol w:w="1531"/>
              <w:gridCol w:w="1187"/>
              <w:gridCol w:w="1763"/>
            </w:tblGrid>
            <w:tr w14:paraId="7A817C0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25" w:type="pct"/>
                  <w:vMerge w:val="restart"/>
                  <w:vAlign w:val="center"/>
                </w:tcPr>
                <w:p w14:paraId="7B1EBCC0">
                  <w:pPr>
                    <w:widowControl/>
                    <w:jc w:val="center"/>
                    <w:rPr>
                      <w:color w:val="auto"/>
                      <w:kern w:val="0"/>
                      <w:szCs w:val="21"/>
                    </w:rPr>
                  </w:pPr>
                  <w:r>
                    <w:rPr>
                      <w:color w:val="auto"/>
                      <w:kern w:val="0"/>
                      <w:szCs w:val="21"/>
                    </w:rPr>
                    <w:t>序号</w:t>
                  </w:r>
                </w:p>
              </w:tc>
              <w:tc>
                <w:tcPr>
                  <w:tcW w:w="533" w:type="pct"/>
                  <w:vMerge w:val="restart"/>
                  <w:vAlign w:val="center"/>
                </w:tcPr>
                <w:p w14:paraId="25F775E5">
                  <w:pPr>
                    <w:jc w:val="center"/>
                    <w:rPr>
                      <w:color w:val="auto"/>
                      <w:szCs w:val="21"/>
                    </w:rPr>
                  </w:pPr>
                  <w:r>
                    <w:rPr>
                      <w:color w:val="auto"/>
                      <w:szCs w:val="21"/>
                    </w:rPr>
                    <w:t>名称</w:t>
                  </w:r>
                </w:p>
              </w:tc>
              <w:tc>
                <w:tcPr>
                  <w:tcW w:w="692" w:type="pct"/>
                  <w:vMerge w:val="restart"/>
                  <w:vAlign w:val="center"/>
                </w:tcPr>
                <w:p w14:paraId="59C4D66F">
                  <w:pPr>
                    <w:widowControl/>
                    <w:jc w:val="center"/>
                    <w:rPr>
                      <w:color w:val="auto"/>
                      <w:kern w:val="0"/>
                      <w:szCs w:val="21"/>
                    </w:rPr>
                  </w:pPr>
                  <w:r>
                    <w:rPr>
                      <w:color w:val="auto"/>
                      <w:kern w:val="0"/>
                      <w:szCs w:val="21"/>
                    </w:rPr>
                    <w:t>单位</w:t>
                  </w:r>
                </w:p>
              </w:tc>
              <w:tc>
                <w:tcPr>
                  <w:tcW w:w="3448" w:type="pct"/>
                  <w:gridSpan w:val="4"/>
                  <w:vAlign w:val="center"/>
                </w:tcPr>
                <w:p w14:paraId="123E2BC8">
                  <w:pPr>
                    <w:widowControl/>
                    <w:jc w:val="center"/>
                    <w:rPr>
                      <w:color w:val="auto"/>
                      <w:kern w:val="0"/>
                      <w:szCs w:val="21"/>
                    </w:rPr>
                  </w:pPr>
                  <w:r>
                    <w:rPr>
                      <w:color w:val="auto"/>
                      <w:kern w:val="0"/>
                      <w:szCs w:val="21"/>
                    </w:rPr>
                    <w:t>用量</w:t>
                  </w:r>
                </w:p>
              </w:tc>
            </w:tr>
            <w:tr w14:paraId="3668857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25" w:type="pct"/>
                  <w:vMerge w:val="continue"/>
                  <w:vAlign w:val="center"/>
                </w:tcPr>
                <w:p w14:paraId="7A6FB41B">
                  <w:pPr>
                    <w:widowControl/>
                    <w:jc w:val="center"/>
                    <w:rPr>
                      <w:color w:val="auto"/>
                      <w:szCs w:val="21"/>
                    </w:rPr>
                  </w:pPr>
                </w:p>
              </w:tc>
              <w:tc>
                <w:tcPr>
                  <w:tcW w:w="533" w:type="pct"/>
                  <w:vMerge w:val="continue"/>
                  <w:vAlign w:val="center"/>
                </w:tcPr>
                <w:p w14:paraId="475A09FD">
                  <w:pPr>
                    <w:widowControl/>
                    <w:jc w:val="center"/>
                    <w:rPr>
                      <w:color w:val="auto"/>
                      <w:szCs w:val="21"/>
                    </w:rPr>
                  </w:pPr>
                </w:p>
              </w:tc>
              <w:tc>
                <w:tcPr>
                  <w:tcW w:w="692" w:type="pct"/>
                  <w:vMerge w:val="continue"/>
                  <w:vAlign w:val="center"/>
                </w:tcPr>
                <w:p w14:paraId="2EF94136">
                  <w:pPr>
                    <w:widowControl/>
                    <w:jc w:val="center"/>
                    <w:rPr>
                      <w:color w:val="auto"/>
                      <w:szCs w:val="21"/>
                    </w:rPr>
                  </w:pPr>
                </w:p>
              </w:tc>
              <w:tc>
                <w:tcPr>
                  <w:tcW w:w="749" w:type="pct"/>
                  <w:vAlign w:val="center"/>
                </w:tcPr>
                <w:p w14:paraId="4520B1BF">
                  <w:pPr>
                    <w:widowControl/>
                    <w:jc w:val="center"/>
                    <w:rPr>
                      <w:color w:val="auto"/>
                      <w:kern w:val="0"/>
                      <w:szCs w:val="21"/>
                    </w:rPr>
                  </w:pPr>
                  <w:r>
                    <w:rPr>
                      <w:rFonts w:hint="eastAsia"/>
                      <w:color w:val="auto"/>
                      <w:kern w:val="0"/>
                      <w:szCs w:val="21"/>
                    </w:rPr>
                    <w:t>现有工程</w:t>
                  </w:r>
                </w:p>
              </w:tc>
              <w:tc>
                <w:tcPr>
                  <w:tcW w:w="922" w:type="pct"/>
                  <w:vAlign w:val="center"/>
                </w:tcPr>
                <w:p w14:paraId="53DA5206">
                  <w:pPr>
                    <w:widowControl/>
                    <w:jc w:val="center"/>
                    <w:rPr>
                      <w:rFonts w:hint="eastAsia" w:eastAsia="宋体"/>
                      <w:color w:val="auto"/>
                      <w:kern w:val="0"/>
                      <w:szCs w:val="21"/>
                      <w:lang w:eastAsia="zh-CN"/>
                    </w:rPr>
                  </w:pPr>
                  <w:r>
                    <w:rPr>
                      <w:rFonts w:hint="eastAsia"/>
                      <w:color w:val="auto"/>
                      <w:kern w:val="0"/>
                      <w:szCs w:val="21"/>
                      <w:lang w:val="en-US" w:eastAsia="zh-CN"/>
                    </w:rPr>
                    <w:t>本项目</w:t>
                  </w:r>
                </w:p>
              </w:tc>
              <w:tc>
                <w:tcPr>
                  <w:tcW w:w="715" w:type="pct"/>
                  <w:vAlign w:val="center"/>
                </w:tcPr>
                <w:p w14:paraId="6F76DB3F">
                  <w:pPr>
                    <w:widowControl/>
                    <w:jc w:val="center"/>
                    <w:rPr>
                      <w:color w:val="auto"/>
                      <w:kern w:val="0"/>
                      <w:szCs w:val="21"/>
                    </w:rPr>
                  </w:pPr>
                  <w:r>
                    <w:rPr>
                      <w:rFonts w:hint="eastAsia"/>
                      <w:color w:val="auto"/>
                      <w:kern w:val="0"/>
                      <w:szCs w:val="21"/>
                    </w:rPr>
                    <w:t>全厂</w:t>
                  </w:r>
                </w:p>
              </w:tc>
              <w:tc>
                <w:tcPr>
                  <w:tcW w:w="1060" w:type="pct"/>
                  <w:vAlign w:val="center"/>
                </w:tcPr>
                <w:p w14:paraId="057C01A1">
                  <w:pPr>
                    <w:widowControl/>
                    <w:jc w:val="center"/>
                    <w:rPr>
                      <w:color w:val="auto"/>
                      <w:kern w:val="0"/>
                      <w:szCs w:val="21"/>
                    </w:rPr>
                  </w:pPr>
                  <w:r>
                    <w:rPr>
                      <w:rFonts w:hint="eastAsia"/>
                      <w:color w:val="auto"/>
                      <w:kern w:val="0"/>
                      <w:szCs w:val="21"/>
                    </w:rPr>
                    <w:t>变化量</w:t>
                  </w:r>
                </w:p>
              </w:tc>
            </w:tr>
            <w:tr w14:paraId="54EFCE4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325" w:type="pct"/>
                  <w:shd w:val="clear" w:color="auto" w:fill="auto"/>
                  <w:vAlign w:val="center"/>
                </w:tcPr>
                <w:p w14:paraId="087DD334">
                  <w:pPr>
                    <w:widowControl/>
                    <w:autoSpaceDE w:val="0"/>
                    <w:autoSpaceDN w:val="0"/>
                    <w:adjustRightInd w:val="0"/>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rPr>
                    <w:t>1</w:t>
                  </w:r>
                </w:p>
              </w:tc>
              <w:tc>
                <w:tcPr>
                  <w:tcW w:w="533" w:type="pct"/>
                  <w:shd w:val="clear" w:color="auto" w:fill="auto"/>
                  <w:vAlign w:val="center"/>
                </w:tcPr>
                <w:p w14:paraId="52DB68BD">
                  <w:pPr>
                    <w:keepNext w:val="0"/>
                    <w:keepLines w:val="0"/>
                    <w:widowControl/>
                    <w:suppressLineNumbers w:val="0"/>
                    <w:jc w:val="center"/>
                    <w:rPr>
                      <w:rFonts w:hint="eastAsia"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0"/>
                      <w:sz w:val="21"/>
                      <w:szCs w:val="21"/>
                      <w:highlight w:val="none"/>
                      <w:lang w:val="en-US" w:eastAsia="zh-CN" w:bidi="ar"/>
                    </w:rPr>
                    <w:t>圆钢</w:t>
                  </w:r>
                </w:p>
              </w:tc>
              <w:tc>
                <w:tcPr>
                  <w:tcW w:w="692" w:type="pct"/>
                  <w:shd w:val="clear" w:color="auto" w:fill="auto"/>
                  <w:vAlign w:val="center"/>
                </w:tcPr>
                <w:p w14:paraId="2DACC380">
                  <w:pPr>
                    <w:adjustRightInd w:val="0"/>
                    <w:snapToGrid w:val="0"/>
                    <w:jc w:val="center"/>
                    <w:rPr>
                      <w:rFonts w:hint="default" w:ascii="Times New Roman" w:hAnsi="Times New Roman" w:cs="Times New Roman" w:eastAsiaTheme="minorEastAsia"/>
                      <w:color w:val="auto"/>
                      <w:spacing w:val="5"/>
                      <w:kern w:val="2"/>
                      <w:sz w:val="21"/>
                      <w:szCs w:val="21"/>
                      <w:highlight w:val="none"/>
                      <w:lang w:val="en-US" w:eastAsia="zh-CN" w:bidi="ar-SA"/>
                    </w:rPr>
                  </w:pPr>
                  <w:r>
                    <w:rPr>
                      <w:rFonts w:hint="default" w:ascii="Times New Roman" w:hAnsi="Times New Roman" w:cs="Times New Roman" w:eastAsiaTheme="minorEastAsia"/>
                      <w:color w:val="auto"/>
                      <w:spacing w:val="5"/>
                      <w:sz w:val="21"/>
                      <w:szCs w:val="21"/>
                      <w:highlight w:val="none"/>
                    </w:rPr>
                    <w:t>t/a</w:t>
                  </w:r>
                </w:p>
              </w:tc>
              <w:tc>
                <w:tcPr>
                  <w:tcW w:w="749" w:type="pct"/>
                  <w:vAlign w:val="center"/>
                </w:tcPr>
                <w:p w14:paraId="424F9EC8">
                  <w:pPr>
                    <w:jc w:val="center"/>
                    <w:rPr>
                      <w:rFonts w:hint="eastAsia" w:eastAsia="宋体"/>
                      <w:color w:val="auto"/>
                      <w:szCs w:val="21"/>
                      <w:lang w:val="en-US" w:eastAsia="zh-CN"/>
                    </w:rPr>
                  </w:pPr>
                  <w:r>
                    <w:rPr>
                      <w:rFonts w:hint="eastAsia"/>
                      <w:color w:val="auto"/>
                      <w:szCs w:val="21"/>
                      <w:lang w:val="en-US" w:eastAsia="zh-CN"/>
                    </w:rPr>
                    <w:t>0</w:t>
                  </w:r>
                </w:p>
              </w:tc>
              <w:tc>
                <w:tcPr>
                  <w:tcW w:w="922" w:type="pct"/>
                  <w:vAlign w:val="center"/>
                </w:tcPr>
                <w:p w14:paraId="072FD3FB">
                  <w:pPr>
                    <w:jc w:val="center"/>
                    <w:rPr>
                      <w:rFonts w:hint="default" w:eastAsia="宋体"/>
                      <w:color w:val="auto"/>
                      <w:szCs w:val="21"/>
                      <w:lang w:val="en-US" w:eastAsia="zh-CN"/>
                    </w:rPr>
                  </w:pPr>
                  <w:r>
                    <w:rPr>
                      <w:rFonts w:hint="eastAsia"/>
                      <w:color w:val="auto"/>
                      <w:szCs w:val="21"/>
                      <w:lang w:val="en-US" w:eastAsia="zh-CN"/>
                    </w:rPr>
                    <w:t>50998.26</w:t>
                  </w:r>
                </w:p>
              </w:tc>
              <w:tc>
                <w:tcPr>
                  <w:tcW w:w="715" w:type="pct"/>
                  <w:vAlign w:val="center"/>
                </w:tcPr>
                <w:p w14:paraId="7B915644">
                  <w:pPr>
                    <w:jc w:val="center"/>
                    <w:rPr>
                      <w:rFonts w:hint="eastAsia"/>
                      <w:color w:val="auto"/>
                      <w:szCs w:val="21"/>
                    </w:rPr>
                  </w:pPr>
                  <w:r>
                    <w:rPr>
                      <w:rFonts w:hint="eastAsia"/>
                      <w:color w:val="auto"/>
                      <w:szCs w:val="21"/>
                      <w:lang w:val="en-US" w:eastAsia="zh-CN"/>
                    </w:rPr>
                    <w:t>50998.26</w:t>
                  </w:r>
                </w:p>
              </w:tc>
              <w:tc>
                <w:tcPr>
                  <w:tcW w:w="1060" w:type="pct"/>
                  <w:vAlign w:val="center"/>
                </w:tcPr>
                <w:p w14:paraId="4BDF4B37">
                  <w:pPr>
                    <w:jc w:val="center"/>
                    <w:rPr>
                      <w:rFonts w:hint="eastAsia" w:eastAsia="宋体"/>
                      <w:color w:val="auto"/>
                      <w:szCs w:val="21"/>
                      <w:lang w:val="en-US" w:eastAsia="zh-CN"/>
                    </w:rPr>
                  </w:pPr>
                  <w:r>
                    <w:rPr>
                      <w:rFonts w:hint="eastAsia"/>
                      <w:color w:val="auto"/>
                      <w:szCs w:val="21"/>
                      <w:lang w:val="en-US" w:eastAsia="zh-CN"/>
                    </w:rPr>
                    <w:t>+50998.26</w:t>
                  </w:r>
                </w:p>
              </w:tc>
            </w:tr>
            <w:tr w14:paraId="5E3C23A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325" w:type="pct"/>
                  <w:shd w:val="clear" w:color="auto" w:fill="auto"/>
                  <w:vAlign w:val="center"/>
                </w:tcPr>
                <w:p w14:paraId="256246B3">
                  <w:pPr>
                    <w:widowControl/>
                    <w:autoSpaceDE w:val="0"/>
                    <w:autoSpaceDN w:val="0"/>
                    <w:adjustRightInd w:val="0"/>
                    <w:jc w:val="center"/>
                    <w:rPr>
                      <w:rFonts w:hint="eastAsia" w:ascii="Times New Roman" w:hAnsi="Times New Roman" w:eastAsia="宋体" w:cs="Times New Roman"/>
                      <w:color w:val="auto"/>
                      <w:kern w:val="0"/>
                      <w:sz w:val="21"/>
                      <w:szCs w:val="21"/>
                      <w:lang w:val="en-US" w:eastAsia="zh-CN" w:bidi="ar-SA"/>
                    </w:rPr>
                  </w:pPr>
                  <w:r>
                    <w:rPr>
                      <w:color w:val="auto"/>
                      <w:kern w:val="0"/>
                      <w:szCs w:val="21"/>
                    </w:rPr>
                    <w:t>2</w:t>
                  </w:r>
                </w:p>
              </w:tc>
              <w:tc>
                <w:tcPr>
                  <w:tcW w:w="533" w:type="pct"/>
                  <w:shd w:val="clear" w:color="auto" w:fill="auto"/>
                  <w:vAlign w:val="center"/>
                </w:tcPr>
                <w:p w14:paraId="298BBFAB">
                  <w:pPr>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lang w:val="en-US" w:eastAsia="zh-CN"/>
                    </w:rPr>
                    <w:t>吨包袋</w:t>
                  </w:r>
                </w:p>
              </w:tc>
              <w:tc>
                <w:tcPr>
                  <w:tcW w:w="692" w:type="pct"/>
                  <w:shd w:val="clear" w:color="auto" w:fill="auto"/>
                  <w:vAlign w:val="center"/>
                </w:tcPr>
                <w:p w14:paraId="68D8201A">
                  <w:pPr>
                    <w:adjustRightInd w:val="0"/>
                    <w:snapToGrid w:val="0"/>
                    <w:jc w:val="center"/>
                    <w:rPr>
                      <w:rFonts w:hint="default" w:ascii="Times New Roman" w:hAnsi="Times New Roman" w:cs="Times New Roman" w:eastAsiaTheme="minorEastAsia"/>
                      <w:color w:val="auto"/>
                      <w:spacing w:val="5"/>
                      <w:kern w:val="2"/>
                      <w:sz w:val="21"/>
                      <w:szCs w:val="21"/>
                      <w:highlight w:val="none"/>
                      <w:lang w:val="en-US" w:eastAsia="zh-CN" w:bidi="ar-SA"/>
                    </w:rPr>
                  </w:pPr>
                  <w:r>
                    <w:rPr>
                      <w:rFonts w:hint="eastAsia"/>
                      <w:color w:val="auto"/>
                      <w:lang w:val="en-US" w:eastAsia="zh-CN"/>
                    </w:rPr>
                    <w:t>万袋</w:t>
                  </w:r>
                  <w:r>
                    <w:rPr>
                      <w:rFonts w:hint="default" w:ascii="Times New Roman" w:hAnsi="Times New Roman" w:cs="Times New Roman" w:eastAsiaTheme="minorEastAsia"/>
                      <w:color w:val="auto"/>
                      <w:spacing w:val="5"/>
                      <w:szCs w:val="21"/>
                      <w:highlight w:val="none"/>
                    </w:rPr>
                    <w:t>/a</w:t>
                  </w:r>
                </w:p>
              </w:tc>
              <w:tc>
                <w:tcPr>
                  <w:tcW w:w="749" w:type="pct"/>
                  <w:vAlign w:val="center"/>
                </w:tcPr>
                <w:p w14:paraId="6DF72933">
                  <w:pPr>
                    <w:jc w:val="center"/>
                    <w:rPr>
                      <w:rFonts w:hint="eastAsia" w:eastAsia="宋体"/>
                      <w:color w:val="auto"/>
                      <w:szCs w:val="21"/>
                      <w:lang w:val="en-US" w:eastAsia="zh-CN"/>
                    </w:rPr>
                  </w:pPr>
                  <w:r>
                    <w:rPr>
                      <w:rFonts w:hint="eastAsia"/>
                      <w:color w:val="auto"/>
                      <w:szCs w:val="21"/>
                      <w:lang w:val="en-US" w:eastAsia="zh-CN"/>
                    </w:rPr>
                    <w:t>0</w:t>
                  </w:r>
                </w:p>
              </w:tc>
              <w:tc>
                <w:tcPr>
                  <w:tcW w:w="922" w:type="pct"/>
                  <w:shd w:val="clear" w:color="auto" w:fill="auto"/>
                  <w:vAlign w:val="center"/>
                </w:tcPr>
                <w:p w14:paraId="50822A7E">
                  <w:pPr>
                    <w:jc w:val="center"/>
                    <w:rPr>
                      <w:rFonts w:hint="eastAsia" w:ascii="Times New Roman" w:hAnsi="Times New Roman" w:cs="Times New Roman" w:eastAsiaTheme="minorEastAsia"/>
                      <w:color w:val="auto"/>
                      <w:spacing w:val="5"/>
                      <w:kern w:val="2"/>
                      <w:sz w:val="21"/>
                      <w:szCs w:val="21"/>
                      <w:highlight w:val="none"/>
                      <w:lang w:val="en-US" w:eastAsia="zh-CN" w:bidi="ar-SA"/>
                    </w:rPr>
                  </w:pPr>
                  <w:r>
                    <w:rPr>
                      <w:rFonts w:hint="eastAsia"/>
                      <w:color w:val="auto"/>
                      <w:lang w:val="en-US" w:eastAsia="zh-CN"/>
                    </w:rPr>
                    <w:t>2.4</w:t>
                  </w:r>
                </w:p>
              </w:tc>
              <w:tc>
                <w:tcPr>
                  <w:tcW w:w="715" w:type="pct"/>
                  <w:shd w:val="clear" w:color="auto" w:fill="auto"/>
                  <w:vAlign w:val="center"/>
                </w:tcPr>
                <w:p w14:paraId="28700B03">
                  <w:pPr>
                    <w:jc w:val="center"/>
                    <w:rPr>
                      <w:rFonts w:hint="eastAsia" w:ascii="Times New Roman" w:hAnsi="Times New Roman" w:cs="Times New Roman" w:eastAsiaTheme="minorEastAsia"/>
                      <w:color w:val="auto"/>
                      <w:spacing w:val="5"/>
                      <w:kern w:val="2"/>
                      <w:sz w:val="21"/>
                      <w:szCs w:val="21"/>
                      <w:highlight w:val="none"/>
                      <w:lang w:val="en-US" w:eastAsia="zh-CN" w:bidi="ar-SA"/>
                    </w:rPr>
                  </w:pPr>
                  <w:r>
                    <w:rPr>
                      <w:rFonts w:hint="eastAsia"/>
                      <w:color w:val="auto"/>
                      <w:lang w:val="en-US" w:eastAsia="zh-CN"/>
                    </w:rPr>
                    <w:t>2.4</w:t>
                  </w:r>
                </w:p>
              </w:tc>
              <w:tc>
                <w:tcPr>
                  <w:tcW w:w="1060" w:type="pct"/>
                  <w:shd w:val="clear" w:color="auto" w:fill="auto"/>
                  <w:vAlign w:val="center"/>
                </w:tcPr>
                <w:p w14:paraId="12129E8F">
                  <w:pPr>
                    <w:jc w:val="center"/>
                    <w:rPr>
                      <w:rFonts w:hint="eastAsia" w:ascii="Times New Roman" w:hAnsi="Times New Roman" w:cs="Times New Roman" w:eastAsiaTheme="minorEastAsia"/>
                      <w:color w:val="auto"/>
                      <w:spacing w:val="5"/>
                      <w:kern w:val="2"/>
                      <w:sz w:val="21"/>
                      <w:szCs w:val="21"/>
                      <w:highlight w:val="none"/>
                      <w:lang w:val="en-US" w:eastAsia="zh-CN" w:bidi="ar-SA"/>
                    </w:rPr>
                  </w:pPr>
                  <w:r>
                    <w:rPr>
                      <w:rFonts w:hint="eastAsia"/>
                      <w:color w:val="auto"/>
                      <w:lang w:val="en-US" w:eastAsia="zh-CN"/>
                    </w:rPr>
                    <w:t>+2.4</w:t>
                  </w:r>
                </w:p>
              </w:tc>
            </w:tr>
            <w:tr w14:paraId="2179265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325" w:type="pct"/>
                  <w:shd w:val="clear" w:color="auto" w:fill="auto"/>
                  <w:vAlign w:val="center"/>
                </w:tcPr>
                <w:p w14:paraId="461CAA1C">
                  <w:pPr>
                    <w:widowControl/>
                    <w:jc w:val="center"/>
                    <w:rPr>
                      <w:rFonts w:hint="eastAsia" w:ascii="Times New Roman" w:hAnsi="Times New Roman" w:eastAsia="宋体" w:cs="Times New Roman"/>
                      <w:color w:val="auto"/>
                      <w:kern w:val="0"/>
                      <w:sz w:val="21"/>
                      <w:szCs w:val="21"/>
                      <w:lang w:val="en-US" w:eastAsia="zh-CN" w:bidi="ar-SA"/>
                    </w:rPr>
                  </w:pPr>
                  <w:r>
                    <w:rPr>
                      <w:color w:val="auto"/>
                      <w:kern w:val="0"/>
                      <w:szCs w:val="21"/>
                    </w:rPr>
                    <w:t>3</w:t>
                  </w:r>
                </w:p>
              </w:tc>
              <w:tc>
                <w:tcPr>
                  <w:tcW w:w="533" w:type="pct"/>
                  <w:shd w:val="clear" w:color="auto" w:fill="auto"/>
                  <w:vAlign w:val="center"/>
                </w:tcPr>
                <w:p w14:paraId="28C720BE">
                  <w:pPr>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lang w:val="en-US" w:eastAsia="zh-CN"/>
                    </w:rPr>
                    <w:t>包装桶</w:t>
                  </w:r>
                </w:p>
              </w:tc>
              <w:tc>
                <w:tcPr>
                  <w:tcW w:w="692" w:type="pct"/>
                  <w:shd w:val="clear" w:color="auto" w:fill="auto"/>
                  <w:vAlign w:val="center"/>
                </w:tcPr>
                <w:p w14:paraId="069C7FE4">
                  <w:pPr>
                    <w:adjustRightInd w:val="0"/>
                    <w:snapToGrid w:val="0"/>
                    <w:jc w:val="center"/>
                    <w:rPr>
                      <w:rFonts w:hint="default" w:ascii="Times New Roman" w:hAnsi="Times New Roman" w:cs="Times New Roman" w:eastAsiaTheme="minorEastAsia"/>
                      <w:color w:val="auto"/>
                      <w:spacing w:val="5"/>
                      <w:kern w:val="2"/>
                      <w:sz w:val="21"/>
                      <w:szCs w:val="21"/>
                      <w:highlight w:val="none"/>
                      <w:lang w:val="en-US" w:eastAsia="zh-CN" w:bidi="ar-SA"/>
                    </w:rPr>
                  </w:pPr>
                  <w:r>
                    <w:rPr>
                      <w:rFonts w:hint="eastAsia"/>
                      <w:color w:val="auto"/>
                      <w:lang w:val="en-US" w:eastAsia="zh-CN"/>
                    </w:rPr>
                    <w:t>万桶</w:t>
                  </w:r>
                  <w:r>
                    <w:rPr>
                      <w:rFonts w:hint="default" w:ascii="Times New Roman" w:hAnsi="Times New Roman" w:cs="Times New Roman" w:eastAsiaTheme="minorEastAsia"/>
                      <w:color w:val="auto"/>
                      <w:spacing w:val="5"/>
                      <w:szCs w:val="21"/>
                      <w:highlight w:val="none"/>
                    </w:rPr>
                    <w:t>/a</w:t>
                  </w:r>
                </w:p>
              </w:tc>
              <w:tc>
                <w:tcPr>
                  <w:tcW w:w="749" w:type="pct"/>
                  <w:vAlign w:val="center"/>
                </w:tcPr>
                <w:p w14:paraId="30B102A1">
                  <w:pPr>
                    <w:jc w:val="center"/>
                    <w:rPr>
                      <w:rFonts w:hint="eastAsia" w:eastAsia="宋体"/>
                      <w:color w:val="auto"/>
                      <w:szCs w:val="21"/>
                      <w:lang w:val="en-US" w:eastAsia="zh-CN"/>
                    </w:rPr>
                  </w:pPr>
                  <w:r>
                    <w:rPr>
                      <w:rFonts w:hint="eastAsia"/>
                      <w:color w:val="auto"/>
                      <w:szCs w:val="21"/>
                      <w:lang w:val="en-US" w:eastAsia="zh-CN"/>
                    </w:rPr>
                    <w:t>0</w:t>
                  </w:r>
                </w:p>
              </w:tc>
              <w:tc>
                <w:tcPr>
                  <w:tcW w:w="922" w:type="pct"/>
                  <w:shd w:val="clear" w:color="auto" w:fill="auto"/>
                  <w:vAlign w:val="center"/>
                </w:tcPr>
                <w:p w14:paraId="39700C88">
                  <w:pPr>
                    <w:jc w:val="center"/>
                    <w:rPr>
                      <w:rFonts w:hint="eastAsia" w:ascii="Times New Roman" w:hAnsi="Times New Roman" w:cs="Times New Roman" w:eastAsiaTheme="minorEastAsia"/>
                      <w:color w:val="auto"/>
                      <w:spacing w:val="5"/>
                      <w:kern w:val="2"/>
                      <w:sz w:val="21"/>
                      <w:szCs w:val="21"/>
                      <w:highlight w:val="none"/>
                      <w:lang w:val="en-US" w:eastAsia="zh-CN" w:bidi="ar-SA"/>
                    </w:rPr>
                  </w:pPr>
                  <w:r>
                    <w:rPr>
                      <w:rFonts w:hint="eastAsia"/>
                      <w:color w:val="auto"/>
                      <w:lang w:val="en-US" w:eastAsia="zh-CN"/>
                    </w:rPr>
                    <w:t>2.4</w:t>
                  </w:r>
                </w:p>
              </w:tc>
              <w:tc>
                <w:tcPr>
                  <w:tcW w:w="715" w:type="pct"/>
                  <w:shd w:val="clear" w:color="auto" w:fill="auto"/>
                  <w:vAlign w:val="center"/>
                </w:tcPr>
                <w:p w14:paraId="66750872">
                  <w:pPr>
                    <w:jc w:val="center"/>
                    <w:rPr>
                      <w:rFonts w:hint="eastAsia" w:ascii="Times New Roman" w:hAnsi="Times New Roman" w:cs="Times New Roman" w:eastAsiaTheme="minorEastAsia"/>
                      <w:color w:val="auto"/>
                      <w:spacing w:val="5"/>
                      <w:kern w:val="2"/>
                      <w:sz w:val="21"/>
                      <w:szCs w:val="21"/>
                      <w:highlight w:val="none"/>
                      <w:lang w:val="en-US" w:eastAsia="zh-CN" w:bidi="ar-SA"/>
                    </w:rPr>
                  </w:pPr>
                  <w:r>
                    <w:rPr>
                      <w:rFonts w:hint="eastAsia"/>
                      <w:color w:val="auto"/>
                      <w:lang w:val="en-US" w:eastAsia="zh-CN"/>
                    </w:rPr>
                    <w:t>2.4</w:t>
                  </w:r>
                </w:p>
              </w:tc>
              <w:tc>
                <w:tcPr>
                  <w:tcW w:w="1060" w:type="pct"/>
                  <w:shd w:val="clear" w:color="auto" w:fill="auto"/>
                  <w:vAlign w:val="center"/>
                </w:tcPr>
                <w:p w14:paraId="6F41B9F8">
                  <w:pPr>
                    <w:jc w:val="center"/>
                    <w:rPr>
                      <w:rFonts w:hint="eastAsia" w:ascii="Times New Roman" w:hAnsi="Times New Roman" w:cs="Times New Roman" w:eastAsiaTheme="minorEastAsia"/>
                      <w:color w:val="auto"/>
                      <w:spacing w:val="5"/>
                      <w:kern w:val="2"/>
                      <w:sz w:val="21"/>
                      <w:szCs w:val="21"/>
                      <w:highlight w:val="none"/>
                      <w:lang w:val="en-US" w:eastAsia="zh-CN" w:bidi="ar-SA"/>
                    </w:rPr>
                  </w:pPr>
                  <w:r>
                    <w:rPr>
                      <w:rFonts w:hint="eastAsia"/>
                      <w:color w:val="auto"/>
                      <w:lang w:val="en-US" w:eastAsia="zh-CN"/>
                    </w:rPr>
                    <w:t>+2.4</w:t>
                  </w:r>
                </w:p>
              </w:tc>
            </w:tr>
            <w:tr w14:paraId="061C206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325" w:type="pct"/>
                  <w:shd w:val="clear" w:color="auto" w:fill="auto"/>
                  <w:vAlign w:val="center"/>
                </w:tcPr>
                <w:p w14:paraId="521D0AD1">
                  <w:pPr>
                    <w:jc w:val="center"/>
                    <w:rPr>
                      <w:rFonts w:ascii="Times New Roman" w:hAnsi="Times New Roman" w:eastAsia="宋体" w:cs="Times New Roman"/>
                      <w:color w:val="auto"/>
                      <w:kern w:val="0"/>
                      <w:sz w:val="21"/>
                      <w:szCs w:val="21"/>
                      <w:lang w:val="en-US" w:eastAsia="zh-CN" w:bidi="ar-SA"/>
                    </w:rPr>
                  </w:pPr>
                  <w:r>
                    <w:rPr>
                      <w:color w:val="auto"/>
                      <w:kern w:val="0"/>
                      <w:szCs w:val="21"/>
                    </w:rPr>
                    <w:t>4</w:t>
                  </w:r>
                </w:p>
              </w:tc>
              <w:tc>
                <w:tcPr>
                  <w:tcW w:w="533" w:type="pct"/>
                  <w:vAlign w:val="center"/>
                </w:tcPr>
                <w:p w14:paraId="4E334794">
                  <w:pPr>
                    <w:widowControl/>
                    <w:autoSpaceDE w:val="0"/>
                    <w:autoSpaceDN w:val="0"/>
                    <w:adjustRightInd w:val="0"/>
                    <w:jc w:val="center"/>
                    <w:rPr>
                      <w:color w:val="auto"/>
                      <w:kern w:val="0"/>
                      <w:szCs w:val="21"/>
                    </w:rPr>
                  </w:pPr>
                  <w:r>
                    <w:rPr>
                      <w:rFonts w:hint="eastAsia"/>
                      <w:color w:val="auto"/>
                      <w:kern w:val="0"/>
                      <w:szCs w:val="21"/>
                    </w:rPr>
                    <w:t>塑粉</w:t>
                  </w:r>
                </w:p>
              </w:tc>
              <w:tc>
                <w:tcPr>
                  <w:tcW w:w="692" w:type="pct"/>
                  <w:vAlign w:val="center"/>
                </w:tcPr>
                <w:p w14:paraId="7CC08C79">
                  <w:pPr>
                    <w:autoSpaceDE w:val="0"/>
                    <w:autoSpaceDN w:val="0"/>
                    <w:adjustRightInd w:val="0"/>
                    <w:jc w:val="center"/>
                    <w:rPr>
                      <w:color w:val="auto"/>
                      <w:szCs w:val="21"/>
                    </w:rPr>
                  </w:pPr>
                  <w:r>
                    <w:rPr>
                      <w:color w:val="auto"/>
                      <w:spacing w:val="5"/>
                      <w:szCs w:val="21"/>
                    </w:rPr>
                    <w:t>t/a</w:t>
                  </w:r>
                </w:p>
              </w:tc>
              <w:tc>
                <w:tcPr>
                  <w:tcW w:w="749" w:type="pct"/>
                  <w:shd w:val="clear" w:color="auto" w:fill="auto"/>
                  <w:vAlign w:val="center"/>
                </w:tcPr>
                <w:p w14:paraId="6553FE99">
                  <w:pPr>
                    <w:jc w:val="center"/>
                    <w:rPr>
                      <w:rFonts w:ascii="Times New Roman" w:hAnsi="Times New Roman" w:eastAsia="宋体" w:cs="Times New Roman"/>
                      <w:color w:val="auto"/>
                      <w:kern w:val="2"/>
                      <w:sz w:val="21"/>
                      <w:szCs w:val="21"/>
                      <w:lang w:val="en-US" w:eastAsia="zh-CN" w:bidi="ar-SA"/>
                    </w:rPr>
                  </w:pPr>
                  <w:r>
                    <w:rPr>
                      <w:rFonts w:hint="eastAsia"/>
                      <w:color w:val="auto"/>
                      <w:szCs w:val="21"/>
                    </w:rPr>
                    <w:t>100</w:t>
                  </w:r>
                </w:p>
              </w:tc>
              <w:tc>
                <w:tcPr>
                  <w:tcW w:w="922" w:type="pct"/>
                  <w:vAlign w:val="center"/>
                </w:tcPr>
                <w:p w14:paraId="78B71944">
                  <w:pPr>
                    <w:jc w:val="center"/>
                    <w:rPr>
                      <w:color w:val="auto"/>
                      <w:szCs w:val="21"/>
                    </w:rPr>
                  </w:pPr>
                  <w:r>
                    <w:rPr>
                      <w:rFonts w:hint="eastAsia"/>
                      <w:color w:val="auto"/>
                      <w:szCs w:val="21"/>
                    </w:rPr>
                    <w:t>0</w:t>
                  </w:r>
                </w:p>
              </w:tc>
              <w:tc>
                <w:tcPr>
                  <w:tcW w:w="715" w:type="pct"/>
                  <w:shd w:val="clear" w:color="auto" w:fill="auto"/>
                  <w:vAlign w:val="center"/>
                </w:tcPr>
                <w:p w14:paraId="46EE41C0">
                  <w:pPr>
                    <w:jc w:val="center"/>
                    <w:rPr>
                      <w:rFonts w:ascii="Times New Roman" w:hAnsi="Times New Roman" w:eastAsia="宋体" w:cs="Times New Roman"/>
                      <w:color w:val="auto"/>
                      <w:kern w:val="2"/>
                      <w:sz w:val="21"/>
                      <w:szCs w:val="21"/>
                      <w:lang w:val="en-US" w:eastAsia="zh-CN" w:bidi="ar-SA"/>
                    </w:rPr>
                  </w:pPr>
                  <w:r>
                    <w:rPr>
                      <w:rFonts w:hint="eastAsia"/>
                      <w:color w:val="auto"/>
                      <w:szCs w:val="21"/>
                    </w:rPr>
                    <w:t>100</w:t>
                  </w:r>
                </w:p>
              </w:tc>
              <w:tc>
                <w:tcPr>
                  <w:tcW w:w="1060" w:type="pct"/>
                  <w:vAlign w:val="center"/>
                </w:tcPr>
                <w:p w14:paraId="48A7E25B">
                  <w:pPr>
                    <w:jc w:val="center"/>
                    <w:rPr>
                      <w:color w:val="auto"/>
                      <w:szCs w:val="21"/>
                    </w:rPr>
                  </w:pPr>
                  <w:r>
                    <w:rPr>
                      <w:rFonts w:hint="eastAsia"/>
                      <w:color w:val="auto"/>
                      <w:szCs w:val="21"/>
                    </w:rPr>
                    <w:t>0</w:t>
                  </w:r>
                </w:p>
              </w:tc>
            </w:tr>
            <w:tr w14:paraId="54426AC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325" w:type="pct"/>
                  <w:shd w:val="clear" w:color="auto" w:fill="auto"/>
                  <w:vAlign w:val="center"/>
                </w:tcPr>
                <w:p w14:paraId="5766C0CF">
                  <w:pPr>
                    <w:jc w:val="center"/>
                    <w:rPr>
                      <w:rFonts w:ascii="Times New Roman" w:hAnsi="Times New Roman" w:eastAsia="宋体" w:cs="Times New Roman"/>
                      <w:color w:val="auto"/>
                      <w:kern w:val="0"/>
                      <w:sz w:val="21"/>
                      <w:szCs w:val="21"/>
                      <w:lang w:val="en-US" w:eastAsia="zh-CN" w:bidi="ar-SA"/>
                    </w:rPr>
                  </w:pPr>
                  <w:r>
                    <w:rPr>
                      <w:color w:val="auto"/>
                      <w:kern w:val="0"/>
                      <w:szCs w:val="21"/>
                    </w:rPr>
                    <w:t>5</w:t>
                  </w:r>
                </w:p>
              </w:tc>
              <w:tc>
                <w:tcPr>
                  <w:tcW w:w="533" w:type="pct"/>
                  <w:vAlign w:val="center"/>
                </w:tcPr>
                <w:p w14:paraId="6D617732">
                  <w:pPr>
                    <w:jc w:val="center"/>
                    <w:rPr>
                      <w:color w:val="auto"/>
                      <w:szCs w:val="21"/>
                    </w:rPr>
                  </w:pPr>
                  <w:r>
                    <w:rPr>
                      <w:rFonts w:hint="eastAsia"/>
                      <w:color w:val="auto"/>
                      <w:szCs w:val="21"/>
                    </w:rPr>
                    <w:t>不锈钢</w:t>
                  </w:r>
                </w:p>
              </w:tc>
              <w:tc>
                <w:tcPr>
                  <w:tcW w:w="692" w:type="pct"/>
                  <w:vAlign w:val="center"/>
                </w:tcPr>
                <w:p w14:paraId="13D890C5">
                  <w:pPr>
                    <w:adjustRightInd w:val="0"/>
                    <w:snapToGrid w:val="0"/>
                    <w:jc w:val="center"/>
                    <w:rPr>
                      <w:color w:val="auto"/>
                      <w:spacing w:val="5"/>
                      <w:szCs w:val="21"/>
                    </w:rPr>
                  </w:pPr>
                  <w:r>
                    <w:rPr>
                      <w:color w:val="auto"/>
                      <w:spacing w:val="5"/>
                      <w:szCs w:val="21"/>
                    </w:rPr>
                    <w:t>t/a</w:t>
                  </w:r>
                </w:p>
              </w:tc>
              <w:tc>
                <w:tcPr>
                  <w:tcW w:w="749" w:type="pct"/>
                  <w:shd w:val="clear" w:color="auto" w:fill="auto"/>
                  <w:vAlign w:val="center"/>
                </w:tcPr>
                <w:p w14:paraId="358DE49F">
                  <w:pPr>
                    <w:jc w:val="center"/>
                    <w:rPr>
                      <w:rFonts w:ascii="Times New Roman" w:hAnsi="Times New Roman" w:eastAsia="宋体" w:cs="Times New Roman"/>
                      <w:color w:val="auto"/>
                      <w:kern w:val="2"/>
                      <w:sz w:val="21"/>
                      <w:szCs w:val="21"/>
                      <w:lang w:val="en-US" w:eastAsia="zh-CN" w:bidi="ar-SA"/>
                    </w:rPr>
                  </w:pPr>
                  <w:r>
                    <w:rPr>
                      <w:rFonts w:hint="eastAsia"/>
                      <w:color w:val="auto"/>
                      <w:szCs w:val="21"/>
                    </w:rPr>
                    <w:t>31000</w:t>
                  </w:r>
                </w:p>
              </w:tc>
              <w:tc>
                <w:tcPr>
                  <w:tcW w:w="1513" w:type="dxa"/>
                  <w:vAlign w:val="center"/>
                </w:tcPr>
                <w:p w14:paraId="42695049">
                  <w:pPr>
                    <w:jc w:val="center"/>
                    <w:rPr>
                      <w:color w:val="auto"/>
                      <w:szCs w:val="21"/>
                    </w:rPr>
                  </w:pPr>
                  <w:r>
                    <w:rPr>
                      <w:rFonts w:hint="eastAsia"/>
                      <w:color w:val="auto"/>
                      <w:szCs w:val="21"/>
                    </w:rPr>
                    <w:t>0</w:t>
                  </w:r>
                </w:p>
              </w:tc>
              <w:tc>
                <w:tcPr>
                  <w:tcW w:w="715" w:type="pct"/>
                  <w:shd w:val="clear" w:color="auto" w:fill="auto"/>
                  <w:vAlign w:val="center"/>
                </w:tcPr>
                <w:p w14:paraId="4D19B403">
                  <w:pPr>
                    <w:jc w:val="center"/>
                    <w:rPr>
                      <w:rFonts w:ascii="Times New Roman" w:hAnsi="Times New Roman" w:eastAsia="宋体" w:cs="Times New Roman"/>
                      <w:color w:val="auto"/>
                      <w:kern w:val="2"/>
                      <w:sz w:val="21"/>
                      <w:szCs w:val="21"/>
                      <w:lang w:val="en-US" w:eastAsia="zh-CN" w:bidi="ar-SA"/>
                    </w:rPr>
                  </w:pPr>
                  <w:r>
                    <w:rPr>
                      <w:rFonts w:hint="eastAsia"/>
                      <w:color w:val="auto"/>
                      <w:szCs w:val="21"/>
                    </w:rPr>
                    <w:t>31000</w:t>
                  </w:r>
                </w:p>
              </w:tc>
              <w:tc>
                <w:tcPr>
                  <w:tcW w:w="1739" w:type="dxa"/>
                  <w:vAlign w:val="center"/>
                </w:tcPr>
                <w:p w14:paraId="795F5E27">
                  <w:pPr>
                    <w:jc w:val="center"/>
                    <w:rPr>
                      <w:color w:val="auto"/>
                    </w:rPr>
                  </w:pPr>
                  <w:r>
                    <w:rPr>
                      <w:rFonts w:hint="eastAsia"/>
                      <w:color w:val="auto"/>
                      <w:szCs w:val="21"/>
                    </w:rPr>
                    <w:t>0</w:t>
                  </w:r>
                </w:p>
              </w:tc>
            </w:tr>
            <w:tr w14:paraId="75B5389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325" w:type="pct"/>
                  <w:shd w:val="clear" w:color="auto" w:fill="auto"/>
                  <w:vAlign w:val="center"/>
                </w:tcPr>
                <w:p w14:paraId="540285C8">
                  <w:pPr>
                    <w:jc w:val="center"/>
                    <w:rPr>
                      <w:rFonts w:ascii="Times New Roman" w:hAnsi="Times New Roman" w:eastAsia="宋体" w:cs="Times New Roman"/>
                      <w:color w:val="auto"/>
                      <w:kern w:val="0"/>
                      <w:sz w:val="21"/>
                      <w:szCs w:val="21"/>
                      <w:lang w:val="en-US" w:eastAsia="zh-CN" w:bidi="ar-SA"/>
                    </w:rPr>
                  </w:pPr>
                  <w:r>
                    <w:rPr>
                      <w:color w:val="auto"/>
                      <w:kern w:val="0"/>
                      <w:szCs w:val="21"/>
                    </w:rPr>
                    <w:t>6</w:t>
                  </w:r>
                </w:p>
              </w:tc>
              <w:tc>
                <w:tcPr>
                  <w:tcW w:w="533" w:type="pct"/>
                  <w:vAlign w:val="center"/>
                </w:tcPr>
                <w:p w14:paraId="4332E3A3">
                  <w:pPr>
                    <w:jc w:val="center"/>
                    <w:rPr>
                      <w:color w:val="auto"/>
                      <w:szCs w:val="21"/>
                    </w:rPr>
                  </w:pPr>
                  <w:r>
                    <w:rPr>
                      <w:rFonts w:hint="eastAsia"/>
                      <w:color w:val="auto"/>
                      <w:szCs w:val="21"/>
                    </w:rPr>
                    <w:t>模具钢</w:t>
                  </w:r>
                </w:p>
              </w:tc>
              <w:tc>
                <w:tcPr>
                  <w:tcW w:w="692" w:type="pct"/>
                  <w:vAlign w:val="center"/>
                </w:tcPr>
                <w:p w14:paraId="2D9867A9">
                  <w:pPr>
                    <w:adjustRightInd w:val="0"/>
                    <w:snapToGrid w:val="0"/>
                    <w:jc w:val="center"/>
                    <w:rPr>
                      <w:color w:val="auto"/>
                      <w:spacing w:val="5"/>
                      <w:szCs w:val="21"/>
                    </w:rPr>
                  </w:pPr>
                  <w:r>
                    <w:rPr>
                      <w:color w:val="auto"/>
                      <w:spacing w:val="5"/>
                      <w:szCs w:val="21"/>
                    </w:rPr>
                    <w:t>t/a</w:t>
                  </w:r>
                </w:p>
              </w:tc>
              <w:tc>
                <w:tcPr>
                  <w:tcW w:w="749" w:type="pct"/>
                  <w:shd w:val="clear" w:color="auto" w:fill="auto"/>
                  <w:vAlign w:val="center"/>
                </w:tcPr>
                <w:p w14:paraId="61FF3DFE">
                  <w:pPr>
                    <w:jc w:val="center"/>
                    <w:rPr>
                      <w:rFonts w:ascii="Times New Roman" w:hAnsi="Times New Roman" w:eastAsia="宋体" w:cs="Times New Roman"/>
                      <w:color w:val="auto"/>
                      <w:kern w:val="2"/>
                      <w:sz w:val="21"/>
                      <w:szCs w:val="21"/>
                      <w:lang w:val="en-US" w:eastAsia="zh-CN" w:bidi="ar-SA"/>
                    </w:rPr>
                  </w:pPr>
                  <w:r>
                    <w:rPr>
                      <w:rFonts w:hint="eastAsia"/>
                      <w:color w:val="auto"/>
                      <w:szCs w:val="21"/>
                    </w:rPr>
                    <w:t>10000</w:t>
                  </w:r>
                </w:p>
              </w:tc>
              <w:tc>
                <w:tcPr>
                  <w:tcW w:w="1513" w:type="dxa"/>
                  <w:vAlign w:val="center"/>
                </w:tcPr>
                <w:p w14:paraId="0D97A289">
                  <w:pPr>
                    <w:jc w:val="center"/>
                    <w:rPr>
                      <w:color w:val="auto"/>
                      <w:szCs w:val="21"/>
                    </w:rPr>
                  </w:pPr>
                  <w:r>
                    <w:rPr>
                      <w:rFonts w:hint="eastAsia"/>
                      <w:color w:val="auto"/>
                      <w:szCs w:val="21"/>
                    </w:rPr>
                    <w:t>0</w:t>
                  </w:r>
                </w:p>
              </w:tc>
              <w:tc>
                <w:tcPr>
                  <w:tcW w:w="715" w:type="pct"/>
                  <w:shd w:val="clear" w:color="auto" w:fill="auto"/>
                  <w:vAlign w:val="center"/>
                </w:tcPr>
                <w:p w14:paraId="7AF2A035">
                  <w:pPr>
                    <w:jc w:val="center"/>
                    <w:rPr>
                      <w:rFonts w:ascii="Times New Roman" w:hAnsi="Times New Roman" w:eastAsia="宋体" w:cs="Times New Roman"/>
                      <w:color w:val="auto"/>
                      <w:kern w:val="2"/>
                      <w:sz w:val="21"/>
                      <w:szCs w:val="21"/>
                      <w:lang w:val="en-US" w:eastAsia="zh-CN" w:bidi="ar-SA"/>
                    </w:rPr>
                  </w:pPr>
                  <w:r>
                    <w:rPr>
                      <w:rFonts w:hint="eastAsia"/>
                      <w:color w:val="auto"/>
                      <w:szCs w:val="21"/>
                    </w:rPr>
                    <w:t>10000</w:t>
                  </w:r>
                </w:p>
              </w:tc>
              <w:tc>
                <w:tcPr>
                  <w:tcW w:w="1739" w:type="dxa"/>
                  <w:vAlign w:val="center"/>
                </w:tcPr>
                <w:p w14:paraId="04F4A42A">
                  <w:pPr>
                    <w:jc w:val="center"/>
                    <w:rPr>
                      <w:color w:val="auto"/>
                      <w:szCs w:val="21"/>
                    </w:rPr>
                  </w:pPr>
                  <w:r>
                    <w:rPr>
                      <w:rFonts w:hint="eastAsia"/>
                      <w:color w:val="auto"/>
                      <w:szCs w:val="21"/>
                    </w:rPr>
                    <w:t>0</w:t>
                  </w:r>
                </w:p>
              </w:tc>
            </w:tr>
            <w:tr w14:paraId="09C11FB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83" w:hRule="atLeast"/>
              </w:trPr>
              <w:tc>
                <w:tcPr>
                  <w:tcW w:w="325" w:type="pct"/>
                  <w:shd w:val="clear" w:color="auto" w:fill="auto"/>
                  <w:vAlign w:val="center"/>
                </w:tcPr>
                <w:p w14:paraId="365D4C0D">
                  <w:pPr>
                    <w:widowControl/>
                    <w:jc w:val="center"/>
                    <w:rPr>
                      <w:rFonts w:ascii="Times New Roman" w:hAnsi="Times New Roman" w:eastAsia="宋体" w:cs="Times New Roman"/>
                      <w:color w:val="auto"/>
                      <w:kern w:val="0"/>
                      <w:sz w:val="21"/>
                      <w:szCs w:val="21"/>
                      <w:lang w:val="en-US" w:eastAsia="zh-CN" w:bidi="ar-SA"/>
                    </w:rPr>
                  </w:pPr>
                  <w:r>
                    <w:rPr>
                      <w:color w:val="auto"/>
                      <w:kern w:val="0"/>
                      <w:szCs w:val="21"/>
                    </w:rPr>
                    <w:t>7</w:t>
                  </w:r>
                </w:p>
              </w:tc>
              <w:tc>
                <w:tcPr>
                  <w:tcW w:w="533" w:type="pct"/>
                  <w:vAlign w:val="center"/>
                </w:tcPr>
                <w:p w14:paraId="1F022AD2">
                  <w:pPr>
                    <w:jc w:val="center"/>
                    <w:rPr>
                      <w:color w:val="auto"/>
                      <w:szCs w:val="21"/>
                    </w:rPr>
                  </w:pPr>
                  <w:r>
                    <w:rPr>
                      <w:rFonts w:hint="eastAsia"/>
                      <w:color w:val="auto"/>
                      <w:szCs w:val="21"/>
                    </w:rPr>
                    <w:t>碳钢</w:t>
                  </w:r>
                </w:p>
              </w:tc>
              <w:tc>
                <w:tcPr>
                  <w:tcW w:w="692" w:type="pct"/>
                  <w:vAlign w:val="center"/>
                </w:tcPr>
                <w:p w14:paraId="26CD5CF8">
                  <w:pPr>
                    <w:adjustRightInd w:val="0"/>
                    <w:snapToGrid w:val="0"/>
                    <w:jc w:val="center"/>
                    <w:rPr>
                      <w:color w:val="auto"/>
                      <w:spacing w:val="5"/>
                      <w:szCs w:val="21"/>
                    </w:rPr>
                  </w:pPr>
                  <w:r>
                    <w:rPr>
                      <w:color w:val="auto"/>
                      <w:spacing w:val="5"/>
                      <w:szCs w:val="21"/>
                    </w:rPr>
                    <w:t>t/a</w:t>
                  </w:r>
                </w:p>
              </w:tc>
              <w:tc>
                <w:tcPr>
                  <w:tcW w:w="749" w:type="pct"/>
                  <w:shd w:val="clear" w:color="auto" w:fill="auto"/>
                  <w:vAlign w:val="center"/>
                </w:tcPr>
                <w:p w14:paraId="43320B98">
                  <w:pPr>
                    <w:jc w:val="center"/>
                    <w:rPr>
                      <w:rFonts w:ascii="Times New Roman" w:hAnsi="Times New Roman" w:eastAsia="宋体" w:cs="Times New Roman"/>
                      <w:color w:val="auto"/>
                      <w:kern w:val="2"/>
                      <w:sz w:val="21"/>
                      <w:szCs w:val="21"/>
                      <w:lang w:val="en-US" w:eastAsia="zh-CN" w:bidi="ar-SA"/>
                    </w:rPr>
                  </w:pPr>
                  <w:r>
                    <w:rPr>
                      <w:rFonts w:hint="eastAsia"/>
                      <w:color w:val="auto"/>
                      <w:szCs w:val="21"/>
                    </w:rPr>
                    <w:t>30000</w:t>
                  </w:r>
                </w:p>
              </w:tc>
              <w:tc>
                <w:tcPr>
                  <w:tcW w:w="1513" w:type="dxa"/>
                  <w:vAlign w:val="center"/>
                </w:tcPr>
                <w:p w14:paraId="0A109966">
                  <w:pPr>
                    <w:jc w:val="center"/>
                    <w:rPr>
                      <w:color w:val="auto"/>
                      <w:szCs w:val="21"/>
                    </w:rPr>
                  </w:pPr>
                  <w:r>
                    <w:rPr>
                      <w:rFonts w:hint="eastAsia"/>
                      <w:color w:val="auto"/>
                      <w:szCs w:val="21"/>
                    </w:rPr>
                    <w:t>0</w:t>
                  </w:r>
                </w:p>
              </w:tc>
              <w:tc>
                <w:tcPr>
                  <w:tcW w:w="715" w:type="pct"/>
                  <w:shd w:val="clear" w:color="auto" w:fill="auto"/>
                  <w:vAlign w:val="center"/>
                </w:tcPr>
                <w:p w14:paraId="2665C0C8">
                  <w:pPr>
                    <w:jc w:val="center"/>
                    <w:rPr>
                      <w:rFonts w:ascii="Times New Roman" w:hAnsi="Times New Roman" w:eastAsia="宋体" w:cs="Times New Roman"/>
                      <w:color w:val="auto"/>
                      <w:kern w:val="2"/>
                      <w:sz w:val="21"/>
                      <w:szCs w:val="21"/>
                      <w:lang w:val="en-US" w:eastAsia="zh-CN" w:bidi="ar-SA"/>
                    </w:rPr>
                  </w:pPr>
                  <w:r>
                    <w:rPr>
                      <w:rFonts w:hint="eastAsia"/>
                      <w:color w:val="auto"/>
                      <w:szCs w:val="21"/>
                    </w:rPr>
                    <w:t>30000</w:t>
                  </w:r>
                </w:p>
              </w:tc>
              <w:tc>
                <w:tcPr>
                  <w:tcW w:w="1739" w:type="dxa"/>
                  <w:vAlign w:val="center"/>
                </w:tcPr>
                <w:p w14:paraId="28587D12">
                  <w:pPr>
                    <w:jc w:val="center"/>
                    <w:rPr>
                      <w:color w:val="auto"/>
                      <w:szCs w:val="21"/>
                    </w:rPr>
                  </w:pPr>
                  <w:r>
                    <w:rPr>
                      <w:rFonts w:hint="eastAsia"/>
                      <w:color w:val="auto"/>
                      <w:szCs w:val="21"/>
                    </w:rPr>
                    <w:t>0</w:t>
                  </w:r>
                </w:p>
              </w:tc>
            </w:tr>
            <w:tr w14:paraId="3A7C9E2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325" w:type="pct"/>
                  <w:shd w:val="clear" w:color="auto" w:fill="auto"/>
                  <w:vAlign w:val="center"/>
                </w:tcPr>
                <w:p w14:paraId="6A0797DA">
                  <w:pPr>
                    <w:widowControl/>
                    <w:jc w:val="center"/>
                    <w:rPr>
                      <w:rFonts w:ascii="Times New Roman" w:hAnsi="Times New Roman" w:eastAsia="宋体" w:cs="Times New Roman"/>
                      <w:color w:val="auto"/>
                      <w:kern w:val="0"/>
                      <w:sz w:val="21"/>
                      <w:szCs w:val="21"/>
                      <w:lang w:val="en-US" w:eastAsia="zh-CN" w:bidi="ar-SA"/>
                    </w:rPr>
                  </w:pPr>
                  <w:r>
                    <w:rPr>
                      <w:color w:val="auto"/>
                      <w:kern w:val="0"/>
                      <w:szCs w:val="21"/>
                    </w:rPr>
                    <w:t>8</w:t>
                  </w:r>
                </w:p>
              </w:tc>
              <w:tc>
                <w:tcPr>
                  <w:tcW w:w="533" w:type="pct"/>
                  <w:vAlign w:val="center"/>
                </w:tcPr>
                <w:p w14:paraId="0DF418E8">
                  <w:pPr>
                    <w:jc w:val="center"/>
                    <w:rPr>
                      <w:color w:val="auto"/>
                      <w:szCs w:val="21"/>
                    </w:rPr>
                  </w:pPr>
                  <w:r>
                    <w:rPr>
                      <w:rFonts w:hint="eastAsia"/>
                      <w:color w:val="auto"/>
                      <w:szCs w:val="21"/>
                    </w:rPr>
                    <w:t>钢丸</w:t>
                  </w:r>
                </w:p>
              </w:tc>
              <w:tc>
                <w:tcPr>
                  <w:tcW w:w="692" w:type="pct"/>
                  <w:vAlign w:val="center"/>
                </w:tcPr>
                <w:p w14:paraId="1A23E6D8">
                  <w:pPr>
                    <w:adjustRightInd w:val="0"/>
                    <w:snapToGrid w:val="0"/>
                    <w:jc w:val="center"/>
                    <w:rPr>
                      <w:color w:val="auto"/>
                      <w:spacing w:val="5"/>
                      <w:szCs w:val="21"/>
                    </w:rPr>
                  </w:pPr>
                  <w:r>
                    <w:rPr>
                      <w:color w:val="auto"/>
                      <w:spacing w:val="5"/>
                      <w:szCs w:val="21"/>
                    </w:rPr>
                    <w:t>t/a</w:t>
                  </w:r>
                </w:p>
              </w:tc>
              <w:tc>
                <w:tcPr>
                  <w:tcW w:w="749" w:type="pct"/>
                  <w:shd w:val="clear" w:color="auto" w:fill="auto"/>
                  <w:vAlign w:val="center"/>
                </w:tcPr>
                <w:p w14:paraId="13685D07">
                  <w:pPr>
                    <w:jc w:val="center"/>
                    <w:rPr>
                      <w:rFonts w:ascii="Times New Roman" w:hAnsi="Times New Roman" w:eastAsia="宋体" w:cs="Times New Roman"/>
                      <w:color w:val="auto"/>
                      <w:kern w:val="2"/>
                      <w:sz w:val="21"/>
                      <w:szCs w:val="21"/>
                      <w:lang w:val="en-US" w:eastAsia="zh-CN" w:bidi="ar-SA"/>
                    </w:rPr>
                  </w:pPr>
                  <w:r>
                    <w:rPr>
                      <w:rFonts w:hint="eastAsia"/>
                      <w:color w:val="auto"/>
                      <w:szCs w:val="21"/>
                    </w:rPr>
                    <w:t>7.5</w:t>
                  </w:r>
                </w:p>
              </w:tc>
              <w:tc>
                <w:tcPr>
                  <w:tcW w:w="922" w:type="pct"/>
                  <w:vAlign w:val="center"/>
                </w:tcPr>
                <w:p w14:paraId="0FCF5AB6">
                  <w:pPr>
                    <w:jc w:val="center"/>
                    <w:rPr>
                      <w:color w:val="auto"/>
                      <w:szCs w:val="21"/>
                    </w:rPr>
                  </w:pPr>
                  <w:r>
                    <w:rPr>
                      <w:rFonts w:hint="eastAsia"/>
                      <w:color w:val="auto"/>
                      <w:szCs w:val="21"/>
                    </w:rPr>
                    <w:t>1.5</w:t>
                  </w:r>
                </w:p>
              </w:tc>
              <w:tc>
                <w:tcPr>
                  <w:tcW w:w="715" w:type="pct"/>
                  <w:vAlign w:val="center"/>
                </w:tcPr>
                <w:p w14:paraId="38365AC4">
                  <w:pPr>
                    <w:jc w:val="center"/>
                    <w:rPr>
                      <w:rFonts w:hint="default" w:eastAsia="宋体"/>
                      <w:color w:val="auto"/>
                      <w:szCs w:val="21"/>
                      <w:lang w:val="en-US" w:eastAsia="zh-CN"/>
                    </w:rPr>
                  </w:pPr>
                  <w:r>
                    <w:rPr>
                      <w:rFonts w:hint="eastAsia"/>
                      <w:color w:val="auto"/>
                      <w:szCs w:val="21"/>
                      <w:lang w:val="en-US" w:eastAsia="zh-CN"/>
                    </w:rPr>
                    <w:t>9.0</w:t>
                  </w:r>
                </w:p>
              </w:tc>
              <w:tc>
                <w:tcPr>
                  <w:tcW w:w="1060" w:type="pct"/>
                  <w:vAlign w:val="center"/>
                </w:tcPr>
                <w:p w14:paraId="1DEED923">
                  <w:pPr>
                    <w:jc w:val="center"/>
                    <w:rPr>
                      <w:color w:val="auto"/>
                      <w:szCs w:val="21"/>
                    </w:rPr>
                  </w:pPr>
                  <w:r>
                    <w:rPr>
                      <w:rFonts w:hint="eastAsia"/>
                      <w:color w:val="auto"/>
                      <w:szCs w:val="21"/>
                    </w:rPr>
                    <w:t>+1.5</w:t>
                  </w:r>
                </w:p>
              </w:tc>
            </w:tr>
            <w:tr w14:paraId="3D95DBC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176" w:hRule="atLeast"/>
              </w:trPr>
              <w:tc>
                <w:tcPr>
                  <w:tcW w:w="325" w:type="pct"/>
                  <w:shd w:val="clear" w:color="auto" w:fill="auto"/>
                  <w:vAlign w:val="center"/>
                </w:tcPr>
                <w:p w14:paraId="48C767AD">
                  <w:pPr>
                    <w:widowControl/>
                    <w:jc w:val="center"/>
                    <w:rPr>
                      <w:rFonts w:ascii="Times New Roman" w:hAnsi="Times New Roman" w:eastAsia="宋体" w:cs="Times New Roman"/>
                      <w:color w:val="auto"/>
                      <w:kern w:val="0"/>
                      <w:sz w:val="21"/>
                      <w:szCs w:val="21"/>
                      <w:lang w:val="en-US" w:eastAsia="zh-CN" w:bidi="ar-SA"/>
                    </w:rPr>
                  </w:pPr>
                  <w:r>
                    <w:rPr>
                      <w:color w:val="auto"/>
                      <w:kern w:val="0"/>
                      <w:szCs w:val="21"/>
                    </w:rPr>
                    <w:t>9</w:t>
                  </w:r>
                </w:p>
              </w:tc>
              <w:tc>
                <w:tcPr>
                  <w:tcW w:w="533" w:type="pct"/>
                  <w:vAlign w:val="center"/>
                </w:tcPr>
                <w:p w14:paraId="522CC168">
                  <w:pPr>
                    <w:jc w:val="center"/>
                    <w:rPr>
                      <w:color w:val="auto"/>
                      <w:szCs w:val="21"/>
                    </w:rPr>
                  </w:pPr>
                  <w:r>
                    <w:rPr>
                      <w:rFonts w:hint="eastAsia"/>
                      <w:color w:val="auto"/>
                      <w:szCs w:val="21"/>
                    </w:rPr>
                    <w:t>CO</w:t>
                  </w:r>
                  <w:r>
                    <w:rPr>
                      <w:rFonts w:hint="eastAsia"/>
                      <w:color w:val="auto"/>
                      <w:szCs w:val="21"/>
                      <w:vertAlign w:val="subscript"/>
                    </w:rPr>
                    <w:t>2</w:t>
                  </w:r>
                </w:p>
              </w:tc>
              <w:tc>
                <w:tcPr>
                  <w:tcW w:w="692" w:type="pct"/>
                  <w:vAlign w:val="center"/>
                </w:tcPr>
                <w:p w14:paraId="6420794E">
                  <w:pPr>
                    <w:adjustRightInd w:val="0"/>
                    <w:snapToGrid w:val="0"/>
                    <w:jc w:val="center"/>
                    <w:rPr>
                      <w:color w:val="auto"/>
                      <w:spacing w:val="5"/>
                      <w:szCs w:val="21"/>
                    </w:rPr>
                  </w:pPr>
                  <w:r>
                    <w:rPr>
                      <w:color w:val="auto"/>
                      <w:spacing w:val="5"/>
                      <w:szCs w:val="21"/>
                    </w:rPr>
                    <w:t>t/a</w:t>
                  </w:r>
                </w:p>
              </w:tc>
              <w:tc>
                <w:tcPr>
                  <w:tcW w:w="749" w:type="pct"/>
                  <w:shd w:val="clear" w:color="auto" w:fill="auto"/>
                  <w:vAlign w:val="center"/>
                </w:tcPr>
                <w:p w14:paraId="1BEDE66A">
                  <w:pPr>
                    <w:jc w:val="center"/>
                    <w:rPr>
                      <w:rFonts w:ascii="Times New Roman" w:hAnsi="Times New Roman" w:eastAsia="宋体" w:cs="Times New Roman"/>
                      <w:color w:val="auto"/>
                      <w:kern w:val="2"/>
                      <w:sz w:val="21"/>
                      <w:szCs w:val="21"/>
                      <w:lang w:val="en-US" w:eastAsia="zh-CN" w:bidi="ar-SA"/>
                    </w:rPr>
                  </w:pPr>
                  <w:r>
                    <w:rPr>
                      <w:rFonts w:hint="eastAsia"/>
                      <w:color w:val="auto"/>
                      <w:szCs w:val="21"/>
                    </w:rPr>
                    <w:t>1.5</w:t>
                  </w:r>
                </w:p>
              </w:tc>
              <w:tc>
                <w:tcPr>
                  <w:tcW w:w="922" w:type="pct"/>
                  <w:vAlign w:val="center"/>
                </w:tcPr>
                <w:p w14:paraId="33AE42E0">
                  <w:pPr>
                    <w:jc w:val="center"/>
                    <w:rPr>
                      <w:color w:val="auto"/>
                      <w:szCs w:val="21"/>
                    </w:rPr>
                  </w:pPr>
                  <w:r>
                    <w:rPr>
                      <w:rFonts w:hint="eastAsia"/>
                      <w:color w:val="auto"/>
                      <w:szCs w:val="21"/>
                    </w:rPr>
                    <w:t>0</w:t>
                  </w:r>
                </w:p>
              </w:tc>
              <w:tc>
                <w:tcPr>
                  <w:tcW w:w="715" w:type="pct"/>
                  <w:shd w:val="clear" w:color="auto" w:fill="auto"/>
                  <w:vAlign w:val="center"/>
                </w:tcPr>
                <w:p w14:paraId="20564A78">
                  <w:pPr>
                    <w:jc w:val="center"/>
                    <w:rPr>
                      <w:rFonts w:ascii="Times New Roman" w:hAnsi="Times New Roman" w:eastAsia="宋体" w:cs="Times New Roman"/>
                      <w:color w:val="auto"/>
                      <w:kern w:val="2"/>
                      <w:sz w:val="21"/>
                      <w:szCs w:val="21"/>
                      <w:lang w:val="en-US" w:eastAsia="zh-CN" w:bidi="ar-SA"/>
                    </w:rPr>
                  </w:pPr>
                  <w:r>
                    <w:rPr>
                      <w:rFonts w:hint="eastAsia"/>
                      <w:color w:val="auto"/>
                      <w:szCs w:val="21"/>
                    </w:rPr>
                    <w:t>1.5</w:t>
                  </w:r>
                </w:p>
              </w:tc>
              <w:tc>
                <w:tcPr>
                  <w:tcW w:w="1060" w:type="pct"/>
                  <w:vAlign w:val="center"/>
                </w:tcPr>
                <w:p w14:paraId="341DB220">
                  <w:pPr>
                    <w:jc w:val="center"/>
                    <w:rPr>
                      <w:color w:val="auto"/>
                      <w:szCs w:val="21"/>
                    </w:rPr>
                  </w:pPr>
                  <w:r>
                    <w:rPr>
                      <w:rFonts w:hint="eastAsia"/>
                      <w:color w:val="auto"/>
                      <w:szCs w:val="21"/>
                    </w:rPr>
                    <w:t>0</w:t>
                  </w:r>
                </w:p>
              </w:tc>
            </w:tr>
            <w:tr w14:paraId="7D1B7F1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176" w:hRule="atLeast"/>
              </w:trPr>
              <w:tc>
                <w:tcPr>
                  <w:tcW w:w="325" w:type="pct"/>
                  <w:shd w:val="clear" w:color="auto" w:fill="auto"/>
                  <w:vAlign w:val="center"/>
                </w:tcPr>
                <w:p w14:paraId="0B8F8A6D">
                  <w:pPr>
                    <w:widowControl/>
                    <w:jc w:val="center"/>
                    <w:rPr>
                      <w:rFonts w:ascii="Times New Roman" w:hAnsi="Times New Roman" w:eastAsia="宋体" w:cs="Times New Roman"/>
                      <w:color w:val="auto"/>
                      <w:kern w:val="0"/>
                      <w:sz w:val="21"/>
                      <w:szCs w:val="21"/>
                      <w:lang w:val="en-US" w:eastAsia="zh-CN" w:bidi="ar-SA"/>
                    </w:rPr>
                  </w:pPr>
                  <w:r>
                    <w:rPr>
                      <w:rFonts w:hint="eastAsia"/>
                      <w:color w:val="auto"/>
                      <w:kern w:val="0"/>
                      <w:szCs w:val="21"/>
                    </w:rPr>
                    <w:t>10</w:t>
                  </w:r>
                </w:p>
              </w:tc>
              <w:tc>
                <w:tcPr>
                  <w:tcW w:w="533" w:type="pct"/>
                  <w:vAlign w:val="center"/>
                </w:tcPr>
                <w:p w14:paraId="0842D827">
                  <w:pPr>
                    <w:jc w:val="center"/>
                    <w:rPr>
                      <w:color w:val="auto"/>
                      <w:szCs w:val="21"/>
                    </w:rPr>
                  </w:pPr>
                  <w:r>
                    <w:rPr>
                      <w:rFonts w:hint="eastAsia"/>
                      <w:color w:val="auto"/>
                      <w:szCs w:val="21"/>
                    </w:rPr>
                    <w:t>焊丝</w:t>
                  </w:r>
                </w:p>
              </w:tc>
              <w:tc>
                <w:tcPr>
                  <w:tcW w:w="692" w:type="pct"/>
                  <w:vAlign w:val="center"/>
                </w:tcPr>
                <w:p w14:paraId="68355814">
                  <w:pPr>
                    <w:adjustRightInd w:val="0"/>
                    <w:snapToGrid w:val="0"/>
                    <w:jc w:val="center"/>
                    <w:rPr>
                      <w:color w:val="auto"/>
                      <w:spacing w:val="5"/>
                      <w:szCs w:val="21"/>
                    </w:rPr>
                  </w:pPr>
                  <w:r>
                    <w:rPr>
                      <w:color w:val="auto"/>
                      <w:spacing w:val="5"/>
                      <w:szCs w:val="21"/>
                    </w:rPr>
                    <w:t>t/a</w:t>
                  </w:r>
                </w:p>
              </w:tc>
              <w:tc>
                <w:tcPr>
                  <w:tcW w:w="749" w:type="pct"/>
                  <w:shd w:val="clear" w:color="auto" w:fill="auto"/>
                  <w:vAlign w:val="center"/>
                </w:tcPr>
                <w:p w14:paraId="5143FF26">
                  <w:pPr>
                    <w:jc w:val="center"/>
                    <w:rPr>
                      <w:rFonts w:ascii="Times New Roman" w:hAnsi="Times New Roman" w:eastAsia="宋体" w:cs="Times New Roman"/>
                      <w:color w:val="auto"/>
                      <w:kern w:val="2"/>
                      <w:sz w:val="21"/>
                      <w:szCs w:val="21"/>
                      <w:lang w:val="en-US" w:eastAsia="zh-CN" w:bidi="ar-SA"/>
                    </w:rPr>
                  </w:pPr>
                  <w:r>
                    <w:rPr>
                      <w:rFonts w:hint="eastAsia"/>
                      <w:color w:val="auto"/>
                      <w:szCs w:val="21"/>
                    </w:rPr>
                    <w:t>110</w:t>
                  </w:r>
                </w:p>
              </w:tc>
              <w:tc>
                <w:tcPr>
                  <w:tcW w:w="922" w:type="pct"/>
                  <w:vAlign w:val="center"/>
                </w:tcPr>
                <w:p w14:paraId="73FE663D">
                  <w:pPr>
                    <w:jc w:val="center"/>
                    <w:rPr>
                      <w:color w:val="auto"/>
                      <w:szCs w:val="21"/>
                    </w:rPr>
                  </w:pPr>
                  <w:r>
                    <w:rPr>
                      <w:rFonts w:hint="eastAsia"/>
                      <w:color w:val="auto"/>
                      <w:szCs w:val="21"/>
                    </w:rPr>
                    <w:t>0</w:t>
                  </w:r>
                </w:p>
              </w:tc>
              <w:tc>
                <w:tcPr>
                  <w:tcW w:w="715" w:type="pct"/>
                  <w:shd w:val="clear" w:color="auto" w:fill="auto"/>
                  <w:vAlign w:val="center"/>
                </w:tcPr>
                <w:p w14:paraId="03A3D014">
                  <w:pPr>
                    <w:jc w:val="center"/>
                    <w:rPr>
                      <w:rFonts w:ascii="Times New Roman" w:hAnsi="Times New Roman" w:eastAsia="宋体" w:cs="Times New Roman"/>
                      <w:color w:val="auto"/>
                      <w:kern w:val="2"/>
                      <w:sz w:val="21"/>
                      <w:szCs w:val="21"/>
                      <w:lang w:val="en-US" w:eastAsia="zh-CN" w:bidi="ar-SA"/>
                    </w:rPr>
                  </w:pPr>
                  <w:r>
                    <w:rPr>
                      <w:rFonts w:hint="eastAsia"/>
                      <w:color w:val="auto"/>
                      <w:szCs w:val="21"/>
                    </w:rPr>
                    <w:t>110</w:t>
                  </w:r>
                </w:p>
              </w:tc>
              <w:tc>
                <w:tcPr>
                  <w:tcW w:w="1060" w:type="pct"/>
                  <w:vAlign w:val="center"/>
                </w:tcPr>
                <w:p w14:paraId="6551E7EA">
                  <w:pPr>
                    <w:jc w:val="center"/>
                    <w:rPr>
                      <w:color w:val="auto"/>
                      <w:szCs w:val="21"/>
                    </w:rPr>
                  </w:pPr>
                  <w:r>
                    <w:rPr>
                      <w:rFonts w:hint="eastAsia"/>
                      <w:color w:val="auto"/>
                      <w:szCs w:val="21"/>
                    </w:rPr>
                    <w:t>0</w:t>
                  </w:r>
                </w:p>
              </w:tc>
            </w:tr>
            <w:tr w14:paraId="69A8C88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176" w:hRule="atLeast"/>
              </w:trPr>
              <w:tc>
                <w:tcPr>
                  <w:tcW w:w="325" w:type="pct"/>
                  <w:shd w:val="clear" w:color="auto" w:fill="auto"/>
                  <w:vAlign w:val="center"/>
                </w:tcPr>
                <w:p w14:paraId="32816865">
                  <w:pPr>
                    <w:widowControl/>
                    <w:jc w:val="center"/>
                    <w:rPr>
                      <w:rFonts w:ascii="Times New Roman" w:hAnsi="Times New Roman" w:eastAsia="宋体" w:cs="Times New Roman"/>
                      <w:color w:val="auto"/>
                      <w:kern w:val="0"/>
                      <w:sz w:val="21"/>
                      <w:szCs w:val="21"/>
                      <w:lang w:val="en-US" w:eastAsia="zh-CN" w:bidi="ar-SA"/>
                    </w:rPr>
                  </w:pPr>
                  <w:r>
                    <w:rPr>
                      <w:rFonts w:hint="eastAsia"/>
                      <w:color w:val="auto"/>
                      <w:kern w:val="0"/>
                      <w:szCs w:val="21"/>
                    </w:rPr>
                    <w:t>11</w:t>
                  </w:r>
                </w:p>
              </w:tc>
              <w:tc>
                <w:tcPr>
                  <w:tcW w:w="533" w:type="pct"/>
                  <w:vAlign w:val="center"/>
                </w:tcPr>
                <w:p w14:paraId="1A629D65">
                  <w:pPr>
                    <w:jc w:val="center"/>
                    <w:rPr>
                      <w:color w:val="auto"/>
                      <w:szCs w:val="21"/>
                    </w:rPr>
                  </w:pPr>
                  <w:r>
                    <w:rPr>
                      <w:rFonts w:hint="eastAsia"/>
                      <w:color w:val="auto"/>
                      <w:szCs w:val="21"/>
                    </w:rPr>
                    <w:t>乳化液</w:t>
                  </w:r>
                </w:p>
              </w:tc>
              <w:tc>
                <w:tcPr>
                  <w:tcW w:w="692" w:type="pct"/>
                  <w:vAlign w:val="center"/>
                </w:tcPr>
                <w:p w14:paraId="1F477502">
                  <w:pPr>
                    <w:adjustRightInd w:val="0"/>
                    <w:snapToGrid w:val="0"/>
                    <w:jc w:val="center"/>
                    <w:rPr>
                      <w:color w:val="auto"/>
                      <w:spacing w:val="5"/>
                      <w:szCs w:val="21"/>
                    </w:rPr>
                  </w:pPr>
                  <w:r>
                    <w:rPr>
                      <w:color w:val="auto"/>
                      <w:spacing w:val="5"/>
                      <w:szCs w:val="21"/>
                    </w:rPr>
                    <w:t>t/a</w:t>
                  </w:r>
                </w:p>
              </w:tc>
              <w:tc>
                <w:tcPr>
                  <w:tcW w:w="749" w:type="pct"/>
                  <w:shd w:val="clear" w:color="auto" w:fill="auto"/>
                  <w:vAlign w:val="center"/>
                </w:tcPr>
                <w:p w14:paraId="177D84DD">
                  <w:pPr>
                    <w:jc w:val="center"/>
                    <w:rPr>
                      <w:rFonts w:ascii="Times New Roman" w:hAnsi="Times New Roman" w:eastAsia="宋体" w:cs="Times New Roman"/>
                      <w:color w:val="auto"/>
                      <w:kern w:val="2"/>
                      <w:sz w:val="21"/>
                      <w:szCs w:val="21"/>
                      <w:lang w:val="en-US" w:eastAsia="zh-CN" w:bidi="ar-SA"/>
                    </w:rPr>
                  </w:pPr>
                  <w:r>
                    <w:rPr>
                      <w:rFonts w:hint="eastAsia"/>
                      <w:color w:val="auto"/>
                      <w:szCs w:val="21"/>
                    </w:rPr>
                    <w:t>8</w:t>
                  </w:r>
                </w:p>
              </w:tc>
              <w:tc>
                <w:tcPr>
                  <w:tcW w:w="922" w:type="pct"/>
                  <w:vAlign w:val="center"/>
                </w:tcPr>
                <w:p w14:paraId="05DE8BF6">
                  <w:pPr>
                    <w:jc w:val="center"/>
                    <w:rPr>
                      <w:color w:val="auto"/>
                      <w:szCs w:val="21"/>
                    </w:rPr>
                  </w:pPr>
                  <w:r>
                    <w:rPr>
                      <w:rFonts w:hint="eastAsia"/>
                      <w:color w:val="auto"/>
                      <w:szCs w:val="21"/>
                    </w:rPr>
                    <w:t>0</w:t>
                  </w:r>
                </w:p>
              </w:tc>
              <w:tc>
                <w:tcPr>
                  <w:tcW w:w="715" w:type="pct"/>
                  <w:shd w:val="clear" w:color="auto" w:fill="auto"/>
                  <w:vAlign w:val="center"/>
                </w:tcPr>
                <w:p w14:paraId="40DF0A10">
                  <w:pPr>
                    <w:jc w:val="center"/>
                    <w:rPr>
                      <w:rFonts w:ascii="Times New Roman" w:hAnsi="Times New Roman" w:eastAsia="宋体" w:cs="Times New Roman"/>
                      <w:color w:val="auto"/>
                      <w:kern w:val="2"/>
                      <w:sz w:val="21"/>
                      <w:szCs w:val="21"/>
                      <w:lang w:val="en-US" w:eastAsia="zh-CN" w:bidi="ar-SA"/>
                    </w:rPr>
                  </w:pPr>
                  <w:r>
                    <w:rPr>
                      <w:rFonts w:hint="eastAsia"/>
                      <w:color w:val="auto"/>
                      <w:szCs w:val="21"/>
                    </w:rPr>
                    <w:t>8</w:t>
                  </w:r>
                </w:p>
              </w:tc>
              <w:tc>
                <w:tcPr>
                  <w:tcW w:w="1060" w:type="pct"/>
                  <w:vAlign w:val="center"/>
                </w:tcPr>
                <w:p w14:paraId="16F4AB30">
                  <w:pPr>
                    <w:jc w:val="center"/>
                    <w:rPr>
                      <w:color w:val="auto"/>
                      <w:szCs w:val="21"/>
                    </w:rPr>
                  </w:pPr>
                  <w:r>
                    <w:rPr>
                      <w:rFonts w:hint="eastAsia"/>
                      <w:color w:val="auto"/>
                      <w:szCs w:val="21"/>
                    </w:rPr>
                    <w:t>0</w:t>
                  </w:r>
                </w:p>
              </w:tc>
            </w:tr>
            <w:tr w14:paraId="701A6BB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325" w:type="pct"/>
                  <w:shd w:val="clear" w:color="auto" w:fill="auto"/>
                  <w:vAlign w:val="center"/>
                </w:tcPr>
                <w:p w14:paraId="24579FD3">
                  <w:pPr>
                    <w:widowControl/>
                    <w:jc w:val="center"/>
                    <w:rPr>
                      <w:rFonts w:ascii="Times New Roman" w:hAnsi="Times New Roman" w:eastAsia="宋体" w:cs="Times New Roman"/>
                      <w:color w:val="auto"/>
                      <w:kern w:val="0"/>
                      <w:sz w:val="21"/>
                      <w:szCs w:val="21"/>
                      <w:lang w:val="en-US" w:eastAsia="zh-CN" w:bidi="ar-SA"/>
                    </w:rPr>
                  </w:pPr>
                  <w:r>
                    <w:rPr>
                      <w:rFonts w:hint="eastAsia"/>
                      <w:color w:val="auto"/>
                      <w:kern w:val="0"/>
                      <w:szCs w:val="21"/>
                    </w:rPr>
                    <w:t>12</w:t>
                  </w:r>
                </w:p>
              </w:tc>
              <w:tc>
                <w:tcPr>
                  <w:tcW w:w="533" w:type="pct"/>
                  <w:vAlign w:val="center"/>
                </w:tcPr>
                <w:p w14:paraId="0922046A">
                  <w:pPr>
                    <w:jc w:val="center"/>
                    <w:rPr>
                      <w:color w:val="auto"/>
                      <w:szCs w:val="21"/>
                    </w:rPr>
                  </w:pPr>
                  <w:r>
                    <w:rPr>
                      <w:rFonts w:hint="eastAsia"/>
                      <w:color w:val="auto"/>
                      <w:szCs w:val="21"/>
                    </w:rPr>
                    <w:t>润滑油</w:t>
                  </w:r>
                </w:p>
              </w:tc>
              <w:tc>
                <w:tcPr>
                  <w:tcW w:w="692" w:type="pct"/>
                  <w:vAlign w:val="center"/>
                </w:tcPr>
                <w:p w14:paraId="501C03F8">
                  <w:pPr>
                    <w:adjustRightInd w:val="0"/>
                    <w:snapToGrid w:val="0"/>
                    <w:jc w:val="center"/>
                    <w:rPr>
                      <w:color w:val="auto"/>
                      <w:spacing w:val="5"/>
                      <w:szCs w:val="21"/>
                    </w:rPr>
                  </w:pPr>
                  <w:r>
                    <w:rPr>
                      <w:color w:val="auto"/>
                      <w:spacing w:val="5"/>
                      <w:szCs w:val="21"/>
                    </w:rPr>
                    <w:t>t/a</w:t>
                  </w:r>
                </w:p>
              </w:tc>
              <w:tc>
                <w:tcPr>
                  <w:tcW w:w="749" w:type="pct"/>
                  <w:shd w:val="clear" w:color="auto" w:fill="auto"/>
                  <w:vAlign w:val="center"/>
                </w:tcPr>
                <w:p w14:paraId="6FA8CB80">
                  <w:pPr>
                    <w:jc w:val="center"/>
                    <w:rPr>
                      <w:rFonts w:ascii="Times New Roman" w:hAnsi="Times New Roman" w:eastAsia="宋体" w:cs="Times New Roman"/>
                      <w:color w:val="auto"/>
                      <w:spacing w:val="5"/>
                      <w:kern w:val="2"/>
                      <w:sz w:val="21"/>
                      <w:szCs w:val="21"/>
                      <w:lang w:val="en-US" w:eastAsia="zh-CN" w:bidi="ar-SA"/>
                    </w:rPr>
                  </w:pPr>
                  <w:r>
                    <w:rPr>
                      <w:rFonts w:hint="eastAsia"/>
                      <w:color w:val="auto"/>
                      <w:spacing w:val="5"/>
                      <w:szCs w:val="21"/>
                    </w:rPr>
                    <w:t>5.1</w:t>
                  </w:r>
                </w:p>
              </w:tc>
              <w:tc>
                <w:tcPr>
                  <w:tcW w:w="922" w:type="pct"/>
                  <w:shd w:val="clear" w:color="auto" w:fill="auto"/>
                  <w:vAlign w:val="center"/>
                </w:tcPr>
                <w:p w14:paraId="5EC76EC8">
                  <w:pPr>
                    <w:jc w:val="center"/>
                    <w:rPr>
                      <w:rFonts w:hint="default" w:ascii="Times New Roman" w:hAnsi="Times New Roman" w:cs="Times New Roman" w:eastAsiaTheme="minorEastAsia"/>
                      <w:color w:val="auto"/>
                      <w:spacing w:val="5"/>
                      <w:kern w:val="2"/>
                      <w:sz w:val="21"/>
                      <w:szCs w:val="21"/>
                      <w:highlight w:val="none"/>
                      <w:lang w:val="en-US" w:eastAsia="zh-CN" w:bidi="ar-SA"/>
                    </w:rPr>
                  </w:pPr>
                  <w:r>
                    <w:rPr>
                      <w:rFonts w:hint="eastAsia" w:cs="Times New Roman" w:eastAsiaTheme="minorEastAsia"/>
                      <w:color w:val="auto"/>
                      <w:spacing w:val="5"/>
                      <w:szCs w:val="21"/>
                      <w:highlight w:val="none"/>
                      <w:lang w:val="en-US" w:eastAsia="zh-CN"/>
                    </w:rPr>
                    <w:t>1.72</w:t>
                  </w:r>
                </w:p>
              </w:tc>
              <w:tc>
                <w:tcPr>
                  <w:tcW w:w="715" w:type="pct"/>
                  <w:vAlign w:val="center"/>
                </w:tcPr>
                <w:p w14:paraId="4F17932E">
                  <w:pPr>
                    <w:jc w:val="center"/>
                    <w:rPr>
                      <w:rFonts w:hint="default" w:eastAsia="宋体"/>
                      <w:color w:val="auto"/>
                      <w:spacing w:val="5"/>
                      <w:szCs w:val="21"/>
                      <w:lang w:val="en-US" w:eastAsia="zh-CN"/>
                    </w:rPr>
                  </w:pPr>
                  <w:r>
                    <w:rPr>
                      <w:rFonts w:hint="eastAsia"/>
                      <w:color w:val="auto"/>
                      <w:spacing w:val="5"/>
                      <w:szCs w:val="21"/>
                      <w:lang w:val="en-US" w:eastAsia="zh-CN"/>
                    </w:rPr>
                    <w:t>6.82</w:t>
                  </w:r>
                </w:p>
              </w:tc>
              <w:tc>
                <w:tcPr>
                  <w:tcW w:w="1060" w:type="pct"/>
                  <w:vAlign w:val="center"/>
                </w:tcPr>
                <w:p w14:paraId="7E228E01">
                  <w:pPr>
                    <w:jc w:val="center"/>
                    <w:rPr>
                      <w:color w:val="auto"/>
                      <w:spacing w:val="5"/>
                      <w:szCs w:val="21"/>
                    </w:rPr>
                  </w:pPr>
                  <w:r>
                    <w:rPr>
                      <w:rFonts w:hint="eastAsia" w:cs="Times New Roman" w:eastAsiaTheme="minorEastAsia"/>
                      <w:color w:val="auto"/>
                      <w:spacing w:val="5"/>
                      <w:szCs w:val="21"/>
                      <w:highlight w:val="none"/>
                      <w:lang w:val="en-US" w:eastAsia="zh-CN"/>
                    </w:rPr>
                    <w:t>+1.72</w:t>
                  </w:r>
                </w:p>
              </w:tc>
            </w:tr>
            <w:tr w14:paraId="0920582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325" w:type="pct"/>
                  <w:vAlign w:val="center"/>
                </w:tcPr>
                <w:p w14:paraId="649819E6">
                  <w:pPr>
                    <w:widowControl/>
                    <w:jc w:val="center"/>
                    <w:rPr>
                      <w:rFonts w:hint="default" w:eastAsia="宋体"/>
                      <w:color w:val="auto"/>
                      <w:kern w:val="0"/>
                      <w:szCs w:val="21"/>
                      <w:lang w:val="en-US" w:eastAsia="zh-CN"/>
                    </w:rPr>
                  </w:pPr>
                  <w:r>
                    <w:rPr>
                      <w:rFonts w:hint="eastAsia"/>
                      <w:color w:val="auto"/>
                      <w:kern w:val="0"/>
                      <w:szCs w:val="21"/>
                      <w:lang w:val="en-US" w:eastAsia="zh-CN"/>
                    </w:rPr>
                    <w:t>13</w:t>
                  </w:r>
                </w:p>
              </w:tc>
              <w:tc>
                <w:tcPr>
                  <w:tcW w:w="533" w:type="pct"/>
                  <w:vAlign w:val="center"/>
                </w:tcPr>
                <w:p w14:paraId="10702FE9">
                  <w:pPr>
                    <w:jc w:val="center"/>
                    <w:rPr>
                      <w:color w:val="auto"/>
                      <w:szCs w:val="21"/>
                    </w:rPr>
                  </w:pPr>
                  <w:r>
                    <w:rPr>
                      <w:rFonts w:hint="eastAsia"/>
                      <w:color w:val="auto"/>
                      <w:szCs w:val="21"/>
                    </w:rPr>
                    <w:t>液压油</w:t>
                  </w:r>
                </w:p>
              </w:tc>
              <w:tc>
                <w:tcPr>
                  <w:tcW w:w="692" w:type="pct"/>
                  <w:vAlign w:val="center"/>
                </w:tcPr>
                <w:p w14:paraId="32BF9012">
                  <w:pPr>
                    <w:adjustRightInd w:val="0"/>
                    <w:snapToGrid w:val="0"/>
                    <w:jc w:val="center"/>
                    <w:rPr>
                      <w:color w:val="auto"/>
                      <w:spacing w:val="5"/>
                      <w:szCs w:val="21"/>
                    </w:rPr>
                  </w:pPr>
                  <w:r>
                    <w:rPr>
                      <w:color w:val="auto"/>
                      <w:spacing w:val="5"/>
                      <w:szCs w:val="21"/>
                    </w:rPr>
                    <w:t>t/a</w:t>
                  </w:r>
                </w:p>
              </w:tc>
              <w:tc>
                <w:tcPr>
                  <w:tcW w:w="749" w:type="pct"/>
                  <w:shd w:val="clear" w:color="auto" w:fill="auto"/>
                  <w:vAlign w:val="center"/>
                </w:tcPr>
                <w:p w14:paraId="112152CE">
                  <w:pPr>
                    <w:jc w:val="center"/>
                    <w:rPr>
                      <w:rFonts w:ascii="Times New Roman" w:hAnsi="Times New Roman" w:eastAsia="宋体" w:cs="Times New Roman"/>
                      <w:color w:val="auto"/>
                      <w:spacing w:val="5"/>
                      <w:kern w:val="2"/>
                      <w:sz w:val="21"/>
                      <w:szCs w:val="21"/>
                      <w:lang w:val="en-US" w:eastAsia="zh-CN" w:bidi="ar-SA"/>
                    </w:rPr>
                  </w:pPr>
                  <w:r>
                    <w:rPr>
                      <w:rFonts w:hint="eastAsia"/>
                      <w:color w:val="auto"/>
                      <w:spacing w:val="5"/>
                      <w:szCs w:val="21"/>
                    </w:rPr>
                    <w:t>8</w:t>
                  </w:r>
                </w:p>
              </w:tc>
              <w:tc>
                <w:tcPr>
                  <w:tcW w:w="922" w:type="pct"/>
                  <w:shd w:val="clear" w:color="auto" w:fill="auto"/>
                  <w:vAlign w:val="center"/>
                </w:tcPr>
                <w:p w14:paraId="4571506F">
                  <w:pPr>
                    <w:jc w:val="center"/>
                    <w:rPr>
                      <w:rFonts w:hint="default" w:ascii="Times New Roman" w:hAnsi="Times New Roman" w:cs="Times New Roman" w:eastAsiaTheme="minorEastAsia"/>
                      <w:color w:val="auto"/>
                      <w:spacing w:val="5"/>
                      <w:kern w:val="2"/>
                      <w:sz w:val="21"/>
                      <w:szCs w:val="21"/>
                      <w:highlight w:val="none"/>
                      <w:lang w:val="en-US" w:eastAsia="zh-CN" w:bidi="ar-SA"/>
                    </w:rPr>
                  </w:pPr>
                  <w:r>
                    <w:rPr>
                      <w:rFonts w:hint="eastAsia" w:cs="Times New Roman" w:eastAsiaTheme="minorEastAsia"/>
                      <w:color w:val="auto"/>
                      <w:spacing w:val="5"/>
                      <w:szCs w:val="21"/>
                      <w:highlight w:val="none"/>
                      <w:lang w:val="en-US" w:eastAsia="zh-CN"/>
                    </w:rPr>
                    <w:t>0.87</w:t>
                  </w:r>
                </w:p>
              </w:tc>
              <w:tc>
                <w:tcPr>
                  <w:tcW w:w="715" w:type="pct"/>
                  <w:vAlign w:val="center"/>
                </w:tcPr>
                <w:p w14:paraId="08769394">
                  <w:pPr>
                    <w:jc w:val="center"/>
                    <w:rPr>
                      <w:rFonts w:hint="default" w:eastAsia="宋体"/>
                      <w:color w:val="auto"/>
                      <w:spacing w:val="5"/>
                      <w:szCs w:val="21"/>
                      <w:lang w:val="en-US" w:eastAsia="zh-CN"/>
                    </w:rPr>
                  </w:pPr>
                  <w:r>
                    <w:rPr>
                      <w:rFonts w:hint="eastAsia"/>
                      <w:color w:val="auto"/>
                      <w:spacing w:val="5"/>
                      <w:szCs w:val="21"/>
                      <w:lang w:val="en-US" w:eastAsia="zh-CN"/>
                    </w:rPr>
                    <w:t>8.87</w:t>
                  </w:r>
                </w:p>
              </w:tc>
              <w:tc>
                <w:tcPr>
                  <w:tcW w:w="1060" w:type="pct"/>
                  <w:vAlign w:val="center"/>
                </w:tcPr>
                <w:p w14:paraId="08155ED5">
                  <w:pPr>
                    <w:jc w:val="center"/>
                    <w:rPr>
                      <w:color w:val="auto"/>
                      <w:spacing w:val="5"/>
                      <w:szCs w:val="21"/>
                    </w:rPr>
                  </w:pPr>
                  <w:r>
                    <w:rPr>
                      <w:rFonts w:hint="eastAsia" w:cs="Times New Roman" w:eastAsiaTheme="minorEastAsia"/>
                      <w:color w:val="auto"/>
                      <w:spacing w:val="5"/>
                      <w:szCs w:val="21"/>
                      <w:highlight w:val="none"/>
                      <w:lang w:val="en-US" w:eastAsia="zh-CN"/>
                    </w:rPr>
                    <w:t>+0.87</w:t>
                  </w:r>
                </w:p>
              </w:tc>
            </w:tr>
            <w:tr w14:paraId="0F9E71D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325" w:type="pct"/>
                  <w:vAlign w:val="center"/>
                </w:tcPr>
                <w:p w14:paraId="52589054">
                  <w:pPr>
                    <w:widowControl/>
                    <w:jc w:val="center"/>
                    <w:rPr>
                      <w:rFonts w:hint="default" w:eastAsia="宋体"/>
                      <w:color w:val="auto"/>
                      <w:kern w:val="0"/>
                      <w:szCs w:val="21"/>
                      <w:lang w:val="en-US" w:eastAsia="zh-CN"/>
                    </w:rPr>
                  </w:pPr>
                  <w:r>
                    <w:rPr>
                      <w:rFonts w:hint="eastAsia"/>
                      <w:color w:val="auto"/>
                      <w:kern w:val="0"/>
                      <w:szCs w:val="21"/>
                      <w:lang w:val="en-US" w:eastAsia="zh-CN"/>
                    </w:rPr>
                    <w:t>14</w:t>
                  </w:r>
                </w:p>
              </w:tc>
              <w:tc>
                <w:tcPr>
                  <w:tcW w:w="533" w:type="pct"/>
                  <w:vAlign w:val="center"/>
                </w:tcPr>
                <w:p w14:paraId="2F32962A">
                  <w:pPr>
                    <w:jc w:val="center"/>
                    <w:rPr>
                      <w:color w:val="auto"/>
                      <w:szCs w:val="21"/>
                    </w:rPr>
                  </w:pPr>
                  <w:r>
                    <w:rPr>
                      <w:color w:val="auto"/>
                      <w:szCs w:val="21"/>
                    </w:rPr>
                    <w:t>水</w:t>
                  </w:r>
                </w:p>
              </w:tc>
              <w:tc>
                <w:tcPr>
                  <w:tcW w:w="692" w:type="pct"/>
                  <w:vAlign w:val="center"/>
                </w:tcPr>
                <w:p w14:paraId="23737D31">
                  <w:pPr>
                    <w:adjustRightInd w:val="0"/>
                    <w:snapToGrid w:val="0"/>
                    <w:jc w:val="center"/>
                    <w:rPr>
                      <w:color w:val="auto"/>
                      <w:spacing w:val="5"/>
                      <w:szCs w:val="21"/>
                    </w:rPr>
                  </w:pPr>
                  <w:r>
                    <w:rPr>
                      <w:color w:val="auto"/>
                      <w:spacing w:val="5"/>
                      <w:szCs w:val="21"/>
                    </w:rPr>
                    <w:t>m</w:t>
                  </w:r>
                  <w:r>
                    <w:rPr>
                      <w:color w:val="auto"/>
                      <w:spacing w:val="5"/>
                      <w:szCs w:val="21"/>
                      <w:vertAlign w:val="superscript"/>
                    </w:rPr>
                    <w:t>3</w:t>
                  </w:r>
                  <w:r>
                    <w:rPr>
                      <w:color w:val="auto"/>
                      <w:spacing w:val="5"/>
                      <w:szCs w:val="21"/>
                    </w:rPr>
                    <w:t>/a</w:t>
                  </w:r>
                </w:p>
              </w:tc>
              <w:tc>
                <w:tcPr>
                  <w:tcW w:w="749" w:type="pct"/>
                  <w:shd w:val="clear" w:color="auto" w:fill="auto"/>
                  <w:vAlign w:val="center"/>
                </w:tcPr>
                <w:p w14:paraId="43E927DA">
                  <w:pPr>
                    <w:jc w:val="center"/>
                    <w:rPr>
                      <w:rFonts w:ascii="Times New Roman" w:hAnsi="Times New Roman" w:eastAsia="宋体" w:cs="Times New Roman"/>
                      <w:color w:val="auto"/>
                      <w:kern w:val="2"/>
                      <w:sz w:val="21"/>
                      <w:szCs w:val="21"/>
                      <w:lang w:val="en-US" w:eastAsia="zh-CN" w:bidi="ar-SA"/>
                    </w:rPr>
                  </w:pPr>
                  <w:r>
                    <w:rPr>
                      <w:rFonts w:hint="eastAsia"/>
                      <w:color w:val="auto"/>
                      <w:spacing w:val="5"/>
                      <w:szCs w:val="21"/>
                    </w:rPr>
                    <w:t>25066.55</w:t>
                  </w:r>
                </w:p>
              </w:tc>
              <w:tc>
                <w:tcPr>
                  <w:tcW w:w="922" w:type="pct"/>
                  <w:shd w:val="clear" w:color="auto" w:fill="auto"/>
                  <w:vAlign w:val="center"/>
                </w:tcPr>
                <w:p w14:paraId="3685FDCE">
                  <w:pPr>
                    <w:keepNext w:val="0"/>
                    <w:keepLines w:val="0"/>
                    <w:widowControl/>
                    <w:suppressLineNumbers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0"/>
                      <w:sz w:val="21"/>
                      <w:szCs w:val="21"/>
                      <w:highlight w:val="none"/>
                      <w:lang w:val="en-US" w:eastAsia="zh-CN" w:bidi="ar"/>
                    </w:rPr>
                    <w:t>353</w:t>
                  </w:r>
                  <w:r>
                    <w:rPr>
                      <w:rFonts w:hint="eastAsia" w:ascii="Times New Roman" w:hAnsi="Times New Roman" w:cs="Times New Roman" w:eastAsiaTheme="minorEastAsia"/>
                      <w:color w:val="auto"/>
                      <w:kern w:val="0"/>
                      <w:sz w:val="21"/>
                      <w:szCs w:val="21"/>
                      <w:highlight w:val="none"/>
                      <w:lang w:val="en-US" w:eastAsia="zh-CN" w:bidi="ar"/>
                    </w:rPr>
                    <w:t>00</w:t>
                  </w:r>
                </w:p>
              </w:tc>
              <w:tc>
                <w:tcPr>
                  <w:tcW w:w="1173" w:type="dxa"/>
                  <w:vAlign w:val="center"/>
                </w:tcPr>
                <w:p w14:paraId="65FCA844">
                  <w:pPr>
                    <w:keepNext w:val="0"/>
                    <w:keepLines w:val="0"/>
                    <w:widowControl/>
                    <w:suppressLineNumbers w:val="0"/>
                    <w:jc w:val="center"/>
                    <w:rPr>
                      <w:rFonts w:hint="eastAsia" w:ascii="Times New Roman" w:hAnsi="Times New Roman" w:cs="Times New Roman" w:eastAsiaTheme="minorEastAsia"/>
                      <w:color w:val="auto"/>
                      <w:kern w:val="0"/>
                      <w:sz w:val="21"/>
                      <w:szCs w:val="21"/>
                      <w:highlight w:val="none"/>
                      <w:lang w:val="en-US" w:eastAsia="zh-CN" w:bidi="ar"/>
                    </w:rPr>
                  </w:pPr>
                  <w:r>
                    <w:rPr>
                      <w:rFonts w:hint="eastAsia" w:ascii="Times New Roman" w:hAnsi="Times New Roman" w:cs="Times New Roman" w:eastAsiaTheme="minorEastAsia"/>
                      <w:color w:val="auto"/>
                      <w:kern w:val="0"/>
                      <w:sz w:val="21"/>
                      <w:szCs w:val="21"/>
                      <w:highlight w:val="none"/>
                      <w:lang w:val="en-US" w:eastAsia="zh-CN" w:bidi="ar"/>
                    </w:rPr>
                    <w:t>60366.55</w:t>
                  </w:r>
                </w:p>
              </w:tc>
              <w:tc>
                <w:tcPr>
                  <w:tcW w:w="1060" w:type="pct"/>
                  <w:shd w:val="clear" w:color="auto" w:fill="auto"/>
                  <w:vAlign w:val="center"/>
                </w:tcPr>
                <w:p w14:paraId="11AE091A">
                  <w:pPr>
                    <w:keepNext w:val="0"/>
                    <w:keepLines w:val="0"/>
                    <w:widowControl/>
                    <w:suppressLineNumbers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0"/>
                      <w:sz w:val="21"/>
                      <w:szCs w:val="21"/>
                      <w:highlight w:val="none"/>
                      <w:lang w:val="en-US" w:eastAsia="zh-CN" w:bidi="ar"/>
                    </w:rPr>
                    <w:t>+</w:t>
                  </w:r>
                  <w:r>
                    <w:rPr>
                      <w:rFonts w:hint="default" w:ascii="Times New Roman" w:hAnsi="Times New Roman" w:cs="Times New Roman" w:eastAsiaTheme="minorEastAsia"/>
                      <w:color w:val="auto"/>
                      <w:kern w:val="0"/>
                      <w:sz w:val="21"/>
                      <w:szCs w:val="21"/>
                      <w:highlight w:val="none"/>
                      <w:lang w:val="en-US" w:eastAsia="zh-CN" w:bidi="ar"/>
                    </w:rPr>
                    <w:t>353</w:t>
                  </w:r>
                  <w:r>
                    <w:rPr>
                      <w:rFonts w:hint="eastAsia" w:ascii="Times New Roman" w:hAnsi="Times New Roman" w:cs="Times New Roman" w:eastAsiaTheme="minorEastAsia"/>
                      <w:color w:val="auto"/>
                      <w:kern w:val="0"/>
                      <w:sz w:val="21"/>
                      <w:szCs w:val="21"/>
                      <w:highlight w:val="none"/>
                      <w:lang w:val="en-US" w:eastAsia="zh-CN" w:bidi="ar"/>
                    </w:rPr>
                    <w:t>00</w:t>
                  </w:r>
                </w:p>
              </w:tc>
            </w:tr>
            <w:tr w14:paraId="12C0161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5" w:type="pct"/>
                  <w:vAlign w:val="center"/>
                </w:tcPr>
                <w:p w14:paraId="4F97BCD2">
                  <w:pPr>
                    <w:widowControl/>
                    <w:jc w:val="center"/>
                    <w:rPr>
                      <w:rFonts w:hint="default" w:eastAsia="宋体"/>
                      <w:color w:val="auto"/>
                      <w:kern w:val="0"/>
                      <w:szCs w:val="21"/>
                      <w:lang w:val="en-US" w:eastAsia="zh-CN"/>
                    </w:rPr>
                  </w:pPr>
                  <w:r>
                    <w:rPr>
                      <w:rFonts w:hint="eastAsia"/>
                      <w:color w:val="auto"/>
                      <w:kern w:val="0"/>
                      <w:szCs w:val="21"/>
                      <w:lang w:val="en-US" w:eastAsia="zh-CN"/>
                    </w:rPr>
                    <w:t>15</w:t>
                  </w:r>
                </w:p>
              </w:tc>
              <w:tc>
                <w:tcPr>
                  <w:tcW w:w="533" w:type="pct"/>
                  <w:vAlign w:val="center"/>
                </w:tcPr>
                <w:p w14:paraId="000492AC">
                  <w:pPr>
                    <w:jc w:val="center"/>
                    <w:rPr>
                      <w:color w:val="auto"/>
                      <w:szCs w:val="21"/>
                    </w:rPr>
                  </w:pPr>
                  <w:r>
                    <w:rPr>
                      <w:color w:val="auto"/>
                      <w:szCs w:val="21"/>
                    </w:rPr>
                    <w:t>电</w:t>
                  </w:r>
                </w:p>
              </w:tc>
              <w:tc>
                <w:tcPr>
                  <w:tcW w:w="692" w:type="pct"/>
                  <w:vAlign w:val="center"/>
                </w:tcPr>
                <w:p w14:paraId="14451F10">
                  <w:pPr>
                    <w:adjustRightInd w:val="0"/>
                    <w:snapToGrid w:val="0"/>
                    <w:jc w:val="center"/>
                    <w:rPr>
                      <w:color w:val="auto"/>
                      <w:spacing w:val="5"/>
                      <w:szCs w:val="21"/>
                    </w:rPr>
                  </w:pPr>
                  <w:r>
                    <w:rPr>
                      <w:color w:val="auto"/>
                      <w:spacing w:val="5"/>
                      <w:szCs w:val="21"/>
                      <w:lang w:val="zh-CN"/>
                    </w:rPr>
                    <w:t>万</w:t>
                  </w:r>
                  <w:r>
                    <w:rPr>
                      <w:color w:val="auto"/>
                      <w:spacing w:val="5"/>
                      <w:szCs w:val="21"/>
                    </w:rPr>
                    <w:t>kWh/a</w:t>
                  </w:r>
                </w:p>
              </w:tc>
              <w:tc>
                <w:tcPr>
                  <w:tcW w:w="749" w:type="pct"/>
                  <w:shd w:val="clear" w:color="auto" w:fill="auto"/>
                  <w:vAlign w:val="center"/>
                </w:tcPr>
                <w:p w14:paraId="6180B9B5">
                  <w:pPr>
                    <w:jc w:val="center"/>
                    <w:rPr>
                      <w:rFonts w:ascii="Times New Roman" w:hAnsi="Times New Roman" w:eastAsia="宋体" w:cs="Times New Roman"/>
                      <w:color w:val="auto"/>
                      <w:kern w:val="2"/>
                      <w:sz w:val="21"/>
                      <w:szCs w:val="21"/>
                      <w:lang w:val="en-US" w:eastAsia="zh-CN" w:bidi="ar-SA"/>
                    </w:rPr>
                  </w:pPr>
                  <w:r>
                    <w:rPr>
                      <w:rFonts w:hint="eastAsia"/>
                      <w:color w:val="auto"/>
                      <w:szCs w:val="21"/>
                    </w:rPr>
                    <w:t>450</w:t>
                  </w:r>
                </w:p>
              </w:tc>
              <w:tc>
                <w:tcPr>
                  <w:tcW w:w="922" w:type="pct"/>
                  <w:shd w:val="clear" w:color="auto" w:fill="auto"/>
                  <w:vAlign w:val="center"/>
                </w:tcPr>
                <w:p w14:paraId="64705859">
                  <w:pPr>
                    <w:keepNext w:val="0"/>
                    <w:keepLines w:val="0"/>
                    <w:widowControl/>
                    <w:suppressLineNumbers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0"/>
                      <w:sz w:val="21"/>
                      <w:szCs w:val="21"/>
                      <w:highlight w:val="none"/>
                      <w:lang w:val="en-US" w:eastAsia="zh-CN" w:bidi="ar"/>
                    </w:rPr>
                    <w:t>3659.69</w:t>
                  </w:r>
                </w:p>
              </w:tc>
              <w:tc>
                <w:tcPr>
                  <w:tcW w:w="1173" w:type="dxa"/>
                  <w:vAlign w:val="center"/>
                </w:tcPr>
                <w:p w14:paraId="0D8FAB09">
                  <w:pPr>
                    <w:keepNext w:val="0"/>
                    <w:keepLines w:val="0"/>
                    <w:widowControl/>
                    <w:suppressLineNumbers w:val="0"/>
                    <w:jc w:val="center"/>
                    <w:rPr>
                      <w:rFonts w:hint="eastAsia" w:ascii="Times New Roman" w:hAnsi="Times New Roman" w:cs="Times New Roman" w:eastAsiaTheme="minorEastAsia"/>
                      <w:color w:val="auto"/>
                      <w:kern w:val="0"/>
                      <w:sz w:val="21"/>
                      <w:szCs w:val="21"/>
                      <w:highlight w:val="none"/>
                      <w:lang w:val="en-US" w:eastAsia="zh-CN" w:bidi="ar"/>
                    </w:rPr>
                  </w:pPr>
                  <w:r>
                    <w:rPr>
                      <w:rFonts w:hint="eastAsia" w:ascii="Times New Roman" w:hAnsi="Times New Roman" w:cs="Times New Roman" w:eastAsiaTheme="minorEastAsia"/>
                      <w:color w:val="auto"/>
                      <w:kern w:val="0"/>
                      <w:sz w:val="21"/>
                      <w:szCs w:val="21"/>
                      <w:highlight w:val="none"/>
                      <w:lang w:val="en-US" w:eastAsia="zh-CN" w:bidi="ar"/>
                    </w:rPr>
                    <w:t>4109.69</w:t>
                  </w:r>
                </w:p>
              </w:tc>
              <w:tc>
                <w:tcPr>
                  <w:tcW w:w="1060" w:type="pct"/>
                  <w:shd w:val="clear" w:color="auto" w:fill="auto"/>
                  <w:vAlign w:val="center"/>
                </w:tcPr>
                <w:p w14:paraId="5104C0C5">
                  <w:pPr>
                    <w:keepNext w:val="0"/>
                    <w:keepLines w:val="0"/>
                    <w:widowControl/>
                    <w:suppressLineNumbers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0"/>
                      <w:sz w:val="21"/>
                      <w:szCs w:val="21"/>
                      <w:highlight w:val="none"/>
                      <w:lang w:val="en-US" w:eastAsia="zh-CN" w:bidi="ar"/>
                    </w:rPr>
                    <w:t>+</w:t>
                  </w:r>
                  <w:r>
                    <w:rPr>
                      <w:rFonts w:hint="default" w:ascii="Times New Roman" w:hAnsi="Times New Roman" w:cs="Times New Roman" w:eastAsiaTheme="minorEastAsia"/>
                      <w:color w:val="auto"/>
                      <w:kern w:val="0"/>
                      <w:sz w:val="21"/>
                      <w:szCs w:val="21"/>
                      <w:highlight w:val="none"/>
                      <w:lang w:val="en-US" w:eastAsia="zh-CN" w:bidi="ar"/>
                    </w:rPr>
                    <w:t>3659.69</w:t>
                  </w:r>
                </w:p>
              </w:tc>
            </w:tr>
            <w:tr w14:paraId="3FA6A47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325" w:type="pct"/>
                  <w:vAlign w:val="center"/>
                </w:tcPr>
                <w:p w14:paraId="2F975999">
                  <w:pPr>
                    <w:widowControl/>
                    <w:jc w:val="center"/>
                    <w:rPr>
                      <w:rFonts w:hint="default" w:eastAsia="宋体"/>
                      <w:color w:val="auto"/>
                      <w:kern w:val="0"/>
                      <w:szCs w:val="21"/>
                      <w:lang w:val="en-US" w:eastAsia="zh-CN"/>
                    </w:rPr>
                  </w:pPr>
                  <w:r>
                    <w:rPr>
                      <w:rFonts w:hint="eastAsia"/>
                      <w:color w:val="auto"/>
                      <w:kern w:val="0"/>
                      <w:szCs w:val="21"/>
                      <w:lang w:val="en-US" w:eastAsia="zh-CN"/>
                    </w:rPr>
                    <w:t>16</w:t>
                  </w:r>
                </w:p>
              </w:tc>
              <w:tc>
                <w:tcPr>
                  <w:tcW w:w="533" w:type="pct"/>
                  <w:shd w:val="clear" w:color="auto" w:fill="auto"/>
                  <w:vAlign w:val="center"/>
                </w:tcPr>
                <w:p w14:paraId="38B264D0">
                  <w:pPr>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天然气</w:t>
                  </w:r>
                </w:p>
              </w:tc>
              <w:tc>
                <w:tcPr>
                  <w:tcW w:w="692" w:type="pct"/>
                  <w:shd w:val="clear" w:color="auto" w:fill="auto"/>
                  <w:vAlign w:val="center"/>
                </w:tcPr>
                <w:p w14:paraId="7E6BE657">
                  <w:pPr>
                    <w:adjustRightInd w:val="0"/>
                    <w:snapToGrid w:val="0"/>
                    <w:jc w:val="center"/>
                    <w:rPr>
                      <w:rFonts w:hint="default" w:ascii="Times New Roman" w:hAnsi="Times New Roman" w:cs="Times New Roman" w:eastAsiaTheme="minorEastAsia"/>
                      <w:color w:val="auto"/>
                      <w:spacing w:val="5"/>
                      <w:kern w:val="2"/>
                      <w:sz w:val="21"/>
                      <w:szCs w:val="21"/>
                      <w:highlight w:val="none"/>
                      <w:lang w:val="zh-CN" w:eastAsia="zh-CN" w:bidi="ar-SA"/>
                    </w:rPr>
                  </w:pPr>
                  <w:r>
                    <w:rPr>
                      <w:rFonts w:hint="default" w:ascii="Times New Roman" w:hAnsi="Times New Roman" w:cs="Times New Roman" w:eastAsiaTheme="minorEastAsia"/>
                      <w:color w:val="auto"/>
                      <w:spacing w:val="5"/>
                      <w:sz w:val="21"/>
                      <w:szCs w:val="21"/>
                      <w:highlight w:val="none"/>
                      <w:lang w:val="en-US" w:eastAsia="zh-CN"/>
                    </w:rPr>
                    <w:t>万</w:t>
                  </w:r>
                  <w:r>
                    <w:rPr>
                      <w:rFonts w:hint="default" w:ascii="Times New Roman" w:hAnsi="Times New Roman" w:cs="Times New Roman" w:eastAsiaTheme="minorEastAsia"/>
                      <w:color w:val="auto"/>
                      <w:spacing w:val="5"/>
                      <w:sz w:val="21"/>
                      <w:szCs w:val="21"/>
                      <w:highlight w:val="none"/>
                    </w:rPr>
                    <w:t>m</w:t>
                  </w:r>
                  <w:r>
                    <w:rPr>
                      <w:rFonts w:hint="default" w:ascii="Times New Roman" w:hAnsi="Times New Roman" w:cs="Times New Roman" w:eastAsiaTheme="minorEastAsia"/>
                      <w:color w:val="auto"/>
                      <w:spacing w:val="5"/>
                      <w:sz w:val="21"/>
                      <w:szCs w:val="21"/>
                      <w:highlight w:val="none"/>
                      <w:vertAlign w:val="superscript"/>
                    </w:rPr>
                    <w:t>3</w:t>
                  </w:r>
                  <w:r>
                    <w:rPr>
                      <w:rFonts w:hint="default" w:ascii="Times New Roman" w:hAnsi="Times New Roman" w:cs="Times New Roman" w:eastAsiaTheme="minorEastAsia"/>
                      <w:color w:val="auto"/>
                      <w:spacing w:val="5"/>
                      <w:sz w:val="21"/>
                      <w:szCs w:val="21"/>
                      <w:highlight w:val="none"/>
                    </w:rPr>
                    <w:t>/a</w:t>
                  </w:r>
                </w:p>
              </w:tc>
              <w:tc>
                <w:tcPr>
                  <w:tcW w:w="749" w:type="pct"/>
                  <w:shd w:val="clear" w:color="auto" w:fill="auto"/>
                  <w:vAlign w:val="center"/>
                </w:tcPr>
                <w:p w14:paraId="0AA5B92B">
                  <w:pPr>
                    <w:keepNext w:val="0"/>
                    <w:keepLines w:val="0"/>
                    <w:widowControl/>
                    <w:suppressLineNumbers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0</w:t>
                  </w:r>
                </w:p>
              </w:tc>
              <w:tc>
                <w:tcPr>
                  <w:tcW w:w="922" w:type="pct"/>
                  <w:shd w:val="clear" w:color="auto" w:fill="auto"/>
                  <w:vAlign w:val="center"/>
                </w:tcPr>
                <w:p w14:paraId="412054FD">
                  <w:pPr>
                    <w:keepNext w:val="0"/>
                    <w:keepLines w:val="0"/>
                    <w:widowControl/>
                    <w:suppressLineNumbers w:val="0"/>
                    <w:jc w:val="center"/>
                    <w:rPr>
                      <w:rFonts w:hint="default" w:ascii="Times New Roman" w:hAnsi="Times New Roman" w:cs="Times New Roman" w:eastAsiaTheme="minorEastAsia"/>
                      <w:color w:val="auto"/>
                      <w:kern w:val="0"/>
                      <w:sz w:val="21"/>
                      <w:szCs w:val="21"/>
                      <w:highlight w:val="none"/>
                      <w:lang w:val="en-US" w:eastAsia="zh-CN" w:bidi="ar"/>
                    </w:rPr>
                  </w:pPr>
                  <w:r>
                    <w:rPr>
                      <w:rFonts w:hint="default" w:ascii="Times New Roman" w:hAnsi="Times New Roman" w:cs="Times New Roman" w:eastAsiaTheme="minorEastAsia"/>
                      <w:color w:val="auto"/>
                      <w:kern w:val="0"/>
                      <w:sz w:val="21"/>
                      <w:szCs w:val="21"/>
                      <w:highlight w:val="none"/>
                      <w:lang w:val="en-US" w:eastAsia="zh-CN" w:bidi="ar"/>
                    </w:rPr>
                    <w:t>435.60</w:t>
                  </w:r>
                </w:p>
              </w:tc>
              <w:tc>
                <w:tcPr>
                  <w:tcW w:w="715" w:type="pct"/>
                  <w:vAlign w:val="center"/>
                </w:tcPr>
                <w:p w14:paraId="202E4F89">
                  <w:pPr>
                    <w:jc w:val="center"/>
                    <w:rPr>
                      <w:color w:val="auto"/>
                      <w:szCs w:val="21"/>
                    </w:rPr>
                  </w:pPr>
                  <w:r>
                    <w:rPr>
                      <w:rFonts w:hint="default" w:ascii="Times New Roman" w:hAnsi="Times New Roman" w:cs="Times New Roman" w:eastAsiaTheme="minorEastAsia"/>
                      <w:color w:val="auto"/>
                      <w:kern w:val="0"/>
                      <w:sz w:val="21"/>
                      <w:szCs w:val="21"/>
                      <w:highlight w:val="none"/>
                      <w:lang w:val="en-US" w:eastAsia="zh-CN" w:bidi="ar"/>
                    </w:rPr>
                    <w:t>435.60</w:t>
                  </w:r>
                </w:p>
              </w:tc>
              <w:tc>
                <w:tcPr>
                  <w:tcW w:w="1060" w:type="pct"/>
                  <w:shd w:val="clear" w:color="auto" w:fill="auto"/>
                  <w:vAlign w:val="center"/>
                </w:tcPr>
                <w:p w14:paraId="03E677A3">
                  <w:pPr>
                    <w:keepNext w:val="0"/>
                    <w:keepLines w:val="0"/>
                    <w:widowControl/>
                    <w:suppressLineNumbers w:val="0"/>
                    <w:jc w:val="center"/>
                    <w:rPr>
                      <w:rFonts w:hint="eastAsia" w:ascii="Times New Roman" w:hAnsi="Times New Roman" w:cs="Times New Roman" w:eastAsiaTheme="minorEastAsia"/>
                      <w:color w:val="auto"/>
                      <w:kern w:val="0"/>
                      <w:sz w:val="21"/>
                      <w:szCs w:val="21"/>
                      <w:highlight w:val="none"/>
                      <w:lang w:val="en-US" w:eastAsia="zh-CN" w:bidi="ar"/>
                    </w:rPr>
                  </w:pPr>
                  <w:r>
                    <w:rPr>
                      <w:rFonts w:hint="eastAsia" w:ascii="Times New Roman" w:hAnsi="Times New Roman" w:cs="Times New Roman" w:eastAsiaTheme="minorEastAsia"/>
                      <w:color w:val="auto"/>
                      <w:kern w:val="0"/>
                      <w:sz w:val="21"/>
                      <w:szCs w:val="21"/>
                      <w:highlight w:val="none"/>
                      <w:lang w:val="en-US" w:eastAsia="zh-CN" w:bidi="ar"/>
                    </w:rPr>
                    <w:t>+</w:t>
                  </w:r>
                  <w:r>
                    <w:rPr>
                      <w:rFonts w:hint="default" w:ascii="Times New Roman" w:hAnsi="Times New Roman" w:cs="Times New Roman" w:eastAsiaTheme="minorEastAsia"/>
                      <w:color w:val="auto"/>
                      <w:kern w:val="0"/>
                      <w:sz w:val="21"/>
                      <w:szCs w:val="21"/>
                      <w:highlight w:val="none"/>
                      <w:lang w:val="en-US" w:eastAsia="zh-CN" w:bidi="ar"/>
                    </w:rPr>
                    <w:t>435.60</w:t>
                  </w:r>
                </w:p>
              </w:tc>
            </w:tr>
          </w:tbl>
          <w:p w14:paraId="795537C6">
            <w:pPr>
              <w:pStyle w:val="10"/>
              <w:rPr>
                <w:rFonts w:hint="eastAsia"/>
                <w:color w:val="auto"/>
                <w:highlight w:val="none"/>
                <w:lang w:val="en-US" w:eastAsia="zh-CN"/>
              </w:rPr>
            </w:pPr>
            <w:r>
              <w:rPr>
                <w:rFonts w:hint="eastAsia"/>
                <w:color w:val="auto"/>
                <w:highlight w:val="none"/>
              </w:rPr>
              <w:t>表2</w:t>
            </w:r>
            <w:r>
              <w:rPr>
                <w:rFonts w:hint="eastAsia"/>
                <w:color w:val="auto"/>
                <w:highlight w:val="none"/>
                <w:lang w:eastAsia="zh-CN"/>
              </w:rPr>
              <w:t>-</w:t>
            </w:r>
            <w:r>
              <w:rPr>
                <w:rFonts w:hint="eastAsia"/>
                <w:color w:val="auto"/>
                <w:highlight w:val="none"/>
                <w:lang w:val="en-US" w:eastAsia="zh-CN"/>
              </w:rPr>
              <w:t>6</w:t>
            </w:r>
            <w:r>
              <w:rPr>
                <w:rFonts w:hint="eastAsia"/>
                <w:color w:val="auto"/>
                <w:highlight w:val="none"/>
              </w:rPr>
              <w:t>本项目</w:t>
            </w:r>
            <w:r>
              <w:rPr>
                <w:rFonts w:hint="eastAsia"/>
                <w:color w:val="auto"/>
                <w:highlight w:val="none"/>
                <w:lang w:val="en-US" w:eastAsia="zh-CN"/>
              </w:rPr>
              <w:t>各燃烧设施天然气用量</w:t>
            </w:r>
            <w:r>
              <w:rPr>
                <w:rFonts w:hint="eastAsia"/>
                <w:color w:val="auto"/>
                <w:highlight w:val="none"/>
              </w:rPr>
              <w:t>一览表</w:t>
            </w:r>
          </w:p>
          <w:tbl>
            <w:tblPr>
              <w:tblStyle w:val="33"/>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9"/>
              <w:gridCol w:w="2359"/>
              <w:gridCol w:w="745"/>
              <w:gridCol w:w="1439"/>
              <w:gridCol w:w="1270"/>
              <w:gridCol w:w="1804"/>
            </w:tblGrid>
            <w:tr w14:paraId="5B49CD0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409" w:type="pct"/>
                  <w:vAlign w:val="center"/>
                </w:tcPr>
                <w:p w14:paraId="3A95FF9F">
                  <w:pPr>
                    <w:widowControl/>
                    <w:jc w:val="center"/>
                    <w:rPr>
                      <w:rFonts w:hint="default" w:ascii="Times New Roman" w:hAnsi="Times New Roman" w:cs="Times New Roman" w:eastAsiaTheme="minorEastAsia"/>
                      <w:color w:val="auto"/>
                      <w:kern w:val="0"/>
                      <w:szCs w:val="21"/>
                      <w:highlight w:val="none"/>
                    </w:rPr>
                  </w:pPr>
                  <w:r>
                    <w:rPr>
                      <w:rFonts w:hint="default" w:ascii="Times New Roman" w:hAnsi="Times New Roman" w:cs="Times New Roman" w:eastAsiaTheme="minorEastAsia"/>
                      <w:color w:val="auto"/>
                      <w:kern w:val="0"/>
                      <w:szCs w:val="21"/>
                      <w:highlight w:val="none"/>
                    </w:rPr>
                    <w:t>序号</w:t>
                  </w:r>
                </w:p>
              </w:tc>
              <w:tc>
                <w:tcPr>
                  <w:tcW w:w="1421" w:type="pct"/>
                  <w:vAlign w:val="center"/>
                </w:tcPr>
                <w:p w14:paraId="3DC3F651">
                  <w:pPr>
                    <w:jc w:val="center"/>
                    <w:rPr>
                      <w:rFonts w:hint="eastAsia" w:ascii="Times New Roman" w:hAnsi="Times New Roman" w:cs="Times New Roman" w:eastAsiaTheme="minorEastAsia"/>
                      <w:color w:val="auto"/>
                      <w:szCs w:val="21"/>
                      <w:highlight w:val="none"/>
                      <w:lang w:eastAsia="zh-CN"/>
                    </w:rPr>
                  </w:pPr>
                  <w:r>
                    <w:rPr>
                      <w:rFonts w:hint="eastAsia" w:ascii="Times New Roman" w:hAnsi="Times New Roman" w:cs="Times New Roman" w:eastAsiaTheme="minorEastAsia"/>
                      <w:color w:val="auto"/>
                      <w:szCs w:val="21"/>
                      <w:highlight w:val="none"/>
                      <w:lang w:val="en-US" w:eastAsia="zh-CN"/>
                    </w:rPr>
                    <w:t>用气点</w:t>
                  </w:r>
                </w:p>
              </w:tc>
              <w:tc>
                <w:tcPr>
                  <w:tcW w:w="449" w:type="pct"/>
                  <w:vAlign w:val="center"/>
                </w:tcPr>
                <w:p w14:paraId="54BE1DB6">
                  <w:pPr>
                    <w:widowControl/>
                    <w:jc w:val="center"/>
                    <w:rPr>
                      <w:rFonts w:hint="eastAsia" w:ascii="Times New Roman" w:hAnsi="Times New Roman" w:cs="Times New Roman" w:eastAsiaTheme="minorEastAsia"/>
                      <w:color w:val="auto"/>
                      <w:kern w:val="0"/>
                      <w:szCs w:val="21"/>
                      <w:highlight w:val="none"/>
                      <w:lang w:eastAsia="zh-CN"/>
                    </w:rPr>
                  </w:pPr>
                  <w:r>
                    <w:rPr>
                      <w:rFonts w:hint="eastAsia" w:ascii="Times New Roman" w:hAnsi="Times New Roman" w:cs="Times New Roman" w:eastAsiaTheme="minorEastAsia"/>
                      <w:color w:val="auto"/>
                      <w:kern w:val="0"/>
                      <w:szCs w:val="21"/>
                      <w:highlight w:val="none"/>
                      <w:lang w:val="en-US" w:eastAsia="zh-CN"/>
                    </w:rPr>
                    <w:t>数量</w:t>
                  </w:r>
                </w:p>
              </w:tc>
              <w:tc>
                <w:tcPr>
                  <w:tcW w:w="867" w:type="pct"/>
                  <w:vAlign w:val="center"/>
                </w:tcPr>
                <w:p w14:paraId="5AC8376D">
                  <w:pPr>
                    <w:widowControl/>
                    <w:jc w:val="center"/>
                    <w:rPr>
                      <w:rFonts w:hint="default" w:ascii="Times New Roman" w:hAnsi="Times New Roman" w:cs="Times New Roman" w:eastAsiaTheme="minorEastAsia"/>
                      <w:color w:val="auto"/>
                      <w:kern w:val="0"/>
                      <w:szCs w:val="21"/>
                      <w:highlight w:val="none"/>
                    </w:rPr>
                  </w:pPr>
                  <w:r>
                    <w:rPr>
                      <w:rFonts w:hint="default" w:ascii="Times New Roman" w:hAnsi="Times New Roman" w:cs="Times New Roman" w:eastAsiaTheme="minorEastAsia"/>
                      <w:color w:val="auto"/>
                      <w:kern w:val="0"/>
                      <w:szCs w:val="21"/>
                      <w:highlight w:val="none"/>
                    </w:rPr>
                    <w:t>用</w:t>
                  </w:r>
                  <w:r>
                    <w:rPr>
                      <w:rFonts w:hint="eastAsia" w:ascii="Times New Roman" w:hAnsi="Times New Roman" w:cs="Times New Roman" w:eastAsiaTheme="minorEastAsia"/>
                      <w:color w:val="auto"/>
                      <w:kern w:val="0"/>
                      <w:szCs w:val="21"/>
                      <w:highlight w:val="none"/>
                      <w:lang w:val="en-US" w:eastAsia="zh-CN"/>
                    </w:rPr>
                    <w:t>气</w:t>
                  </w:r>
                  <w:r>
                    <w:rPr>
                      <w:rFonts w:hint="default" w:ascii="Times New Roman" w:hAnsi="Times New Roman" w:cs="Times New Roman" w:eastAsiaTheme="minorEastAsia"/>
                      <w:color w:val="auto"/>
                      <w:kern w:val="0"/>
                      <w:szCs w:val="21"/>
                      <w:highlight w:val="none"/>
                    </w:rPr>
                    <w:t>量</w:t>
                  </w:r>
                  <w:r>
                    <w:rPr>
                      <w:rFonts w:hint="default" w:ascii="Times New Roman" w:hAnsi="Times New Roman" w:cs="Times New Roman" w:eastAsiaTheme="minorEastAsia"/>
                      <w:color w:val="auto"/>
                      <w:spacing w:val="5"/>
                      <w:sz w:val="21"/>
                      <w:szCs w:val="21"/>
                      <w:highlight w:val="none"/>
                    </w:rPr>
                    <w:t>m</w:t>
                  </w:r>
                  <w:r>
                    <w:rPr>
                      <w:rFonts w:hint="default" w:ascii="Times New Roman" w:hAnsi="Times New Roman" w:cs="Times New Roman" w:eastAsiaTheme="minorEastAsia"/>
                      <w:color w:val="auto"/>
                      <w:spacing w:val="5"/>
                      <w:sz w:val="21"/>
                      <w:szCs w:val="21"/>
                      <w:highlight w:val="none"/>
                      <w:vertAlign w:val="superscript"/>
                    </w:rPr>
                    <w:t>3</w:t>
                  </w:r>
                  <w:r>
                    <w:rPr>
                      <w:rFonts w:hint="default" w:ascii="Times New Roman" w:hAnsi="Times New Roman" w:cs="Times New Roman" w:eastAsiaTheme="minorEastAsia"/>
                      <w:color w:val="auto"/>
                      <w:spacing w:val="5"/>
                      <w:sz w:val="21"/>
                      <w:szCs w:val="21"/>
                      <w:highlight w:val="none"/>
                    </w:rPr>
                    <w:t>/</w:t>
                  </w:r>
                  <w:r>
                    <w:rPr>
                      <w:rFonts w:hint="eastAsia" w:ascii="Times New Roman" w:hAnsi="Times New Roman" w:cs="Times New Roman" w:eastAsiaTheme="minorEastAsia"/>
                      <w:color w:val="auto"/>
                      <w:kern w:val="0"/>
                      <w:szCs w:val="21"/>
                      <w:highlight w:val="none"/>
                      <w:lang w:val="en-US" w:eastAsia="zh-CN"/>
                    </w:rPr>
                    <w:t>h</w:t>
                  </w:r>
                </w:p>
              </w:tc>
              <w:tc>
                <w:tcPr>
                  <w:tcW w:w="765" w:type="pct"/>
                  <w:vAlign w:val="center"/>
                </w:tcPr>
                <w:p w14:paraId="1F308DA1">
                  <w:pPr>
                    <w:widowControl/>
                    <w:jc w:val="center"/>
                    <w:rPr>
                      <w:rFonts w:hint="default" w:ascii="Times New Roman" w:hAnsi="Times New Roman" w:cs="Times New Roman" w:eastAsiaTheme="minorEastAsia"/>
                      <w:color w:val="auto"/>
                      <w:kern w:val="0"/>
                      <w:szCs w:val="21"/>
                      <w:highlight w:val="none"/>
                      <w:lang w:val="en-US" w:eastAsia="zh-CN"/>
                    </w:rPr>
                  </w:pPr>
                  <w:r>
                    <w:rPr>
                      <w:rFonts w:hint="eastAsia" w:ascii="Times New Roman" w:hAnsi="Times New Roman" w:cs="Times New Roman" w:eastAsiaTheme="minorEastAsia"/>
                      <w:color w:val="auto"/>
                      <w:kern w:val="0"/>
                      <w:szCs w:val="21"/>
                      <w:highlight w:val="none"/>
                      <w:lang w:val="en-US" w:eastAsia="zh-CN"/>
                    </w:rPr>
                    <w:t>使用时间h</w:t>
                  </w:r>
                </w:p>
              </w:tc>
              <w:tc>
                <w:tcPr>
                  <w:tcW w:w="1087" w:type="pct"/>
                  <w:vAlign w:val="center"/>
                </w:tcPr>
                <w:p w14:paraId="010F32A6">
                  <w:pPr>
                    <w:widowControl/>
                    <w:jc w:val="center"/>
                    <w:rPr>
                      <w:rFonts w:hint="eastAsia" w:ascii="Times New Roman" w:hAnsi="Times New Roman" w:cs="Times New Roman" w:eastAsiaTheme="minorEastAsia"/>
                      <w:color w:val="auto"/>
                      <w:kern w:val="0"/>
                      <w:szCs w:val="21"/>
                      <w:highlight w:val="none"/>
                      <w:lang w:val="en-US" w:eastAsia="zh-CN"/>
                    </w:rPr>
                  </w:pPr>
                  <w:r>
                    <w:rPr>
                      <w:rFonts w:hint="eastAsia" w:ascii="Times New Roman" w:hAnsi="Times New Roman" w:cs="Times New Roman" w:eastAsiaTheme="minorEastAsia"/>
                      <w:color w:val="auto"/>
                      <w:kern w:val="0"/>
                      <w:szCs w:val="21"/>
                      <w:highlight w:val="none"/>
                      <w:lang w:val="en-US" w:eastAsia="zh-CN"/>
                    </w:rPr>
                    <w:t>年用气量</w:t>
                  </w:r>
                  <w:r>
                    <w:rPr>
                      <w:rFonts w:hint="default" w:ascii="Times New Roman" w:hAnsi="Times New Roman" w:cs="Times New Roman" w:eastAsiaTheme="minorEastAsia"/>
                      <w:color w:val="auto"/>
                      <w:spacing w:val="5"/>
                      <w:sz w:val="21"/>
                      <w:szCs w:val="21"/>
                      <w:highlight w:val="none"/>
                      <w:lang w:val="en-US" w:eastAsia="zh-CN"/>
                    </w:rPr>
                    <w:t>万</w:t>
                  </w:r>
                  <w:r>
                    <w:rPr>
                      <w:rFonts w:hint="default" w:ascii="Times New Roman" w:hAnsi="Times New Roman" w:cs="Times New Roman" w:eastAsiaTheme="minorEastAsia"/>
                      <w:color w:val="auto"/>
                      <w:spacing w:val="5"/>
                      <w:sz w:val="21"/>
                      <w:szCs w:val="21"/>
                      <w:highlight w:val="none"/>
                    </w:rPr>
                    <w:t>m</w:t>
                  </w:r>
                  <w:r>
                    <w:rPr>
                      <w:rFonts w:hint="default" w:ascii="Times New Roman" w:hAnsi="Times New Roman" w:cs="Times New Roman" w:eastAsiaTheme="minorEastAsia"/>
                      <w:color w:val="auto"/>
                      <w:spacing w:val="5"/>
                      <w:sz w:val="21"/>
                      <w:szCs w:val="21"/>
                      <w:highlight w:val="none"/>
                      <w:vertAlign w:val="superscript"/>
                    </w:rPr>
                    <w:t>3</w:t>
                  </w:r>
                  <w:r>
                    <w:rPr>
                      <w:rFonts w:hint="default" w:ascii="Times New Roman" w:hAnsi="Times New Roman" w:cs="Times New Roman" w:eastAsiaTheme="minorEastAsia"/>
                      <w:color w:val="auto"/>
                      <w:spacing w:val="5"/>
                      <w:sz w:val="21"/>
                      <w:szCs w:val="21"/>
                      <w:highlight w:val="none"/>
                    </w:rPr>
                    <w:t>/a</w:t>
                  </w:r>
                </w:p>
              </w:tc>
            </w:tr>
            <w:tr w14:paraId="60CDA46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9" w:type="pct"/>
                  <w:vAlign w:val="center"/>
                </w:tcPr>
                <w:p w14:paraId="0F39C073">
                  <w:pPr>
                    <w:jc w:val="center"/>
                    <w:rPr>
                      <w:rFonts w:hint="default" w:ascii="Times New Roman" w:hAnsi="Times New Roman" w:cs="Times New Roman" w:eastAsiaTheme="minorEastAsia"/>
                      <w:color w:val="auto"/>
                      <w:kern w:val="0"/>
                      <w:szCs w:val="21"/>
                      <w:highlight w:val="none"/>
                    </w:rPr>
                  </w:pPr>
                </w:p>
              </w:tc>
              <w:tc>
                <w:tcPr>
                  <w:tcW w:w="1421" w:type="pct"/>
                  <w:vAlign w:val="center"/>
                </w:tcPr>
                <w:p w14:paraId="070AA2B0">
                  <w:pPr>
                    <w:keepNext w:val="0"/>
                    <w:keepLines w:val="0"/>
                    <w:widowControl/>
                    <w:suppressLineNumbers w:val="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自由锻生产线</w:t>
                  </w:r>
                </w:p>
              </w:tc>
              <w:tc>
                <w:tcPr>
                  <w:tcW w:w="449" w:type="pct"/>
                  <w:vAlign w:val="center"/>
                </w:tcPr>
                <w:p w14:paraId="57D20E7C">
                  <w:pPr>
                    <w:adjustRightInd w:val="0"/>
                    <w:snapToGrid w:val="0"/>
                    <w:jc w:val="center"/>
                    <w:rPr>
                      <w:rFonts w:hint="default" w:ascii="Times New Roman" w:hAnsi="Times New Roman" w:cs="Times New Roman" w:eastAsiaTheme="minorEastAsia"/>
                      <w:color w:val="auto"/>
                      <w:spacing w:val="5"/>
                      <w:sz w:val="21"/>
                      <w:szCs w:val="21"/>
                      <w:highlight w:val="none"/>
                    </w:rPr>
                  </w:pPr>
                </w:p>
              </w:tc>
              <w:tc>
                <w:tcPr>
                  <w:tcW w:w="867" w:type="pct"/>
                  <w:vAlign w:val="center"/>
                </w:tcPr>
                <w:p w14:paraId="42F91DF5">
                  <w:pPr>
                    <w:keepNext w:val="0"/>
                    <w:keepLines w:val="0"/>
                    <w:widowControl/>
                    <w:suppressLineNumbers w:val="0"/>
                    <w:jc w:val="center"/>
                    <w:rPr>
                      <w:rFonts w:hint="default" w:ascii="Times New Roman" w:hAnsi="Times New Roman" w:cs="Times New Roman" w:eastAsiaTheme="minorEastAsia"/>
                      <w:color w:val="auto"/>
                      <w:sz w:val="21"/>
                      <w:szCs w:val="21"/>
                      <w:highlight w:val="none"/>
                    </w:rPr>
                  </w:pPr>
                </w:p>
              </w:tc>
              <w:tc>
                <w:tcPr>
                  <w:tcW w:w="765" w:type="pct"/>
                  <w:vAlign w:val="center"/>
                </w:tcPr>
                <w:p w14:paraId="0EDC6FD7">
                  <w:pPr>
                    <w:keepNext w:val="0"/>
                    <w:keepLines w:val="0"/>
                    <w:widowControl/>
                    <w:suppressLineNumbers w:val="0"/>
                    <w:jc w:val="center"/>
                    <w:rPr>
                      <w:rFonts w:hint="default" w:ascii="Times New Roman" w:hAnsi="Times New Roman" w:cs="Times New Roman" w:eastAsiaTheme="minorEastAsia"/>
                      <w:color w:val="auto"/>
                      <w:spacing w:val="5"/>
                      <w:sz w:val="21"/>
                      <w:szCs w:val="21"/>
                      <w:highlight w:val="none"/>
                      <w:lang w:val="en-US"/>
                    </w:rPr>
                  </w:pPr>
                </w:p>
              </w:tc>
              <w:tc>
                <w:tcPr>
                  <w:tcW w:w="1087" w:type="pct"/>
                  <w:vAlign w:val="center"/>
                </w:tcPr>
                <w:p w14:paraId="2BAE4CF4">
                  <w:pPr>
                    <w:keepNext w:val="0"/>
                    <w:keepLines w:val="0"/>
                    <w:widowControl/>
                    <w:suppressLineNumbers w:val="0"/>
                    <w:jc w:val="center"/>
                    <w:rPr>
                      <w:rFonts w:hint="default" w:ascii="Times New Roman" w:hAnsi="Times New Roman" w:cs="Times New Roman" w:eastAsiaTheme="minorEastAsia"/>
                      <w:color w:val="auto"/>
                      <w:spacing w:val="5"/>
                      <w:sz w:val="21"/>
                      <w:szCs w:val="21"/>
                      <w:highlight w:val="none"/>
                      <w:lang w:val="en-US"/>
                    </w:rPr>
                  </w:pPr>
                </w:p>
              </w:tc>
            </w:tr>
            <w:tr w14:paraId="15240E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9" w:type="pct"/>
                  <w:vAlign w:val="center"/>
                </w:tcPr>
                <w:p w14:paraId="16E873A2">
                  <w:pPr>
                    <w:jc w:val="center"/>
                    <w:rPr>
                      <w:rFonts w:hint="default" w:ascii="Times New Roman" w:hAnsi="Times New Roman" w:cs="Times New Roman" w:eastAsiaTheme="minorEastAsia"/>
                      <w:color w:val="auto"/>
                      <w:kern w:val="0"/>
                      <w:szCs w:val="21"/>
                      <w:highlight w:val="none"/>
                    </w:rPr>
                  </w:pPr>
                  <w:r>
                    <w:rPr>
                      <w:rFonts w:hint="default" w:ascii="Times New Roman" w:hAnsi="Times New Roman" w:cs="Times New Roman" w:eastAsiaTheme="minorEastAsia"/>
                      <w:color w:val="auto"/>
                      <w:kern w:val="0"/>
                      <w:szCs w:val="21"/>
                      <w:highlight w:val="none"/>
                    </w:rPr>
                    <w:t>1</w:t>
                  </w:r>
                </w:p>
              </w:tc>
              <w:tc>
                <w:tcPr>
                  <w:tcW w:w="1421" w:type="pct"/>
                  <w:vAlign w:val="center"/>
                </w:tcPr>
                <w:p w14:paraId="210A5A1B">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燃气炉</w:t>
                  </w:r>
                  <w:r>
                    <w:rPr>
                      <w:rFonts w:hint="eastAsia" w:cs="Times New Roman" w:eastAsiaTheme="minorEastAsia"/>
                      <w:color w:val="auto"/>
                      <w:szCs w:val="21"/>
                      <w:highlight w:val="none"/>
                      <w:lang w:val="en-US" w:eastAsia="zh-CN"/>
                    </w:rPr>
                    <w:t>1#、2#</w:t>
                  </w:r>
                  <w:r>
                    <w:rPr>
                      <w:rFonts w:hint="eastAsia" w:ascii="Times New Roman" w:hAnsi="Times New Roman" w:cs="Times New Roman" w:eastAsiaTheme="minorEastAsia"/>
                      <w:color w:val="auto"/>
                      <w:sz w:val="21"/>
                      <w:szCs w:val="21"/>
                      <w:highlight w:val="none"/>
                      <w:lang w:val="en-US" w:eastAsia="zh-CN"/>
                    </w:rPr>
                    <w:t>，</w:t>
                  </w:r>
                  <w:r>
                    <w:rPr>
                      <w:rFonts w:hint="eastAsia" w:cs="Times New Roman" w:eastAsiaTheme="minorEastAsia"/>
                      <w:color w:val="auto"/>
                      <w:sz w:val="21"/>
                      <w:szCs w:val="21"/>
                      <w:highlight w:val="none"/>
                      <w:lang w:val="en-US" w:eastAsia="zh-CN"/>
                    </w:rPr>
                    <w:t>4</w:t>
                  </w:r>
                  <w:r>
                    <w:rPr>
                      <w:rFonts w:hint="eastAsia" w:ascii="Times New Roman" w:hAnsi="Times New Roman" w:cs="Times New Roman" w:eastAsiaTheme="minorEastAsia"/>
                      <w:color w:val="auto"/>
                      <w:sz w:val="21"/>
                      <w:szCs w:val="21"/>
                      <w:highlight w:val="none"/>
                      <w:lang w:val="en-US" w:eastAsia="zh-CN"/>
                    </w:rPr>
                    <w:t>m</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4</w:t>
                  </w:r>
                  <w:r>
                    <w:rPr>
                      <w:rFonts w:hint="eastAsia"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3m</w:t>
                  </w:r>
                </w:p>
              </w:tc>
              <w:tc>
                <w:tcPr>
                  <w:tcW w:w="449" w:type="pct"/>
                  <w:vAlign w:val="center"/>
                </w:tcPr>
                <w:p w14:paraId="64B231C5">
                  <w:pPr>
                    <w:adjustRightInd w:val="0"/>
                    <w:snapToGrid w:val="0"/>
                    <w:jc w:val="center"/>
                    <w:rPr>
                      <w:rFonts w:hint="eastAsia" w:ascii="Times New Roman" w:hAnsi="Times New Roman" w:cs="Times New Roman" w:eastAsiaTheme="minorEastAsia"/>
                      <w:color w:val="auto"/>
                      <w:spacing w:val="5"/>
                      <w:sz w:val="21"/>
                      <w:szCs w:val="21"/>
                      <w:highlight w:val="none"/>
                      <w:lang w:val="en-US" w:eastAsia="zh-CN"/>
                    </w:rPr>
                  </w:pPr>
                  <w:r>
                    <w:rPr>
                      <w:rFonts w:hint="eastAsia" w:cs="Times New Roman" w:eastAsiaTheme="minorEastAsia"/>
                      <w:color w:val="auto"/>
                      <w:spacing w:val="5"/>
                      <w:sz w:val="21"/>
                      <w:szCs w:val="21"/>
                      <w:highlight w:val="none"/>
                      <w:lang w:val="en-US" w:eastAsia="zh-CN"/>
                    </w:rPr>
                    <w:t>2</w:t>
                  </w:r>
                </w:p>
              </w:tc>
              <w:tc>
                <w:tcPr>
                  <w:tcW w:w="867" w:type="pct"/>
                  <w:vAlign w:val="center"/>
                </w:tcPr>
                <w:p w14:paraId="439352F4">
                  <w:pPr>
                    <w:keepNext w:val="0"/>
                    <w:keepLines w:val="0"/>
                    <w:widowControl/>
                    <w:suppressLineNumbers w:val="0"/>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185</w:t>
                  </w:r>
                </w:p>
              </w:tc>
              <w:tc>
                <w:tcPr>
                  <w:tcW w:w="765" w:type="pct"/>
                  <w:vAlign w:val="center"/>
                </w:tcPr>
                <w:p w14:paraId="45E1B276">
                  <w:pPr>
                    <w:keepNext w:val="0"/>
                    <w:keepLines w:val="0"/>
                    <w:widowControl/>
                    <w:suppressLineNumbers w:val="0"/>
                    <w:jc w:val="center"/>
                    <w:rPr>
                      <w:rFonts w:hint="default" w:ascii="Times New Roman" w:hAnsi="Times New Roman" w:cs="Times New Roman" w:eastAsiaTheme="minorEastAsia"/>
                      <w:color w:val="auto"/>
                      <w:spacing w:val="5"/>
                      <w:sz w:val="21"/>
                      <w:szCs w:val="21"/>
                      <w:highlight w:val="none"/>
                      <w:lang w:val="en-US" w:eastAsia="zh-CN"/>
                    </w:rPr>
                  </w:pPr>
                  <w:r>
                    <w:rPr>
                      <w:rFonts w:hint="eastAsia" w:ascii="Times New Roman" w:hAnsi="Times New Roman" w:cs="Times New Roman" w:eastAsiaTheme="minorEastAsia"/>
                      <w:color w:val="auto"/>
                      <w:spacing w:val="5"/>
                      <w:sz w:val="21"/>
                      <w:szCs w:val="21"/>
                      <w:highlight w:val="none"/>
                      <w:lang w:val="en-US" w:eastAsia="zh-CN"/>
                    </w:rPr>
                    <w:t>2640</w:t>
                  </w:r>
                </w:p>
              </w:tc>
              <w:tc>
                <w:tcPr>
                  <w:tcW w:w="1087" w:type="pct"/>
                  <w:vAlign w:val="center"/>
                </w:tcPr>
                <w:p w14:paraId="78762C1A">
                  <w:pPr>
                    <w:keepNext w:val="0"/>
                    <w:keepLines w:val="0"/>
                    <w:widowControl/>
                    <w:suppressLineNumbers w:val="0"/>
                    <w:jc w:val="center"/>
                    <w:rPr>
                      <w:rFonts w:hint="default" w:ascii="Times New Roman" w:hAnsi="Times New Roman" w:cs="Times New Roman" w:eastAsiaTheme="minorEastAsia"/>
                      <w:color w:val="auto"/>
                      <w:spacing w:val="5"/>
                      <w:sz w:val="21"/>
                      <w:szCs w:val="21"/>
                      <w:highlight w:val="none"/>
                      <w:lang w:val="en-US" w:eastAsia="zh-CN"/>
                    </w:rPr>
                  </w:pPr>
                  <w:r>
                    <w:rPr>
                      <w:rFonts w:hint="eastAsia" w:cs="Times New Roman" w:eastAsiaTheme="minorEastAsia"/>
                      <w:color w:val="auto"/>
                      <w:spacing w:val="5"/>
                      <w:sz w:val="21"/>
                      <w:szCs w:val="21"/>
                      <w:highlight w:val="none"/>
                      <w:lang w:val="en-US" w:eastAsia="zh-CN"/>
                    </w:rPr>
                    <w:t>97.68</w:t>
                  </w:r>
                </w:p>
              </w:tc>
            </w:tr>
            <w:tr w14:paraId="6EFFE32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409" w:type="pct"/>
                  <w:vAlign w:val="center"/>
                </w:tcPr>
                <w:p w14:paraId="11297882">
                  <w:pPr>
                    <w:widowControl/>
                    <w:jc w:val="center"/>
                    <w:rPr>
                      <w:rFonts w:hint="default" w:ascii="Times New Roman" w:hAnsi="Times New Roman" w:cs="Times New Roman" w:eastAsiaTheme="minorEastAsia"/>
                      <w:color w:val="auto"/>
                      <w:kern w:val="0"/>
                      <w:szCs w:val="21"/>
                      <w:highlight w:val="none"/>
                    </w:rPr>
                  </w:pPr>
                  <w:r>
                    <w:rPr>
                      <w:rFonts w:hint="default" w:ascii="Times New Roman" w:hAnsi="Times New Roman" w:cs="Times New Roman" w:eastAsiaTheme="minorEastAsia"/>
                      <w:color w:val="auto"/>
                      <w:kern w:val="0"/>
                      <w:szCs w:val="21"/>
                      <w:highlight w:val="none"/>
                    </w:rPr>
                    <w:t>2</w:t>
                  </w:r>
                </w:p>
              </w:tc>
              <w:tc>
                <w:tcPr>
                  <w:tcW w:w="1421" w:type="pct"/>
                  <w:shd w:val="clear" w:color="auto" w:fill="auto"/>
                  <w:vAlign w:val="center"/>
                </w:tcPr>
                <w:p w14:paraId="2BC918D0">
                  <w:pPr>
                    <w:keepNext w:val="0"/>
                    <w:keepLines w:val="0"/>
                    <w:widowControl/>
                    <w:suppressLineNumbers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sz w:val="21"/>
                      <w:szCs w:val="21"/>
                      <w:highlight w:val="none"/>
                      <w:lang w:val="en-US" w:eastAsia="zh-CN"/>
                    </w:rPr>
                    <w:t>燃气炉</w:t>
                  </w:r>
                  <w:r>
                    <w:rPr>
                      <w:rFonts w:hint="eastAsia" w:cs="Times New Roman" w:eastAsiaTheme="minorEastAsia"/>
                      <w:color w:val="auto"/>
                      <w:szCs w:val="21"/>
                      <w:highlight w:val="none"/>
                      <w:lang w:val="en-US" w:eastAsia="zh-CN"/>
                    </w:rPr>
                    <w:t>3#</w:t>
                  </w:r>
                  <w:r>
                    <w:rPr>
                      <w:rFonts w:hint="eastAsia" w:ascii="Times New Roman" w:hAnsi="Times New Roman" w:cs="Times New Roman" w:eastAsiaTheme="minorEastAsia"/>
                      <w:color w:val="auto"/>
                      <w:sz w:val="21"/>
                      <w:szCs w:val="21"/>
                      <w:highlight w:val="none"/>
                      <w:lang w:val="en-US" w:eastAsia="zh-CN"/>
                    </w:rPr>
                    <w:t>，8m</w:t>
                  </w:r>
                  <w:r>
                    <w:rPr>
                      <w:rFonts w:hint="default" w:ascii="Times New Roman" w:hAnsi="Times New Roman" w:eastAsia="宋体" w:cs="Times New Roman"/>
                      <w:color w:val="auto"/>
                      <w:sz w:val="21"/>
                      <w:szCs w:val="21"/>
                      <w:highlight w:val="none"/>
                    </w:rPr>
                    <w:t>*</w:t>
                  </w:r>
                  <w:r>
                    <w:rPr>
                      <w:rFonts w:hint="eastAsia" w:ascii="Times New Roman" w:hAnsi="Times New Roman" w:cs="Times New Roman"/>
                      <w:color w:val="auto"/>
                      <w:sz w:val="21"/>
                      <w:szCs w:val="21"/>
                      <w:highlight w:val="none"/>
                      <w:lang w:val="en-US" w:eastAsia="zh-CN"/>
                    </w:rPr>
                    <w:t>3</w:t>
                  </w:r>
                  <w:r>
                    <w:rPr>
                      <w:rFonts w:hint="eastAsia"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3m</w:t>
                  </w:r>
                </w:p>
              </w:tc>
              <w:tc>
                <w:tcPr>
                  <w:tcW w:w="449" w:type="pct"/>
                  <w:shd w:val="clear" w:color="auto" w:fill="auto"/>
                  <w:vAlign w:val="center"/>
                </w:tcPr>
                <w:p w14:paraId="595C1F18">
                  <w:pPr>
                    <w:adjustRightInd w:val="0"/>
                    <w:snapToGrid w:val="0"/>
                    <w:jc w:val="center"/>
                    <w:rPr>
                      <w:rFonts w:hint="eastAsia" w:ascii="Times New Roman" w:hAnsi="Times New Roman" w:cs="Times New Roman" w:eastAsiaTheme="minorEastAsia"/>
                      <w:color w:val="auto"/>
                      <w:spacing w:val="5"/>
                      <w:kern w:val="2"/>
                      <w:sz w:val="21"/>
                      <w:szCs w:val="21"/>
                      <w:highlight w:val="none"/>
                      <w:lang w:val="en-US" w:eastAsia="zh-CN" w:bidi="ar-SA"/>
                    </w:rPr>
                  </w:pPr>
                  <w:r>
                    <w:rPr>
                      <w:rFonts w:hint="eastAsia" w:ascii="Times New Roman" w:hAnsi="Times New Roman" w:cs="Times New Roman" w:eastAsiaTheme="minorEastAsia"/>
                      <w:color w:val="auto"/>
                      <w:spacing w:val="5"/>
                      <w:sz w:val="21"/>
                      <w:szCs w:val="21"/>
                      <w:highlight w:val="none"/>
                      <w:lang w:val="en-US" w:eastAsia="zh-CN"/>
                    </w:rPr>
                    <w:t>1</w:t>
                  </w:r>
                </w:p>
              </w:tc>
              <w:tc>
                <w:tcPr>
                  <w:tcW w:w="867" w:type="pct"/>
                  <w:shd w:val="clear" w:color="auto" w:fill="auto"/>
                  <w:vAlign w:val="center"/>
                </w:tcPr>
                <w:p w14:paraId="52F6A2AA">
                  <w:pPr>
                    <w:keepNext w:val="0"/>
                    <w:keepLines w:val="0"/>
                    <w:widowControl/>
                    <w:suppressLineNumbers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sz w:val="21"/>
                      <w:szCs w:val="21"/>
                      <w:highlight w:val="none"/>
                      <w:lang w:val="en-US" w:eastAsia="zh-CN"/>
                    </w:rPr>
                    <w:t>260</w:t>
                  </w:r>
                </w:p>
              </w:tc>
              <w:tc>
                <w:tcPr>
                  <w:tcW w:w="765" w:type="pct"/>
                  <w:shd w:val="clear" w:color="auto" w:fill="auto"/>
                  <w:vAlign w:val="center"/>
                </w:tcPr>
                <w:p w14:paraId="7CD95F01">
                  <w:pPr>
                    <w:keepNext w:val="0"/>
                    <w:keepLines w:val="0"/>
                    <w:widowControl/>
                    <w:suppressLineNumbers w:val="0"/>
                    <w:jc w:val="center"/>
                    <w:rPr>
                      <w:rFonts w:hint="default" w:ascii="Times New Roman" w:hAnsi="Times New Roman" w:cs="Times New Roman" w:eastAsiaTheme="minorEastAsia"/>
                      <w:color w:val="auto"/>
                      <w:spacing w:val="5"/>
                      <w:kern w:val="2"/>
                      <w:sz w:val="21"/>
                      <w:szCs w:val="21"/>
                      <w:highlight w:val="none"/>
                      <w:lang w:val="en-US" w:eastAsia="zh-CN" w:bidi="ar-SA"/>
                    </w:rPr>
                  </w:pPr>
                  <w:r>
                    <w:rPr>
                      <w:rFonts w:hint="eastAsia" w:ascii="Times New Roman" w:hAnsi="Times New Roman" w:cs="Times New Roman" w:eastAsiaTheme="minorEastAsia"/>
                      <w:color w:val="auto"/>
                      <w:spacing w:val="5"/>
                      <w:sz w:val="21"/>
                      <w:szCs w:val="21"/>
                      <w:highlight w:val="none"/>
                      <w:lang w:val="en-US" w:eastAsia="zh-CN"/>
                    </w:rPr>
                    <w:t>2640</w:t>
                  </w:r>
                </w:p>
              </w:tc>
              <w:tc>
                <w:tcPr>
                  <w:tcW w:w="1087" w:type="pct"/>
                  <w:shd w:val="clear" w:color="auto" w:fill="auto"/>
                  <w:vAlign w:val="center"/>
                </w:tcPr>
                <w:p w14:paraId="7CF19AAA">
                  <w:pPr>
                    <w:keepNext w:val="0"/>
                    <w:keepLines w:val="0"/>
                    <w:widowControl/>
                    <w:suppressLineNumbers w:val="0"/>
                    <w:jc w:val="center"/>
                    <w:rPr>
                      <w:rFonts w:hint="default" w:ascii="Times New Roman" w:hAnsi="Times New Roman" w:cs="Times New Roman" w:eastAsiaTheme="minorEastAsia"/>
                      <w:color w:val="auto"/>
                      <w:spacing w:val="5"/>
                      <w:kern w:val="2"/>
                      <w:sz w:val="21"/>
                      <w:szCs w:val="21"/>
                      <w:highlight w:val="none"/>
                      <w:lang w:val="en-US" w:eastAsia="zh-CN" w:bidi="ar-SA"/>
                    </w:rPr>
                  </w:pPr>
                  <w:r>
                    <w:rPr>
                      <w:rFonts w:hint="eastAsia" w:ascii="Times New Roman" w:hAnsi="Times New Roman" w:cs="Times New Roman" w:eastAsiaTheme="minorEastAsia"/>
                      <w:color w:val="auto"/>
                      <w:spacing w:val="5"/>
                      <w:sz w:val="21"/>
                      <w:szCs w:val="21"/>
                      <w:highlight w:val="none"/>
                      <w:lang w:val="en-US" w:eastAsia="zh-CN"/>
                    </w:rPr>
                    <w:t>68.64</w:t>
                  </w:r>
                </w:p>
              </w:tc>
            </w:tr>
            <w:tr w14:paraId="3B393DA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409" w:type="pct"/>
                  <w:vAlign w:val="center"/>
                </w:tcPr>
                <w:p w14:paraId="52094607">
                  <w:pPr>
                    <w:widowControl/>
                    <w:jc w:val="center"/>
                    <w:rPr>
                      <w:rFonts w:hint="eastAsia" w:ascii="Times New Roman" w:hAnsi="Times New Roman" w:cs="Times New Roman" w:eastAsiaTheme="minorEastAsia"/>
                      <w:color w:val="auto"/>
                      <w:kern w:val="0"/>
                      <w:szCs w:val="21"/>
                      <w:highlight w:val="none"/>
                      <w:lang w:val="en-US" w:eastAsia="zh-CN"/>
                    </w:rPr>
                  </w:pPr>
                  <w:r>
                    <w:rPr>
                      <w:rFonts w:hint="eastAsia" w:cs="Times New Roman" w:eastAsiaTheme="minorEastAsia"/>
                      <w:color w:val="auto"/>
                      <w:kern w:val="0"/>
                      <w:szCs w:val="21"/>
                      <w:highlight w:val="none"/>
                      <w:lang w:val="en-US" w:eastAsia="zh-CN"/>
                    </w:rPr>
                    <w:t>3</w:t>
                  </w:r>
                </w:p>
              </w:tc>
              <w:tc>
                <w:tcPr>
                  <w:tcW w:w="1421" w:type="pct"/>
                  <w:shd w:val="clear" w:color="auto" w:fill="auto"/>
                  <w:vAlign w:val="center"/>
                </w:tcPr>
                <w:p w14:paraId="0C6CB372">
                  <w:pPr>
                    <w:keepNext w:val="0"/>
                    <w:keepLines w:val="0"/>
                    <w:widowControl/>
                    <w:suppressLineNumbers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sz w:val="21"/>
                      <w:szCs w:val="21"/>
                      <w:highlight w:val="none"/>
                      <w:lang w:val="en-US" w:eastAsia="zh-CN"/>
                    </w:rPr>
                    <w:t>回火炉3#，</w:t>
                  </w:r>
                  <w:r>
                    <w:rPr>
                      <w:rFonts w:hint="eastAsia" w:ascii="Times New Roman" w:hAnsi="Times New Roman" w:cs="Times New Roman" w:eastAsiaTheme="minorEastAsia"/>
                      <w:color w:val="auto"/>
                      <w:sz w:val="21"/>
                      <w:szCs w:val="21"/>
                      <w:highlight w:val="none"/>
                      <w:lang w:val="en-US" w:eastAsia="zh-CN"/>
                    </w:rPr>
                    <w:t>8m</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4m</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3m</w:t>
                  </w:r>
                </w:p>
              </w:tc>
              <w:tc>
                <w:tcPr>
                  <w:tcW w:w="449" w:type="pct"/>
                  <w:shd w:val="clear" w:color="auto" w:fill="auto"/>
                  <w:vAlign w:val="center"/>
                </w:tcPr>
                <w:p w14:paraId="679D1D97">
                  <w:pPr>
                    <w:adjustRightInd w:val="0"/>
                    <w:snapToGrid w:val="0"/>
                    <w:jc w:val="center"/>
                    <w:rPr>
                      <w:rFonts w:hint="default" w:ascii="Times New Roman" w:hAnsi="Times New Roman" w:cs="Times New Roman" w:eastAsiaTheme="minorEastAsia"/>
                      <w:color w:val="auto"/>
                      <w:spacing w:val="5"/>
                      <w:kern w:val="2"/>
                      <w:sz w:val="21"/>
                      <w:szCs w:val="21"/>
                      <w:highlight w:val="none"/>
                      <w:lang w:val="en-US" w:eastAsia="zh-CN" w:bidi="ar-SA"/>
                    </w:rPr>
                  </w:pPr>
                  <w:r>
                    <w:rPr>
                      <w:rFonts w:hint="eastAsia" w:cs="Times New Roman" w:eastAsiaTheme="minorEastAsia"/>
                      <w:color w:val="auto"/>
                      <w:spacing w:val="5"/>
                      <w:sz w:val="21"/>
                      <w:szCs w:val="21"/>
                      <w:highlight w:val="none"/>
                      <w:lang w:val="en-US" w:eastAsia="zh-CN"/>
                    </w:rPr>
                    <w:t>1</w:t>
                  </w:r>
                </w:p>
              </w:tc>
              <w:tc>
                <w:tcPr>
                  <w:tcW w:w="867" w:type="pct"/>
                  <w:shd w:val="clear" w:color="auto" w:fill="auto"/>
                  <w:vAlign w:val="center"/>
                </w:tcPr>
                <w:p w14:paraId="2AFE49B8">
                  <w:pPr>
                    <w:keepNext w:val="0"/>
                    <w:keepLines w:val="0"/>
                    <w:widowControl/>
                    <w:suppressLineNumbers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sz w:val="21"/>
                      <w:szCs w:val="21"/>
                      <w:highlight w:val="none"/>
                      <w:lang w:val="en-US" w:eastAsia="zh-CN"/>
                    </w:rPr>
                    <w:t>260</w:t>
                  </w:r>
                </w:p>
              </w:tc>
              <w:tc>
                <w:tcPr>
                  <w:tcW w:w="765" w:type="pct"/>
                  <w:shd w:val="clear" w:color="auto" w:fill="auto"/>
                  <w:vAlign w:val="center"/>
                </w:tcPr>
                <w:p w14:paraId="3C0F6DF3">
                  <w:pPr>
                    <w:keepNext w:val="0"/>
                    <w:keepLines w:val="0"/>
                    <w:widowControl/>
                    <w:suppressLineNumbers w:val="0"/>
                    <w:jc w:val="center"/>
                    <w:rPr>
                      <w:rFonts w:hint="default" w:ascii="Times New Roman" w:hAnsi="Times New Roman" w:cs="Times New Roman" w:eastAsiaTheme="minorEastAsia"/>
                      <w:color w:val="auto"/>
                      <w:spacing w:val="5"/>
                      <w:kern w:val="2"/>
                      <w:sz w:val="21"/>
                      <w:szCs w:val="21"/>
                      <w:highlight w:val="none"/>
                      <w:lang w:val="en-US" w:eastAsia="zh-CN" w:bidi="ar-SA"/>
                    </w:rPr>
                  </w:pPr>
                  <w:r>
                    <w:rPr>
                      <w:rFonts w:hint="eastAsia" w:cs="Times New Roman" w:eastAsiaTheme="minorEastAsia"/>
                      <w:color w:val="auto"/>
                      <w:spacing w:val="5"/>
                      <w:sz w:val="21"/>
                      <w:szCs w:val="21"/>
                      <w:highlight w:val="none"/>
                      <w:lang w:val="en-US" w:eastAsia="zh-CN"/>
                    </w:rPr>
                    <w:t>2640</w:t>
                  </w:r>
                </w:p>
              </w:tc>
              <w:tc>
                <w:tcPr>
                  <w:tcW w:w="1087" w:type="pct"/>
                  <w:shd w:val="clear" w:color="auto" w:fill="auto"/>
                  <w:vAlign w:val="center"/>
                </w:tcPr>
                <w:p w14:paraId="40A6FC4F">
                  <w:pPr>
                    <w:keepNext w:val="0"/>
                    <w:keepLines w:val="0"/>
                    <w:widowControl/>
                    <w:suppressLineNumbers w:val="0"/>
                    <w:jc w:val="center"/>
                    <w:rPr>
                      <w:rFonts w:hint="default" w:ascii="Times New Roman" w:hAnsi="Times New Roman" w:cs="Times New Roman" w:eastAsiaTheme="minorEastAsia"/>
                      <w:color w:val="auto"/>
                      <w:spacing w:val="5"/>
                      <w:kern w:val="2"/>
                      <w:sz w:val="21"/>
                      <w:szCs w:val="21"/>
                      <w:highlight w:val="none"/>
                      <w:lang w:val="en-US" w:eastAsia="zh-CN" w:bidi="ar-SA"/>
                    </w:rPr>
                  </w:pPr>
                  <w:r>
                    <w:rPr>
                      <w:rFonts w:hint="eastAsia" w:cs="Times New Roman" w:eastAsiaTheme="minorEastAsia"/>
                      <w:color w:val="auto"/>
                      <w:spacing w:val="5"/>
                      <w:sz w:val="21"/>
                      <w:szCs w:val="21"/>
                      <w:highlight w:val="none"/>
                      <w:lang w:val="en-US" w:eastAsia="zh-CN"/>
                    </w:rPr>
                    <w:t>68.64</w:t>
                  </w:r>
                </w:p>
              </w:tc>
            </w:tr>
            <w:tr w14:paraId="6AD1D1E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409" w:type="pct"/>
                  <w:vAlign w:val="center"/>
                </w:tcPr>
                <w:p w14:paraId="678C6A78">
                  <w:pPr>
                    <w:widowControl/>
                    <w:jc w:val="center"/>
                    <w:rPr>
                      <w:rFonts w:hint="default" w:ascii="Times New Roman" w:hAnsi="Times New Roman" w:cs="Times New Roman" w:eastAsiaTheme="minorEastAsia"/>
                      <w:color w:val="auto"/>
                      <w:kern w:val="0"/>
                      <w:szCs w:val="21"/>
                      <w:highlight w:val="none"/>
                    </w:rPr>
                  </w:pPr>
                </w:p>
              </w:tc>
              <w:tc>
                <w:tcPr>
                  <w:tcW w:w="1421" w:type="pct"/>
                  <w:vAlign w:val="center"/>
                </w:tcPr>
                <w:p w14:paraId="16B24953">
                  <w:pPr>
                    <w:jc w:val="center"/>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cs="Times New Roman" w:eastAsiaTheme="minorEastAsia"/>
                      <w:color w:val="auto"/>
                      <w:szCs w:val="21"/>
                      <w:highlight w:val="none"/>
                      <w:lang w:val="en-US" w:eastAsia="zh-CN"/>
                    </w:rPr>
                    <w:t>小计</w:t>
                  </w:r>
                </w:p>
              </w:tc>
              <w:tc>
                <w:tcPr>
                  <w:tcW w:w="449" w:type="pct"/>
                  <w:vAlign w:val="center"/>
                </w:tcPr>
                <w:p w14:paraId="631688B4">
                  <w:pPr>
                    <w:adjustRightInd w:val="0"/>
                    <w:snapToGrid w:val="0"/>
                    <w:jc w:val="center"/>
                    <w:rPr>
                      <w:rFonts w:hint="default" w:ascii="Times New Roman" w:hAnsi="Times New Roman" w:cs="Times New Roman" w:eastAsiaTheme="minorEastAsia"/>
                      <w:color w:val="auto"/>
                      <w:spacing w:val="5"/>
                      <w:szCs w:val="21"/>
                      <w:highlight w:val="none"/>
                    </w:rPr>
                  </w:pPr>
                </w:p>
              </w:tc>
              <w:tc>
                <w:tcPr>
                  <w:tcW w:w="867" w:type="pct"/>
                  <w:vAlign w:val="center"/>
                </w:tcPr>
                <w:p w14:paraId="340DD2A5">
                  <w:pPr>
                    <w:jc w:val="center"/>
                    <w:rPr>
                      <w:rFonts w:hint="default" w:ascii="Times New Roman" w:hAnsi="Times New Roman" w:cs="Times New Roman" w:eastAsiaTheme="minorEastAsia"/>
                      <w:color w:val="auto"/>
                      <w:szCs w:val="21"/>
                      <w:highlight w:val="none"/>
                    </w:rPr>
                  </w:pPr>
                </w:p>
              </w:tc>
              <w:tc>
                <w:tcPr>
                  <w:tcW w:w="765" w:type="pct"/>
                  <w:vAlign w:val="center"/>
                </w:tcPr>
                <w:p w14:paraId="09844946">
                  <w:pPr>
                    <w:jc w:val="center"/>
                    <w:rPr>
                      <w:rFonts w:hint="default" w:ascii="Times New Roman" w:hAnsi="Times New Roman" w:cs="Times New Roman" w:eastAsiaTheme="minorEastAsia"/>
                      <w:color w:val="auto"/>
                      <w:szCs w:val="21"/>
                      <w:highlight w:val="none"/>
                    </w:rPr>
                  </w:pPr>
                </w:p>
              </w:tc>
              <w:tc>
                <w:tcPr>
                  <w:tcW w:w="1087" w:type="pct"/>
                  <w:vAlign w:val="center"/>
                </w:tcPr>
                <w:p w14:paraId="3470FA7E">
                  <w:pPr>
                    <w:jc w:val="center"/>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cs="Times New Roman" w:eastAsiaTheme="minorEastAsia"/>
                      <w:color w:val="auto"/>
                      <w:szCs w:val="21"/>
                      <w:highlight w:val="none"/>
                      <w:lang w:val="en-US" w:eastAsia="zh-CN"/>
                    </w:rPr>
                    <w:t>234.96</w:t>
                  </w:r>
                </w:p>
              </w:tc>
            </w:tr>
            <w:tr w14:paraId="02CDB8C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09" w:type="pct"/>
                  <w:vAlign w:val="center"/>
                </w:tcPr>
                <w:p w14:paraId="042B6B39">
                  <w:pPr>
                    <w:widowControl/>
                    <w:jc w:val="center"/>
                    <w:rPr>
                      <w:rFonts w:hint="default" w:ascii="Times New Roman" w:hAnsi="Times New Roman" w:cs="Times New Roman" w:eastAsiaTheme="minorEastAsia"/>
                      <w:color w:val="auto"/>
                      <w:kern w:val="0"/>
                      <w:szCs w:val="21"/>
                      <w:highlight w:val="none"/>
                    </w:rPr>
                  </w:pPr>
                </w:p>
              </w:tc>
              <w:tc>
                <w:tcPr>
                  <w:tcW w:w="1421" w:type="pct"/>
                  <w:vAlign w:val="center"/>
                </w:tcPr>
                <w:p w14:paraId="48FD9DEF">
                  <w:pPr>
                    <w:jc w:val="center"/>
                    <w:rPr>
                      <w:rFonts w:hint="eastAsia" w:ascii="Times New Roman" w:hAnsi="Times New Roman" w:cs="Times New Roman" w:eastAsiaTheme="minorEastAsia"/>
                      <w:color w:val="auto"/>
                      <w:szCs w:val="21"/>
                      <w:highlight w:val="none"/>
                      <w:lang w:val="en-US" w:eastAsia="zh-CN"/>
                    </w:rPr>
                  </w:pPr>
                  <w:r>
                    <w:rPr>
                      <w:rFonts w:hint="eastAsia" w:ascii="Times New Roman" w:hAnsi="Times New Roman" w:cs="Times New Roman" w:eastAsiaTheme="minorEastAsia"/>
                      <w:color w:val="auto"/>
                      <w:szCs w:val="21"/>
                      <w:highlight w:val="none"/>
                      <w:lang w:val="en-US" w:eastAsia="zh-CN"/>
                    </w:rPr>
                    <w:t>钢球生产线</w:t>
                  </w:r>
                </w:p>
              </w:tc>
              <w:tc>
                <w:tcPr>
                  <w:tcW w:w="449" w:type="pct"/>
                  <w:vAlign w:val="center"/>
                </w:tcPr>
                <w:p w14:paraId="2207E1BF">
                  <w:pPr>
                    <w:adjustRightInd w:val="0"/>
                    <w:snapToGrid w:val="0"/>
                    <w:jc w:val="center"/>
                    <w:rPr>
                      <w:rFonts w:hint="default" w:ascii="Times New Roman" w:hAnsi="Times New Roman" w:cs="Times New Roman" w:eastAsiaTheme="minorEastAsia"/>
                      <w:color w:val="auto"/>
                      <w:spacing w:val="5"/>
                      <w:szCs w:val="21"/>
                      <w:highlight w:val="none"/>
                    </w:rPr>
                  </w:pPr>
                </w:p>
              </w:tc>
              <w:tc>
                <w:tcPr>
                  <w:tcW w:w="867" w:type="pct"/>
                  <w:vAlign w:val="center"/>
                </w:tcPr>
                <w:p w14:paraId="62B26A29">
                  <w:pPr>
                    <w:jc w:val="center"/>
                    <w:rPr>
                      <w:rFonts w:hint="default" w:ascii="Times New Roman" w:hAnsi="Times New Roman" w:cs="Times New Roman" w:eastAsiaTheme="minorEastAsia"/>
                      <w:color w:val="auto"/>
                      <w:spacing w:val="5"/>
                      <w:szCs w:val="21"/>
                      <w:highlight w:val="none"/>
                      <w:lang w:val="en-US" w:eastAsia="zh-CN"/>
                    </w:rPr>
                  </w:pPr>
                </w:p>
              </w:tc>
              <w:tc>
                <w:tcPr>
                  <w:tcW w:w="765" w:type="pct"/>
                  <w:vAlign w:val="center"/>
                </w:tcPr>
                <w:p w14:paraId="106153D5">
                  <w:pPr>
                    <w:jc w:val="center"/>
                    <w:rPr>
                      <w:rFonts w:hint="default" w:ascii="Times New Roman" w:hAnsi="Times New Roman" w:cs="Times New Roman" w:eastAsiaTheme="minorEastAsia"/>
                      <w:color w:val="auto"/>
                      <w:spacing w:val="5"/>
                      <w:szCs w:val="21"/>
                      <w:highlight w:val="none"/>
                    </w:rPr>
                  </w:pPr>
                </w:p>
              </w:tc>
              <w:tc>
                <w:tcPr>
                  <w:tcW w:w="1087" w:type="pct"/>
                  <w:vAlign w:val="center"/>
                </w:tcPr>
                <w:p w14:paraId="12E810DB">
                  <w:pPr>
                    <w:jc w:val="center"/>
                    <w:rPr>
                      <w:rFonts w:hint="default" w:ascii="Times New Roman" w:hAnsi="Times New Roman" w:cs="Times New Roman" w:eastAsiaTheme="minorEastAsia"/>
                      <w:color w:val="auto"/>
                      <w:spacing w:val="5"/>
                      <w:szCs w:val="21"/>
                      <w:highlight w:val="none"/>
                    </w:rPr>
                  </w:pPr>
                </w:p>
              </w:tc>
            </w:tr>
            <w:tr w14:paraId="2A7AC43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09" w:type="pct"/>
                  <w:shd w:val="clear" w:color="auto" w:fill="auto"/>
                  <w:vAlign w:val="center"/>
                </w:tcPr>
                <w:p w14:paraId="16AFB5D2">
                  <w:pPr>
                    <w:jc w:val="center"/>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eastAsiaTheme="minorEastAsia"/>
                      <w:color w:val="auto"/>
                      <w:kern w:val="0"/>
                      <w:szCs w:val="21"/>
                      <w:highlight w:val="none"/>
                    </w:rPr>
                    <w:t>1</w:t>
                  </w:r>
                </w:p>
              </w:tc>
              <w:tc>
                <w:tcPr>
                  <w:tcW w:w="1421" w:type="pct"/>
                  <w:vAlign w:val="center"/>
                </w:tcPr>
                <w:p w14:paraId="73A4D780">
                  <w:pPr>
                    <w:jc w:val="center"/>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cs="Times New Roman" w:eastAsiaTheme="minorEastAsia"/>
                      <w:color w:val="auto"/>
                      <w:szCs w:val="21"/>
                      <w:highlight w:val="none"/>
                      <w:lang w:val="en-US" w:eastAsia="zh-CN"/>
                    </w:rPr>
                    <w:t>轧球回火炉</w:t>
                  </w:r>
                  <w:r>
                    <w:rPr>
                      <w:rFonts w:hint="eastAsia" w:cs="Times New Roman" w:eastAsiaTheme="minorEastAsia"/>
                      <w:color w:val="auto"/>
                      <w:szCs w:val="21"/>
                      <w:highlight w:val="none"/>
                      <w:lang w:val="en-US" w:eastAsia="zh-CN"/>
                    </w:rPr>
                    <w:t>1#</w:t>
                  </w:r>
                </w:p>
              </w:tc>
              <w:tc>
                <w:tcPr>
                  <w:tcW w:w="449" w:type="pct"/>
                  <w:vAlign w:val="center"/>
                </w:tcPr>
                <w:p w14:paraId="3F72FCAB">
                  <w:pPr>
                    <w:adjustRightInd w:val="0"/>
                    <w:snapToGrid w:val="0"/>
                    <w:jc w:val="center"/>
                    <w:rPr>
                      <w:rFonts w:hint="eastAsia" w:ascii="Times New Roman" w:hAnsi="Times New Roman" w:cs="Times New Roman" w:eastAsiaTheme="minorEastAsia"/>
                      <w:color w:val="auto"/>
                      <w:spacing w:val="5"/>
                      <w:szCs w:val="21"/>
                      <w:highlight w:val="none"/>
                      <w:lang w:val="en-US" w:eastAsia="zh-CN"/>
                    </w:rPr>
                  </w:pPr>
                  <w:r>
                    <w:rPr>
                      <w:rFonts w:hint="eastAsia" w:ascii="Times New Roman" w:hAnsi="Times New Roman" w:cs="Times New Roman" w:eastAsiaTheme="minorEastAsia"/>
                      <w:color w:val="auto"/>
                      <w:spacing w:val="5"/>
                      <w:szCs w:val="21"/>
                      <w:highlight w:val="none"/>
                      <w:lang w:val="en-US" w:eastAsia="zh-CN"/>
                    </w:rPr>
                    <w:t>1</w:t>
                  </w:r>
                </w:p>
              </w:tc>
              <w:tc>
                <w:tcPr>
                  <w:tcW w:w="867" w:type="pct"/>
                  <w:vAlign w:val="center"/>
                </w:tcPr>
                <w:p w14:paraId="3815FFCA">
                  <w:pPr>
                    <w:jc w:val="center"/>
                    <w:rPr>
                      <w:rFonts w:hint="default" w:ascii="Times New Roman" w:hAnsi="Times New Roman" w:cs="Times New Roman" w:eastAsiaTheme="minorEastAsia"/>
                      <w:color w:val="auto"/>
                      <w:spacing w:val="5"/>
                      <w:szCs w:val="21"/>
                      <w:highlight w:val="none"/>
                      <w:lang w:val="en-US" w:eastAsia="zh-CN"/>
                    </w:rPr>
                  </w:pPr>
                  <w:r>
                    <w:rPr>
                      <w:rFonts w:hint="eastAsia" w:ascii="Times New Roman" w:hAnsi="Times New Roman" w:cs="Times New Roman" w:eastAsiaTheme="minorEastAsia"/>
                      <w:color w:val="auto"/>
                      <w:spacing w:val="5"/>
                      <w:szCs w:val="21"/>
                      <w:highlight w:val="none"/>
                      <w:lang w:val="en-US" w:eastAsia="zh-CN"/>
                    </w:rPr>
                    <w:t>160</w:t>
                  </w:r>
                </w:p>
              </w:tc>
              <w:tc>
                <w:tcPr>
                  <w:tcW w:w="765" w:type="pct"/>
                  <w:vAlign w:val="center"/>
                </w:tcPr>
                <w:p w14:paraId="34976C74">
                  <w:pPr>
                    <w:jc w:val="center"/>
                    <w:rPr>
                      <w:rFonts w:hint="default" w:ascii="Times New Roman" w:hAnsi="Times New Roman" w:cs="Times New Roman" w:eastAsiaTheme="minorEastAsia"/>
                      <w:color w:val="auto"/>
                      <w:spacing w:val="5"/>
                      <w:szCs w:val="21"/>
                      <w:highlight w:val="none"/>
                      <w:lang w:val="en-US" w:eastAsia="zh-CN"/>
                    </w:rPr>
                  </w:pPr>
                  <w:r>
                    <w:rPr>
                      <w:rFonts w:hint="eastAsia" w:ascii="Times New Roman" w:hAnsi="Times New Roman" w:cs="Times New Roman" w:eastAsiaTheme="minorEastAsia"/>
                      <w:color w:val="auto"/>
                      <w:spacing w:val="5"/>
                      <w:szCs w:val="21"/>
                      <w:highlight w:val="none"/>
                      <w:lang w:val="en-US" w:eastAsia="zh-CN"/>
                    </w:rPr>
                    <w:t>5280</w:t>
                  </w:r>
                </w:p>
              </w:tc>
              <w:tc>
                <w:tcPr>
                  <w:tcW w:w="1087" w:type="pct"/>
                  <w:vAlign w:val="center"/>
                </w:tcPr>
                <w:p w14:paraId="06F94A96">
                  <w:pPr>
                    <w:jc w:val="center"/>
                    <w:rPr>
                      <w:rFonts w:hint="default" w:ascii="Times New Roman" w:hAnsi="Times New Roman" w:cs="Times New Roman" w:eastAsiaTheme="minorEastAsia"/>
                      <w:color w:val="auto"/>
                      <w:spacing w:val="5"/>
                      <w:szCs w:val="21"/>
                      <w:highlight w:val="none"/>
                      <w:lang w:val="en-US" w:eastAsia="zh-CN"/>
                    </w:rPr>
                  </w:pPr>
                  <w:r>
                    <w:rPr>
                      <w:rFonts w:hint="eastAsia" w:ascii="Times New Roman" w:hAnsi="Times New Roman" w:cs="Times New Roman" w:eastAsiaTheme="minorEastAsia"/>
                      <w:color w:val="auto"/>
                      <w:spacing w:val="5"/>
                      <w:szCs w:val="21"/>
                      <w:highlight w:val="none"/>
                      <w:lang w:val="en-US" w:eastAsia="zh-CN"/>
                    </w:rPr>
                    <w:t>84.48</w:t>
                  </w:r>
                </w:p>
              </w:tc>
            </w:tr>
            <w:tr w14:paraId="0DF52E2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409" w:type="pct"/>
                  <w:shd w:val="clear" w:color="auto" w:fill="auto"/>
                  <w:vAlign w:val="center"/>
                </w:tcPr>
                <w:p w14:paraId="1A7D1CD5">
                  <w:pPr>
                    <w:widowControl/>
                    <w:jc w:val="center"/>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eastAsiaTheme="minorEastAsia"/>
                      <w:color w:val="auto"/>
                      <w:kern w:val="0"/>
                      <w:szCs w:val="21"/>
                      <w:highlight w:val="none"/>
                    </w:rPr>
                    <w:t>2</w:t>
                  </w:r>
                </w:p>
              </w:tc>
              <w:tc>
                <w:tcPr>
                  <w:tcW w:w="1421" w:type="pct"/>
                  <w:vAlign w:val="center"/>
                </w:tcPr>
                <w:p w14:paraId="03F442FF">
                  <w:pPr>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锻球环形炉</w:t>
                  </w:r>
                </w:p>
              </w:tc>
              <w:tc>
                <w:tcPr>
                  <w:tcW w:w="449" w:type="pct"/>
                  <w:vAlign w:val="center"/>
                </w:tcPr>
                <w:p w14:paraId="28DDF0C4">
                  <w:pPr>
                    <w:adjustRightInd w:val="0"/>
                    <w:snapToGrid w:val="0"/>
                    <w:jc w:val="center"/>
                    <w:rPr>
                      <w:rFonts w:hint="eastAsia" w:ascii="Times New Roman" w:hAnsi="Times New Roman" w:cs="Times New Roman" w:eastAsiaTheme="minorEastAsia"/>
                      <w:color w:val="auto"/>
                      <w:spacing w:val="5"/>
                      <w:sz w:val="21"/>
                      <w:szCs w:val="21"/>
                      <w:highlight w:val="none"/>
                      <w:lang w:val="en-US" w:eastAsia="zh-CN"/>
                    </w:rPr>
                  </w:pPr>
                  <w:r>
                    <w:rPr>
                      <w:rFonts w:hint="eastAsia" w:ascii="Times New Roman" w:hAnsi="Times New Roman" w:cs="Times New Roman" w:eastAsiaTheme="minorEastAsia"/>
                      <w:color w:val="auto"/>
                      <w:spacing w:val="5"/>
                      <w:sz w:val="21"/>
                      <w:szCs w:val="21"/>
                      <w:highlight w:val="none"/>
                      <w:lang w:val="en-US" w:eastAsia="zh-CN"/>
                    </w:rPr>
                    <w:t>1</w:t>
                  </w:r>
                </w:p>
              </w:tc>
              <w:tc>
                <w:tcPr>
                  <w:tcW w:w="867" w:type="pct"/>
                  <w:vAlign w:val="center"/>
                </w:tcPr>
                <w:p w14:paraId="54B67473">
                  <w:pPr>
                    <w:keepNext w:val="0"/>
                    <w:keepLines w:val="0"/>
                    <w:widowControl/>
                    <w:suppressLineNumbers w:val="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180</w:t>
                  </w:r>
                </w:p>
              </w:tc>
              <w:tc>
                <w:tcPr>
                  <w:tcW w:w="765" w:type="pct"/>
                  <w:vAlign w:val="center"/>
                </w:tcPr>
                <w:p w14:paraId="6EC6F9AB">
                  <w:pPr>
                    <w:jc w:val="center"/>
                    <w:rPr>
                      <w:rFonts w:hint="default"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pacing w:val="5"/>
                      <w:szCs w:val="21"/>
                      <w:highlight w:val="none"/>
                      <w:lang w:val="en-US" w:eastAsia="zh-CN"/>
                    </w:rPr>
                    <w:t>5280</w:t>
                  </w:r>
                </w:p>
              </w:tc>
              <w:tc>
                <w:tcPr>
                  <w:tcW w:w="1087" w:type="pct"/>
                  <w:vAlign w:val="center"/>
                </w:tcPr>
                <w:p w14:paraId="77D1E1CC">
                  <w:pPr>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95.04</w:t>
                  </w:r>
                </w:p>
              </w:tc>
            </w:tr>
            <w:tr w14:paraId="67174FE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9" w:type="pct"/>
                  <w:shd w:val="clear" w:color="auto" w:fill="auto"/>
                  <w:vAlign w:val="center"/>
                </w:tcPr>
                <w:p w14:paraId="54F47E0E">
                  <w:pPr>
                    <w:widowControl/>
                    <w:jc w:val="center"/>
                    <w:rPr>
                      <w:rFonts w:hint="default"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kern w:val="0"/>
                      <w:sz w:val="21"/>
                      <w:szCs w:val="21"/>
                      <w:highlight w:val="none"/>
                      <w:lang w:val="en-US" w:eastAsia="zh-CN"/>
                    </w:rPr>
                    <w:t>3</w:t>
                  </w:r>
                </w:p>
              </w:tc>
              <w:tc>
                <w:tcPr>
                  <w:tcW w:w="1421" w:type="pct"/>
                  <w:shd w:val="clear" w:color="auto" w:fill="auto"/>
                  <w:vAlign w:val="center"/>
                </w:tcPr>
                <w:p w14:paraId="703F7B93">
                  <w:pPr>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sz w:val="21"/>
                      <w:szCs w:val="21"/>
                      <w:highlight w:val="none"/>
                      <w:lang w:val="en-US" w:eastAsia="zh-CN"/>
                    </w:rPr>
                    <w:t>锻球</w:t>
                  </w:r>
                  <w:r>
                    <w:rPr>
                      <w:rFonts w:hint="eastAsia" w:ascii="Times New Roman" w:hAnsi="Times New Roman" w:cs="Times New Roman" w:eastAsiaTheme="minorEastAsia"/>
                      <w:color w:val="auto"/>
                      <w:szCs w:val="21"/>
                      <w:highlight w:val="none"/>
                      <w:lang w:val="en-US" w:eastAsia="zh-CN"/>
                    </w:rPr>
                    <w:t>回火炉</w:t>
                  </w:r>
                  <w:r>
                    <w:rPr>
                      <w:rFonts w:hint="eastAsia" w:cs="Times New Roman" w:eastAsiaTheme="minorEastAsia"/>
                      <w:color w:val="auto"/>
                      <w:szCs w:val="21"/>
                      <w:highlight w:val="none"/>
                      <w:lang w:val="en-US" w:eastAsia="zh-CN"/>
                    </w:rPr>
                    <w:t>2#</w:t>
                  </w:r>
                </w:p>
              </w:tc>
              <w:tc>
                <w:tcPr>
                  <w:tcW w:w="449" w:type="pct"/>
                  <w:shd w:val="clear" w:color="auto" w:fill="auto"/>
                  <w:vAlign w:val="center"/>
                </w:tcPr>
                <w:p w14:paraId="3590D427">
                  <w:pPr>
                    <w:adjustRightInd w:val="0"/>
                    <w:snapToGrid w:val="0"/>
                    <w:jc w:val="center"/>
                    <w:rPr>
                      <w:rFonts w:hint="default" w:ascii="Times New Roman" w:hAnsi="Times New Roman" w:cs="Times New Roman" w:eastAsiaTheme="minorEastAsia"/>
                      <w:color w:val="auto"/>
                      <w:spacing w:val="5"/>
                      <w:kern w:val="2"/>
                      <w:sz w:val="21"/>
                      <w:szCs w:val="21"/>
                      <w:highlight w:val="none"/>
                      <w:lang w:val="en-US" w:eastAsia="zh-CN" w:bidi="ar-SA"/>
                    </w:rPr>
                  </w:pPr>
                  <w:r>
                    <w:rPr>
                      <w:rFonts w:hint="eastAsia" w:ascii="Times New Roman" w:hAnsi="Times New Roman" w:cs="Times New Roman" w:eastAsiaTheme="minorEastAsia"/>
                      <w:color w:val="auto"/>
                      <w:spacing w:val="5"/>
                      <w:kern w:val="2"/>
                      <w:sz w:val="21"/>
                      <w:szCs w:val="21"/>
                      <w:highlight w:val="none"/>
                      <w:lang w:val="en-US" w:eastAsia="zh-CN" w:bidi="ar-SA"/>
                    </w:rPr>
                    <w:t>1</w:t>
                  </w:r>
                </w:p>
              </w:tc>
              <w:tc>
                <w:tcPr>
                  <w:tcW w:w="867" w:type="pct"/>
                  <w:shd w:val="clear" w:color="auto" w:fill="auto"/>
                  <w:vAlign w:val="center"/>
                </w:tcPr>
                <w:p w14:paraId="1FFCA856">
                  <w:pPr>
                    <w:keepNext w:val="0"/>
                    <w:keepLines w:val="0"/>
                    <w:widowControl/>
                    <w:suppressLineNumbers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40</w:t>
                  </w:r>
                </w:p>
              </w:tc>
              <w:tc>
                <w:tcPr>
                  <w:tcW w:w="765" w:type="pct"/>
                  <w:vAlign w:val="center"/>
                </w:tcPr>
                <w:p w14:paraId="7469FAD4">
                  <w:pPr>
                    <w:jc w:val="center"/>
                    <w:rPr>
                      <w:rFonts w:hint="default"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pacing w:val="5"/>
                      <w:szCs w:val="21"/>
                      <w:highlight w:val="none"/>
                      <w:lang w:val="en-US" w:eastAsia="zh-CN"/>
                    </w:rPr>
                    <w:t>5280</w:t>
                  </w:r>
                </w:p>
              </w:tc>
              <w:tc>
                <w:tcPr>
                  <w:tcW w:w="1087" w:type="pct"/>
                  <w:vAlign w:val="center"/>
                </w:tcPr>
                <w:p w14:paraId="1FA3DB6C">
                  <w:pPr>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21.12</w:t>
                  </w:r>
                </w:p>
              </w:tc>
            </w:tr>
            <w:tr w14:paraId="035FD1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409" w:type="pct"/>
                  <w:vAlign w:val="center"/>
                </w:tcPr>
                <w:p w14:paraId="39C3BA38">
                  <w:pPr>
                    <w:widowControl/>
                    <w:jc w:val="center"/>
                    <w:rPr>
                      <w:rFonts w:hint="default" w:ascii="Times New Roman" w:hAnsi="Times New Roman" w:cs="Times New Roman" w:eastAsiaTheme="minorEastAsia"/>
                      <w:color w:val="auto"/>
                      <w:kern w:val="0"/>
                      <w:sz w:val="21"/>
                      <w:szCs w:val="21"/>
                      <w:highlight w:val="none"/>
                      <w:lang w:val="en-US" w:eastAsia="zh-CN"/>
                    </w:rPr>
                  </w:pPr>
                </w:p>
              </w:tc>
              <w:tc>
                <w:tcPr>
                  <w:tcW w:w="1421" w:type="pct"/>
                  <w:vAlign w:val="center"/>
                </w:tcPr>
                <w:p w14:paraId="31AA6C2E">
                  <w:pPr>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Cs w:val="21"/>
                      <w:highlight w:val="none"/>
                      <w:lang w:val="en-US" w:eastAsia="zh-CN"/>
                    </w:rPr>
                    <w:t>小计</w:t>
                  </w:r>
                </w:p>
              </w:tc>
              <w:tc>
                <w:tcPr>
                  <w:tcW w:w="449" w:type="pct"/>
                  <w:vAlign w:val="center"/>
                </w:tcPr>
                <w:p w14:paraId="77D2A130">
                  <w:pPr>
                    <w:adjustRightInd w:val="0"/>
                    <w:snapToGrid w:val="0"/>
                    <w:jc w:val="center"/>
                    <w:rPr>
                      <w:rFonts w:hint="default" w:ascii="Times New Roman" w:hAnsi="Times New Roman" w:cs="Times New Roman" w:eastAsiaTheme="minorEastAsia"/>
                      <w:color w:val="auto"/>
                      <w:spacing w:val="5"/>
                      <w:sz w:val="21"/>
                      <w:szCs w:val="21"/>
                      <w:highlight w:val="none"/>
                      <w:lang w:val="zh-CN"/>
                    </w:rPr>
                  </w:pPr>
                </w:p>
              </w:tc>
              <w:tc>
                <w:tcPr>
                  <w:tcW w:w="867" w:type="pct"/>
                  <w:vAlign w:val="center"/>
                </w:tcPr>
                <w:p w14:paraId="1382F789">
                  <w:pPr>
                    <w:keepNext w:val="0"/>
                    <w:keepLines w:val="0"/>
                    <w:widowControl/>
                    <w:suppressLineNumbers w:val="0"/>
                    <w:jc w:val="center"/>
                    <w:rPr>
                      <w:rFonts w:hint="default" w:ascii="Times New Roman" w:hAnsi="Times New Roman" w:cs="Times New Roman" w:eastAsiaTheme="minorEastAsia"/>
                      <w:color w:val="auto"/>
                      <w:sz w:val="21"/>
                      <w:szCs w:val="21"/>
                      <w:highlight w:val="none"/>
                      <w:lang w:val="en-US" w:eastAsia="zh-CN"/>
                    </w:rPr>
                  </w:pPr>
                </w:p>
              </w:tc>
              <w:tc>
                <w:tcPr>
                  <w:tcW w:w="765" w:type="pct"/>
                  <w:vAlign w:val="center"/>
                </w:tcPr>
                <w:p w14:paraId="15A1AF27">
                  <w:pPr>
                    <w:jc w:val="center"/>
                    <w:rPr>
                      <w:rFonts w:hint="default" w:ascii="Times New Roman" w:hAnsi="Times New Roman" w:cs="Times New Roman" w:eastAsiaTheme="minorEastAsia"/>
                      <w:color w:val="auto"/>
                      <w:sz w:val="21"/>
                      <w:szCs w:val="21"/>
                      <w:highlight w:val="none"/>
                      <w:lang w:eastAsia="zh-CN"/>
                    </w:rPr>
                  </w:pPr>
                </w:p>
              </w:tc>
              <w:tc>
                <w:tcPr>
                  <w:tcW w:w="1087" w:type="pct"/>
                  <w:vAlign w:val="center"/>
                </w:tcPr>
                <w:p w14:paraId="335C9B1C">
                  <w:pPr>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200.64</w:t>
                  </w:r>
                </w:p>
              </w:tc>
            </w:tr>
            <w:tr w14:paraId="1FEF276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9" w:type="pct"/>
                  <w:vAlign w:val="center"/>
                </w:tcPr>
                <w:p w14:paraId="24340964">
                  <w:pPr>
                    <w:widowControl/>
                    <w:jc w:val="center"/>
                    <w:rPr>
                      <w:rFonts w:hint="eastAsia" w:cs="Times New Roman" w:eastAsiaTheme="minorEastAsia"/>
                      <w:color w:val="auto"/>
                      <w:kern w:val="0"/>
                      <w:sz w:val="21"/>
                      <w:szCs w:val="21"/>
                      <w:highlight w:val="none"/>
                      <w:lang w:val="en-US" w:eastAsia="zh-CN"/>
                    </w:rPr>
                  </w:pPr>
                </w:p>
              </w:tc>
              <w:tc>
                <w:tcPr>
                  <w:tcW w:w="1421" w:type="pct"/>
                  <w:vAlign w:val="center"/>
                </w:tcPr>
                <w:p w14:paraId="7D464B45">
                  <w:pPr>
                    <w:jc w:val="center"/>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cs="Times New Roman" w:eastAsiaTheme="minorEastAsia"/>
                      <w:color w:val="auto"/>
                      <w:szCs w:val="21"/>
                      <w:highlight w:val="none"/>
                      <w:lang w:val="en-US" w:eastAsia="zh-CN"/>
                    </w:rPr>
                    <w:t>合计</w:t>
                  </w:r>
                </w:p>
              </w:tc>
              <w:tc>
                <w:tcPr>
                  <w:tcW w:w="449" w:type="pct"/>
                  <w:vAlign w:val="center"/>
                </w:tcPr>
                <w:p w14:paraId="6AD615DB">
                  <w:pPr>
                    <w:adjustRightInd w:val="0"/>
                    <w:snapToGrid w:val="0"/>
                    <w:jc w:val="center"/>
                    <w:rPr>
                      <w:rFonts w:hint="default" w:ascii="Times New Roman" w:hAnsi="Times New Roman" w:cs="Times New Roman" w:eastAsiaTheme="minorEastAsia"/>
                      <w:color w:val="auto"/>
                      <w:spacing w:val="5"/>
                      <w:sz w:val="21"/>
                      <w:szCs w:val="21"/>
                      <w:highlight w:val="none"/>
                      <w:lang w:val="zh-CN"/>
                    </w:rPr>
                  </w:pPr>
                </w:p>
              </w:tc>
              <w:tc>
                <w:tcPr>
                  <w:tcW w:w="867" w:type="pct"/>
                  <w:vAlign w:val="center"/>
                </w:tcPr>
                <w:p w14:paraId="28146A7E">
                  <w:pPr>
                    <w:keepNext w:val="0"/>
                    <w:keepLines w:val="0"/>
                    <w:widowControl/>
                    <w:suppressLineNumbers w:val="0"/>
                    <w:jc w:val="center"/>
                    <w:rPr>
                      <w:rFonts w:hint="default" w:ascii="Times New Roman" w:hAnsi="Times New Roman" w:cs="Times New Roman" w:eastAsiaTheme="minorEastAsia"/>
                      <w:color w:val="auto"/>
                      <w:sz w:val="21"/>
                      <w:szCs w:val="21"/>
                      <w:highlight w:val="none"/>
                      <w:lang w:val="en-US" w:eastAsia="zh-CN"/>
                    </w:rPr>
                  </w:pPr>
                </w:p>
              </w:tc>
              <w:tc>
                <w:tcPr>
                  <w:tcW w:w="765" w:type="pct"/>
                  <w:vAlign w:val="center"/>
                </w:tcPr>
                <w:p w14:paraId="592FBFC0">
                  <w:pPr>
                    <w:jc w:val="center"/>
                    <w:rPr>
                      <w:rFonts w:hint="default" w:ascii="Times New Roman" w:hAnsi="Times New Roman" w:cs="Times New Roman" w:eastAsiaTheme="minorEastAsia"/>
                      <w:color w:val="auto"/>
                      <w:sz w:val="21"/>
                      <w:szCs w:val="21"/>
                      <w:highlight w:val="none"/>
                      <w:lang w:eastAsia="zh-CN"/>
                    </w:rPr>
                  </w:pPr>
                </w:p>
              </w:tc>
              <w:tc>
                <w:tcPr>
                  <w:tcW w:w="1087" w:type="pct"/>
                  <w:vAlign w:val="center"/>
                </w:tcPr>
                <w:p w14:paraId="641E09B2">
                  <w:pPr>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435.60</w:t>
                  </w:r>
                </w:p>
              </w:tc>
            </w:tr>
          </w:tbl>
          <w:p w14:paraId="0E735A9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Cs/>
                <w:snapToGrid w:val="0"/>
                <w:color w:val="auto"/>
                <w:spacing w:val="5"/>
                <w:szCs w:val="21"/>
              </w:rPr>
            </w:pPr>
            <w:r>
              <w:rPr>
                <w:bCs/>
                <w:snapToGrid w:val="0"/>
                <w:color w:val="auto"/>
                <w:spacing w:val="5"/>
                <w:szCs w:val="21"/>
              </w:rPr>
              <w:t>表</w:t>
            </w:r>
            <w:r>
              <w:rPr>
                <w:rFonts w:hint="eastAsia"/>
                <w:bCs/>
                <w:snapToGrid w:val="0"/>
                <w:color w:val="auto"/>
                <w:spacing w:val="5"/>
                <w:szCs w:val="21"/>
              </w:rPr>
              <w:t>2-</w:t>
            </w:r>
            <w:r>
              <w:rPr>
                <w:rFonts w:hint="eastAsia"/>
                <w:bCs/>
                <w:snapToGrid w:val="0"/>
                <w:color w:val="auto"/>
                <w:spacing w:val="5"/>
                <w:szCs w:val="21"/>
                <w:lang w:val="en-US" w:eastAsia="zh-CN"/>
              </w:rPr>
              <w:t>7  天然气成分</w:t>
            </w:r>
            <w:r>
              <w:rPr>
                <w:bCs/>
                <w:snapToGrid w:val="0"/>
                <w:color w:val="auto"/>
                <w:spacing w:val="5"/>
                <w:szCs w:val="21"/>
              </w:rPr>
              <w:t>一览表</w:t>
            </w:r>
          </w:p>
          <w:tbl>
            <w:tblPr>
              <w:tblStyle w:val="34"/>
              <w:tblW w:w="8036"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49"/>
              <w:gridCol w:w="950"/>
              <w:gridCol w:w="986"/>
              <w:gridCol w:w="986"/>
              <w:gridCol w:w="926"/>
              <w:gridCol w:w="1228"/>
              <w:gridCol w:w="1811"/>
            </w:tblGrid>
            <w:tr w14:paraId="45A0C99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6" w:type="pct"/>
                  <w:noWrap w:val="0"/>
                  <w:vAlign w:val="center"/>
                </w:tcPr>
                <w:p w14:paraId="2A016D99">
                  <w:pPr>
                    <w:pStyle w:val="130"/>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spacing w:val="5"/>
                      <w:sz w:val="21"/>
                      <w:szCs w:val="21"/>
                      <w:lang w:val="en-US" w:eastAsia="zh-CN"/>
                    </w:rPr>
                  </w:pPr>
                  <w:r>
                    <w:rPr>
                      <w:rFonts w:hint="default" w:ascii="Times New Roman" w:hAnsi="Times New Roman" w:eastAsia="宋体" w:cs="Times New Roman"/>
                      <w:color w:val="auto"/>
                      <w:spacing w:val="5"/>
                      <w:sz w:val="21"/>
                      <w:szCs w:val="21"/>
                      <w:lang w:val="en-US" w:eastAsia="zh-CN"/>
                    </w:rPr>
                    <w:t>组分</w:t>
                  </w:r>
                </w:p>
              </w:tc>
              <w:tc>
                <w:tcPr>
                  <w:tcW w:w="584" w:type="pct"/>
                  <w:noWrap w:val="0"/>
                  <w:vAlign w:val="center"/>
                </w:tcPr>
                <w:p w14:paraId="7BFBA5D5">
                  <w:pPr>
                    <w:pStyle w:val="130"/>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spacing w:val="5"/>
                      <w:sz w:val="21"/>
                      <w:szCs w:val="21"/>
                      <w:lang w:val="en-US" w:eastAsia="zh-CN"/>
                    </w:rPr>
                  </w:pPr>
                  <w:r>
                    <w:rPr>
                      <w:rFonts w:hint="default" w:ascii="Times New Roman" w:hAnsi="Times New Roman" w:eastAsia="宋体" w:cs="Times New Roman"/>
                      <w:color w:val="auto"/>
                      <w:spacing w:val="5"/>
                      <w:sz w:val="21"/>
                      <w:szCs w:val="21"/>
                      <w:lang w:val="en-US" w:eastAsia="zh-CN"/>
                    </w:rPr>
                    <w:t>CH</w:t>
                  </w:r>
                  <w:r>
                    <w:rPr>
                      <w:rFonts w:hint="default" w:ascii="Times New Roman" w:hAnsi="Times New Roman" w:eastAsia="宋体" w:cs="Times New Roman"/>
                      <w:color w:val="auto"/>
                      <w:spacing w:val="5"/>
                      <w:sz w:val="21"/>
                      <w:szCs w:val="21"/>
                      <w:vertAlign w:val="subscript"/>
                      <w:lang w:val="en-US" w:eastAsia="zh-CN"/>
                    </w:rPr>
                    <w:t>4</w:t>
                  </w:r>
                </w:p>
              </w:tc>
              <w:tc>
                <w:tcPr>
                  <w:tcW w:w="606" w:type="pct"/>
                  <w:noWrap w:val="0"/>
                  <w:vAlign w:val="center"/>
                </w:tcPr>
                <w:p w14:paraId="2A3488AB">
                  <w:pPr>
                    <w:pStyle w:val="130"/>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spacing w:val="5"/>
                      <w:sz w:val="21"/>
                      <w:szCs w:val="21"/>
                      <w:lang w:val="en-US" w:eastAsia="zh-CN"/>
                    </w:rPr>
                  </w:pPr>
                  <w:r>
                    <w:rPr>
                      <w:rFonts w:hint="default" w:ascii="Times New Roman" w:hAnsi="Times New Roman" w:eastAsia="宋体" w:cs="Times New Roman"/>
                      <w:color w:val="auto"/>
                      <w:spacing w:val="5"/>
                      <w:sz w:val="21"/>
                      <w:szCs w:val="21"/>
                      <w:lang w:val="en-US" w:eastAsia="zh-CN"/>
                    </w:rPr>
                    <w:t>C</w:t>
                  </w:r>
                  <w:r>
                    <w:rPr>
                      <w:rFonts w:hint="default" w:ascii="Times New Roman" w:hAnsi="Times New Roman" w:eastAsia="宋体" w:cs="Times New Roman"/>
                      <w:color w:val="auto"/>
                      <w:spacing w:val="5"/>
                      <w:sz w:val="21"/>
                      <w:szCs w:val="21"/>
                      <w:vertAlign w:val="subscript"/>
                      <w:lang w:val="en-US" w:eastAsia="zh-CN"/>
                    </w:rPr>
                    <w:t>2</w:t>
                  </w:r>
                  <w:r>
                    <w:rPr>
                      <w:rFonts w:hint="default" w:ascii="Times New Roman" w:hAnsi="Times New Roman" w:eastAsia="宋体" w:cs="Times New Roman"/>
                      <w:color w:val="auto"/>
                      <w:spacing w:val="5"/>
                      <w:sz w:val="21"/>
                      <w:szCs w:val="21"/>
                      <w:lang w:val="en-US" w:eastAsia="zh-CN"/>
                    </w:rPr>
                    <w:t>H</w:t>
                  </w:r>
                  <w:r>
                    <w:rPr>
                      <w:rFonts w:hint="default" w:ascii="Times New Roman" w:hAnsi="Times New Roman" w:eastAsia="宋体" w:cs="Times New Roman"/>
                      <w:color w:val="auto"/>
                      <w:spacing w:val="5"/>
                      <w:sz w:val="21"/>
                      <w:szCs w:val="21"/>
                      <w:vertAlign w:val="subscript"/>
                      <w:lang w:val="en-US" w:eastAsia="zh-CN"/>
                    </w:rPr>
                    <w:t>6</w:t>
                  </w:r>
                </w:p>
              </w:tc>
              <w:tc>
                <w:tcPr>
                  <w:tcW w:w="606" w:type="pct"/>
                  <w:noWrap w:val="0"/>
                  <w:vAlign w:val="center"/>
                </w:tcPr>
                <w:p w14:paraId="72ABA062">
                  <w:pPr>
                    <w:pStyle w:val="130"/>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spacing w:val="5"/>
                      <w:sz w:val="21"/>
                      <w:szCs w:val="21"/>
                      <w:lang w:val="en-US" w:eastAsia="zh-CN"/>
                    </w:rPr>
                  </w:pPr>
                  <w:r>
                    <w:rPr>
                      <w:rFonts w:hint="default" w:ascii="Times New Roman" w:hAnsi="Times New Roman" w:eastAsia="宋体" w:cs="Times New Roman"/>
                      <w:color w:val="auto"/>
                      <w:spacing w:val="5"/>
                      <w:sz w:val="21"/>
                      <w:szCs w:val="21"/>
                      <w:lang w:val="en-US" w:eastAsia="zh-CN"/>
                    </w:rPr>
                    <w:t>C</w:t>
                  </w:r>
                  <w:r>
                    <w:rPr>
                      <w:rFonts w:hint="eastAsia" w:ascii="Times New Roman" w:hAnsi="Times New Roman" w:eastAsia="宋体" w:cs="Times New Roman"/>
                      <w:color w:val="auto"/>
                      <w:spacing w:val="5"/>
                      <w:sz w:val="21"/>
                      <w:szCs w:val="21"/>
                      <w:vertAlign w:val="subscript"/>
                      <w:lang w:val="en-US" w:eastAsia="zh-CN"/>
                    </w:rPr>
                    <w:t>3</w:t>
                  </w:r>
                  <w:r>
                    <w:rPr>
                      <w:rFonts w:hint="default" w:ascii="Times New Roman" w:hAnsi="Times New Roman" w:eastAsia="宋体" w:cs="Times New Roman"/>
                      <w:color w:val="auto"/>
                      <w:spacing w:val="5"/>
                      <w:sz w:val="21"/>
                      <w:szCs w:val="21"/>
                      <w:lang w:val="en-US" w:eastAsia="zh-CN"/>
                    </w:rPr>
                    <w:t>H</w:t>
                  </w:r>
                  <w:r>
                    <w:rPr>
                      <w:rFonts w:hint="eastAsia" w:ascii="Times New Roman" w:hAnsi="Times New Roman" w:eastAsia="宋体" w:cs="Times New Roman"/>
                      <w:color w:val="auto"/>
                      <w:spacing w:val="5"/>
                      <w:sz w:val="21"/>
                      <w:szCs w:val="21"/>
                      <w:vertAlign w:val="subscript"/>
                      <w:lang w:val="en-US" w:eastAsia="zh-CN"/>
                    </w:rPr>
                    <w:t>8</w:t>
                  </w:r>
                </w:p>
              </w:tc>
              <w:tc>
                <w:tcPr>
                  <w:tcW w:w="569" w:type="pct"/>
                  <w:noWrap w:val="0"/>
                  <w:vAlign w:val="center"/>
                </w:tcPr>
                <w:p w14:paraId="058182A8">
                  <w:pPr>
                    <w:pStyle w:val="130"/>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spacing w:val="5"/>
                      <w:sz w:val="21"/>
                      <w:szCs w:val="21"/>
                      <w:lang w:val="en-US" w:eastAsia="zh-CN"/>
                    </w:rPr>
                  </w:pPr>
                  <w:r>
                    <w:rPr>
                      <w:rFonts w:hint="eastAsia" w:ascii="Times New Roman" w:hAnsi="Times New Roman" w:eastAsia="宋体" w:cs="Times New Roman"/>
                      <w:color w:val="auto"/>
                      <w:spacing w:val="5"/>
                      <w:sz w:val="21"/>
                      <w:szCs w:val="21"/>
                      <w:lang w:val="en-US" w:eastAsia="zh-CN"/>
                    </w:rPr>
                    <w:t>N</w:t>
                  </w:r>
                  <w:r>
                    <w:rPr>
                      <w:rFonts w:hint="eastAsia" w:ascii="Times New Roman" w:hAnsi="Times New Roman" w:eastAsia="宋体" w:cs="Times New Roman"/>
                      <w:color w:val="auto"/>
                      <w:spacing w:val="5"/>
                      <w:sz w:val="21"/>
                      <w:szCs w:val="21"/>
                      <w:vertAlign w:val="subscript"/>
                      <w:lang w:val="en-US" w:eastAsia="zh-CN"/>
                    </w:rPr>
                    <w:t>2</w:t>
                  </w:r>
                </w:p>
              </w:tc>
              <w:tc>
                <w:tcPr>
                  <w:tcW w:w="755" w:type="pct"/>
                  <w:noWrap w:val="0"/>
                  <w:vAlign w:val="center"/>
                </w:tcPr>
                <w:p w14:paraId="69A95E68">
                  <w:pPr>
                    <w:pStyle w:val="130"/>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spacing w:val="5"/>
                      <w:sz w:val="21"/>
                      <w:szCs w:val="21"/>
                      <w:lang w:val="en-US" w:eastAsia="zh-CN"/>
                    </w:rPr>
                  </w:pPr>
                  <w:r>
                    <w:rPr>
                      <w:rFonts w:hint="default" w:ascii="Times New Roman" w:hAnsi="Times New Roman" w:eastAsia="宋体" w:cs="Times New Roman"/>
                      <w:color w:val="auto"/>
                      <w:spacing w:val="5"/>
                      <w:sz w:val="21"/>
                      <w:szCs w:val="21"/>
                      <w:lang w:val="en-US" w:eastAsia="zh-CN"/>
                    </w:rPr>
                    <w:t>总硫*</w:t>
                  </w:r>
                </w:p>
              </w:tc>
              <w:tc>
                <w:tcPr>
                  <w:tcW w:w="1113" w:type="pct"/>
                  <w:noWrap w:val="0"/>
                  <w:vAlign w:val="center"/>
                </w:tcPr>
                <w:p w14:paraId="57C1F271">
                  <w:pPr>
                    <w:pStyle w:val="130"/>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spacing w:val="5"/>
                      <w:sz w:val="21"/>
                      <w:szCs w:val="21"/>
                      <w:lang w:val="en-US" w:eastAsia="zh-CN"/>
                    </w:rPr>
                  </w:pPr>
                  <w:r>
                    <w:rPr>
                      <w:rFonts w:hint="default" w:ascii="Times New Roman" w:hAnsi="Times New Roman" w:eastAsia="宋体" w:cs="Times New Roman"/>
                      <w:color w:val="auto"/>
                      <w:spacing w:val="5"/>
                      <w:sz w:val="21"/>
                      <w:szCs w:val="21"/>
                      <w:lang w:val="en-US" w:eastAsia="zh-CN"/>
                    </w:rPr>
                    <w:t>高位发热量</w:t>
                  </w:r>
                </w:p>
              </w:tc>
            </w:tr>
            <w:tr w14:paraId="284DF85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6" w:type="pct"/>
                  <w:noWrap w:val="0"/>
                  <w:vAlign w:val="center"/>
                </w:tcPr>
                <w:p w14:paraId="4750268B">
                  <w:pPr>
                    <w:pStyle w:val="130"/>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spacing w:val="5"/>
                      <w:sz w:val="21"/>
                      <w:szCs w:val="21"/>
                      <w:lang w:val="en-US" w:eastAsia="zh-CN"/>
                    </w:rPr>
                  </w:pPr>
                  <w:r>
                    <w:rPr>
                      <w:rFonts w:hint="default" w:ascii="Times New Roman" w:hAnsi="Times New Roman" w:eastAsia="宋体" w:cs="Times New Roman"/>
                      <w:color w:val="auto"/>
                      <w:spacing w:val="5"/>
                      <w:sz w:val="21"/>
                      <w:szCs w:val="21"/>
                      <w:lang w:val="en-US" w:eastAsia="zh-CN"/>
                    </w:rPr>
                    <w:t>比例（%）</w:t>
                  </w:r>
                </w:p>
              </w:tc>
              <w:tc>
                <w:tcPr>
                  <w:tcW w:w="584" w:type="pct"/>
                  <w:noWrap w:val="0"/>
                  <w:vAlign w:val="center"/>
                </w:tcPr>
                <w:p w14:paraId="162F4CB9">
                  <w:pPr>
                    <w:pStyle w:val="130"/>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spacing w:val="5"/>
                      <w:sz w:val="21"/>
                      <w:szCs w:val="21"/>
                      <w:lang w:val="en-US" w:eastAsia="zh-CN"/>
                    </w:rPr>
                  </w:pPr>
                  <w:r>
                    <w:rPr>
                      <w:rFonts w:hint="default" w:ascii="Times New Roman" w:hAnsi="Times New Roman" w:eastAsia="宋体" w:cs="Times New Roman"/>
                      <w:color w:val="auto"/>
                      <w:spacing w:val="5"/>
                      <w:sz w:val="21"/>
                      <w:szCs w:val="21"/>
                      <w:lang w:val="en-US" w:eastAsia="zh-CN"/>
                    </w:rPr>
                    <w:t>88.886</w:t>
                  </w:r>
                </w:p>
              </w:tc>
              <w:tc>
                <w:tcPr>
                  <w:tcW w:w="606" w:type="pct"/>
                  <w:noWrap w:val="0"/>
                  <w:vAlign w:val="center"/>
                </w:tcPr>
                <w:p w14:paraId="71CD4B11">
                  <w:pPr>
                    <w:pStyle w:val="130"/>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spacing w:val="5"/>
                      <w:sz w:val="21"/>
                      <w:szCs w:val="21"/>
                      <w:lang w:val="en-US" w:eastAsia="zh-CN"/>
                    </w:rPr>
                  </w:pPr>
                  <w:r>
                    <w:rPr>
                      <w:rFonts w:hint="default" w:ascii="Times New Roman" w:hAnsi="Times New Roman" w:eastAsia="宋体" w:cs="Times New Roman"/>
                      <w:color w:val="auto"/>
                      <w:spacing w:val="5"/>
                      <w:sz w:val="21"/>
                      <w:szCs w:val="21"/>
                      <w:lang w:val="en-US" w:eastAsia="zh-CN"/>
                    </w:rPr>
                    <w:t>6.221</w:t>
                  </w:r>
                </w:p>
              </w:tc>
              <w:tc>
                <w:tcPr>
                  <w:tcW w:w="606" w:type="pct"/>
                  <w:noWrap w:val="0"/>
                  <w:vAlign w:val="center"/>
                </w:tcPr>
                <w:p w14:paraId="07D27D6C">
                  <w:pPr>
                    <w:pStyle w:val="130"/>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spacing w:val="5"/>
                      <w:sz w:val="21"/>
                      <w:szCs w:val="21"/>
                      <w:lang w:val="en-US" w:eastAsia="zh-CN"/>
                    </w:rPr>
                  </w:pPr>
                  <w:r>
                    <w:rPr>
                      <w:rFonts w:hint="default" w:ascii="Times New Roman" w:hAnsi="Times New Roman" w:eastAsia="宋体" w:cs="Times New Roman"/>
                      <w:color w:val="auto"/>
                      <w:spacing w:val="5"/>
                      <w:sz w:val="21"/>
                      <w:szCs w:val="21"/>
                      <w:lang w:val="en-US" w:eastAsia="zh-CN"/>
                    </w:rPr>
                    <w:t>1.594</w:t>
                  </w:r>
                </w:p>
              </w:tc>
              <w:tc>
                <w:tcPr>
                  <w:tcW w:w="569" w:type="pct"/>
                  <w:noWrap w:val="0"/>
                  <w:vAlign w:val="center"/>
                </w:tcPr>
                <w:p w14:paraId="10DF2F33">
                  <w:pPr>
                    <w:pStyle w:val="130"/>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spacing w:val="5"/>
                      <w:sz w:val="21"/>
                      <w:szCs w:val="21"/>
                      <w:lang w:val="en-US" w:eastAsia="zh-CN"/>
                    </w:rPr>
                  </w:pPr>
                  <w:r>
                    <w:rPr>
                      <w:rFonts w:hint="default" w:ascii="Times New Roman" w:hAnsi="Times New Roman" w:eastAsia="宋体" w:cs="Times New Roman"/>
                      <w:color w:val="auto"/>
                      <w:spacing w:val="5"/>
                      <w:sz w:val="21"/>
                      <w:szCs w:val="21"/>
                      <w:lang w:val="en-US" w:eastAsia="zh-CN"/>
                    </w:rPr>
                    <w:t>0.538</w:t>
                  </w:r>
                </w:p>
              </w:tc>
              <w:tc>
                <w:tcPr>
                  <w:tcW w:w="755" w:type="pct"/>
                  <w:noWrap w:val="0"/>
                  <w:vAlign w:val="center"/>
                </w:tcPr>
                <w:p w14:paraId="45914B11">
                  <w:pPr>
                    <w:pStyle w:val="130"/>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spacing w:val="5"/>
                      <w:sz w:val="21"/>
                      <w:szCs w:val="21"/>
                      <w:lang w:val="en-US" w:eastAsia="zh-CN"/>
                    </w:rPr>
                  </w:pPr>
                  <w:r>
                    <w:rPr>
                      <w:rFonts w:hint="default" w:ascii="Arial" w:hAnsi="Arial" w:eastAsia="宋体" w:cs="Arial"/>
                      <w:color w:val="auto"/>
                      <w:spacing w:val="5"/>
                      <w:sz w:val="21"/>
                      <w:szCs w:val="21"/>
                      <w:lang w:val="en-US" w:eastAsia="zh-CN"/>
                    </w:rPr>
                    <w:t>≤</w:t>
                  </w:r>
                  <w:r>
                    <w:rPr>
                      <w:rFonts w:hint="default" w:ascii="Times New Roman" w:hAnsi="Times New Roman" w:eastAsia="宋体" w:cs="Times New Roman"/>
                      <w:color w:val="auto"/>
                      <w:spacing w:val="5"/>
                      <w:sz w:val="21"/>
                      <w:szCs w:val="21"/>
                      <w:lang w:val="en-US" w:eastAsia="zh-CN"/>
                    </w:rPr>
                    <w:t>20mg/m</w:t>
                  </w:r>
                  <w:r>
                    <w:rPr>
                      <w:rFonts w:hint="default" w:ascii="Times New Roman" w:hAnsi="Times New Roman" w:eastAsia="宋体" w:cs="Times New Roman"/>
                      <w:color w:val="auto"/>
                      <w:spacing w:val="5"/>
                      <w:sz w:val="21"/>
                      <w:szCs w:val="21"/>
                      <w:vertAlign w:val="superscript"/>
                      <w:lang w:val="en-US" w:eastAsia="zh-CN"/>
                    </w:rPr>
                    <w:t>3</w:t>
                  </w:r>
                </w:p>
              </w:tc>
              <w:tc>
                <w:tcPr>
                  <w:tcW w:w="1113" w:type="pct"/>
                  <w:noWrap w:val="0"/>
                  <w:vAlign w:val="center"/>
                </w:tcPr>
                <w:p w14:paraId="03005DE6">
                  <w:pPr>
                    <w:pStyle w:val="130"/>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spacing w:val="5"/>
                      <w:sz w:val="21"/>
                      <w:szCs w:val="21"/>
                      <w:lang w:val="en-US" w:eastAsia="zh-CN"/>
                    </w:rPr>
                  </w:pPr>
                  <w:r>
                    <w:rPr>
                      <w:rFonts w:hint="default" w:ascii="Times New Roman" w:hAnsi="Times New Roman" w:eastAsia="宋体" w:cs="Times New Roman"/>
                      <w:color w:val="auto"/>
                      <w:spacing w:val="5"/>
                      <w:sz w:val="21"/>
                      <w:szCs w:val="21"/>
                      <w:lang w:val="en-US" w:eastAsia="zh-CN"/>
                    </w:rPr>
                    <w:t>39.808(MMJ/m</w:t>
                  </w:r>
                  <w:r>
                    <w:rPr>
                      <w:rFonts w:hint="eastAsia" w:ascii="Times New Roman" w:hAnsi="Times New Roman" w:eastAsia="宋体" w:cs="Times New Roman"/>
                      <w:color w:val="auto"/>
                      <w:spacing w:val="5"/>
                      <w:sz w:val="21"/>
                      <w:szCs w:val="21"/>
                      <w:vertAlign w:val="superscript"/>
                      <w:lang w:val="en-US" w:eastAsia="zh-CN"/>
                    </w:rPr>
                    <w:t>3</w:t>
                  </w:r>
                  <w:r>
                    <w:rPr>
                      <w:rFonts w:hint="default" w:ascii="Times New Roman" w:hAnsi="Times New Roman" w:eastAsia="宋体" w:cs="Times New Roman"/>
                      <w:color w:val="auto"/>
                      <w:spacing w:val="5"/>
                      <w:sz w:val="21"/>
                      <w:szCs w:val="21"/>
                      <w:lang w:val="en-US" w:eastAsia="zh-CN"/>
                    </w:rPr>
                    <w:t>)</w:t>
                  </w:r>
                </w:p>
              </w:tc>
            </w:tr>
          </w:tbl>
          <w:p w14:paraId="44CEC1F1">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Times New Roman" w:hAnsi="Times New Roman" w:eastAsia="宋体" w:cs="宋体"/>
                <w:color w:val="auto"/>
                <w:sz w:val="21"/>
                <w:szCs w:val="21"/>
                <w:u w:val="none"/>
                <w:lang w:val="en-US" w:eastAsia="zh-CN"/>
              </w:rPr>
            </w:pPr>
            <w:r>
              <w:rPr>
                <w:rFonts w:hint="eastAsia" w:ascii="Times New Roman" w:hAnsi="Times New Roman" w:eastAsia="宋体" w:cs="宋体"/>
                <w:color w:val="auto"/>
                <w:sz w:val="21"/>
                <w:szCs w:val="21"/>
                <w:u w:val="none"/>
                <w:lang w:val="en-US" w:eastAsia="zh-CN"/>
              </w:rPr>
              <w:t>*类比一类天然气成分中收到基总硫含量</w:t>
            </w:r>
          </w:p>
          <w:p w14:paraId="584AA77D">
            <w:pPr>
              <w:pStyle w:val="10"/>
              <w:rPr>
                <w:rFonts w:hint="eastAsia"/>
                <w:color w:val="auto"/>
                <w:highlight w:val="none"/>
                <w:lang w:val="en-US" w:eastAsia="zh-CN"/>
              </w:rPr>
            </w:pPr>
          </w:p>
          <w:p w14:paraId="389AA2D8">
            <w:pPr>
              <w:pStyle w:val="10"/>
              <w:rPr>
                <w:rFonts w:hint="eastAsia"/>
                <w:color w:val="auto"/>
                <w:highlight w:val="none"/>
                <w:lang w:val="en-US" w:eastAsia="zh-CN"/>
              </w:rPr>
            </w:pPr>
          </w:p>
          <w:p w14:paraId="4C487542">
            <w:pPr>
              <w:pStyle w:val="10"/>
              <w:rPr>
                <w:rFonts w:hint="eastAsia"/>
                <w:color w:val="auto"/>
                <w:highlight w:val="none"/>
                <w:lang w:val="en-US" w:eastAsia="zh-CN"/>
              </w:rPr>
            </w:pPr>
            <w:r>
              <w:rPr>
                <w:rFonts w:hint="eastAsia"/>
                <w:color w:val="auto"/>
                <w:highlight w:val="none"/>
                <w:lang w:val="en-US" w:eastAsia="zh-CN"/>
              </w:rPr>
              <w:t>表2-8  物料平衡一览表</w:t>
            </w:r>
          </w:p>
          <w:tbl>
            <w:tblPr>
              <w:tblStyle w:val="34"/>
              <w:tblW w:w="4993"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2"/>
              <w:gridCol w:w="1467"/>
              <w:gridCol w:w="1190"/>
              <w:gridCol w:w="749"/>
              <w:gridCol w:w="2391"/>
              <w:gridCol w:w="1828"/>
            </w:tblGrid>
            <w:tr w14:paraId="3D0813F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99" w:type="pct"/>
                  <w:tcBorders>
                    <w:tl2br w:val="nil"/>
                    <w:tr2bl w:val="nil"/>
                  </w:tcBorders>
                  <w:noWrap w:val="0"/>
                  <w:vAlign w:val="center"/>
                </w:tcPr>
                <w:p w14:paraId="0D0B12F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outlineLvl w:val="2"/>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序号</w:t>
                  </w:r>
                </w:p>
              </w:tc>
              <w:tc>
                <w:tcPr>
                  <w:tcW w:w="885" w:type="pct"/>
                  <w:tcBorders>
                    <w:tl2br w:val="nil"/>
                    <w:tr2bl w:val="nil"/>
                  </w:tcBorders>
                  <w:noWrap w:val="0"/>
                  <w:vAlign w:val="center"/>
                </w:tcPr>
                <w:p w14:paraId="45862FF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outlineLvl w:val="2"/>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物料名称</w:t>
                  </w:r>
                </w:p>
              </w:tc>
              <w:tc>
                <w:tcPr>
                  <w:tcW w:w="718" w:type="pct"/>
                  <w:tcBorders>
                    <w:tl2br w:val="nil"/>
                    <w:tr2bl w:val="nil"/>
                  </w:tcBorders>
                  <w:noWrap w:val="0"/>
                  <w:vAlign w:val="center"/>
                </w:tcPr>
                <w:p w14:paraId="5B9FCBE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outlineLvl w:val="2"/>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输入量t/a</w:t>
                  </w:r>
                </w:p>
              </w:tc>
              <w:tc>
                <w:tcPr>
                  <w:tcW w:w="452" w:type="pct"/>
                  <w:tcBorders>
                    <w:tl2br w:val="nil"/>
                    <w:tr2bl w:val="nil"/>
                  </w:tcBorders>
                  <w:noWrap w:val="0"/>
                  <w:vAlign w:val="center"/>
                </w:tcPr>
                <w:p w14:paraId="6B89183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outlineLvl w:val="2"/>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序号</w:t>
                  </w:r>
                </w:p>
              </w:tc>
              <w:tc>
                <w:tcPr>
                  <w:tcW w:w="1442" w:type="pct"/>
                  <w:tcBorders>
                    <w:tl2br w:val="nil"/>
                    <w:tr2bl w:val="nil"/>
                  </w:tcBorders>
                  <w:noWrap w:val="0"/>
                  <w:vAlign w:val="center"/>
                </w:tcPr>
                <w:p w14:paraId="11AA13B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outlineLvl w:val="2"/>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物料名称</w:t>
                  </w:r>
                </w:p>
              </w:tc>
              <w:tc>
                <w:tcPr>
                  <w:tcW w:w="1102" w:type="pct"/>
                  <w:tcBorders>
                    <w:tl2br w:val="nil"/>
                    <w:tr2bl w:val="nil"/>
                  </w:tcBorders>
                  <w:noWrap w:val="0"/>
                  <w:vAlign w:val="center"/>
                </w:tcPr>
                <w:p w14:paraId="198FB1C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outlineLvl w:val="2"/>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产生量/输出量t/a</w:t>
                  </w:r>
                </w:p>
              </w:tc>
            </w:tr>
            <w:tr w14:paraId="6304411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99" w:type="pct"/>
                  <w:tcBorders>
                    <w:tl2br w:val="nil"/>
                    <w:tr2bl w:val="nil"/>
                  </w:tcBorders>
                  <w:noWrap w:val="0"/>
                  <w:vAlign w:val="center"/>
                </w:tcPr>
                <w:p w14:paraId="7DEB32E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c>
                <w:tcPr>
                  <w:tcW w:w="885" w:type="pct"/>
                  <w:tcBorders>
                    <w:tl2br w:val="nil"/>
                    <w:tr2bl w:val="nil"/>
                  </w:tcBorders>
                  <w:shd w:val="clear" w:color="auto" w:fill="auto"/>
                  <w:noWrap w:val="0"/>
                  <w:vAlign w:val="center"/>
                </w:tcPr>
                <w:p w14:paraId="0A5AA75D">
                  <w:pPr>
                    <w:keepNext w:val="0"/>
                    <w:keepLines w:val="0"/>
                    <w:widowControl/>
                    <w:suppressLineNumbers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0"/>
                      <w:sz w:val="21"/>
                      <w:szCs w:val="21"/>
                      <w:highlight w:val="none"/>
                      <w:lang w:val="en-US" w:eastAsia="zh-CN" w:bidi="ar"/>
                    </w:rPr>
                    <w:t>圆钢</w:t>
                  </w:r>
                  <w:r>
                    <w:rPr>
                      <w:rFonts w:hint="eastAsia" w:ascii="Times New Roman" w:hAnsi="Times New Roman" w:cs="Times New Roman" w:eastAsiaTheme="minorEastAsia"/>
                      <w:color w:val="auto"/>
                      <w:kern w:val="0"/>
                      <w:sz w:val="21"/>
                      <w:szCs w:val="21"/>
                      <w:highlight w:val="none"/>
                      <w:lang w:val="en-US" w:eastAsia="zh-CN" w:bidi="ar"/>
                    </w:rPr>
                    <w:t>（钢球）</w:t>
                  </w:r>
                </w:p>
              </w:tc>
              <w:tc>
                <w:tcPr>
                  <w:tcW w:w="718" w:type="pct"/>
                  <w:tcBorders>
                    <w:tl2br w:val="nil"/>
                    <w:tr2bl w:val="nil"/>
                  </w:tcBorders>
                  <w:shd w:val="clear" w:color="auto" w:fill="auto"/>
                  <w:noWrap w:val="0"/>
                  <w:vAlign w:val="center"/>
                </w:tcPr>
                <w:p w14:paraId="6D1FAB35">
                  <w:pPr>
                    <w:keepNext w:val="0"/>
                    <w:keepLines w:val="0"/>
                    <w:widowControl/>
                    <w:suppressLineNumbers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0"/>
                      <w:sz w:val="21"/>
                      <w:szCs w:val="21"/>
                      <w:highlight w:val="none"/>
                      <w:lang w:val="en-US" w:eastAsia="zh-CN" w:bidi="ar"/>
                    </w:rPr>
                    <w:t>42105.26</w:t>
                  </w:r>
                </w:p>
              </w:tc>
              <w:tc>
                <w:tcPr>
                  <w:tcW w:w="452" w:type="pct"/>
                  <w:tcBorders>
                    <w:tl2br w:val="nil"/>
                    <w:tr2bl w:val="nil"/>
                  </w:tcBorders>
                  <w:noWrap w:val="0"/>
                  <w:vAlign w:val="center"/>
                </w:tcPr>
                <w:p w14:paraId="114227E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c>
                <w:tcPr>
                  <w:tcW w:w="1442" w:type="pct"/>
                  <w:tcBorders>
                    <w:tl2br w:val="nil"/>
                    <w:tr2bl w:val="nil"/>
                  </w:tcBorders>
                  <w:shd w:val="clear" w:color="auto" w:fill="auto"/>
                  <w:noWrap w:val="0"/>
                  <w:vAlign w:val="center"/>
                </w:tcPr>
                <w:p w14:paraId="684ACB25">
                  <w:pPr>
                    <w:jc w:val="center"/>
                    <w:rPr>
                      <w:rFonts w:hint="default" w:ascii="Times New Roman" w:hAnsi="Times New Roman" w:eastAsia="宋体" w:cs="Times New Roman"/>
                      <w:color w:val="auto"/>
                      <w:spacing w:val="5"/>
                      <w:kern w:val="2"/>
                      <w:sz w:val="21"/>
                      <w:szCs w:val="21"/>
                      <w:highlight w:val="none"/>
                      <w:lang w:val="en-US" w:eastAsia="zh-CN" w:bidi="ar-SA"/>
                    </w:rPr>
                  </w:pPr>
                  <w:r>
                    <w:rPr>
                      <w:rFonts w:hint="eastAsia"/>
                      <w:color w:val="auto"/>
                      <w:lang w:val="en-US" w:eastAsia="zh-CN"/>
                    </w:rPr>
                    <w:t>衬板</w:t>
                  </w:r>
                </w:p>
              </w:tc>
              <w:tc>
                <w:tcPr>
                  <w:tcW w:w="1102" w:type="pct"/>
                  <w:tcBorders>
                    <w:tl2br w:val="nil"/>
                    <w:tr2bl w:val="nil"/>
                  </w:tcBorders>
                  <w:shd w:val="clear" w:color="auto" w:fill="auto"/>
                  <w:noWrap w:val="0"/>
                  <w:vAlign w:val="center"/>
                </w:tcPr>
                <w:p w14:paraId="0E38DC48">
                  <w:pPr>
                    <w:jc w:val="center"/>
                    <w:rPr>
                      <w:rFonts w:hint="default" w:ascii="Times New Roman" w:hAnsi="Times New Roman" w:eastAsia="宋体" w:cs="Times New Roman"/>
                      <w:color w:val="auto"/>
                      <w:spacing w:val="5"/>
                      <w:kern w:val="2"/>
                      <w:sz w:val="21"/>
                      <w:szCs w:val="21"/>
                      <w:highlight w:val="none"/>
                      <w:lang w:val="en-US" w:eastAsia="zh-CN" w:bidi="ar-SA"/>
                    </w:rPr>
                  </w:pPr>
                  <w:r>
                    <w:rPr>
                      <w:rFonts w:hint="default"/>
                      <w:color w:val="auto"/>
                      <w:spacing w:val="5"/>
                      <w:szCs w:val="21"/>
                      <w:highlight w:val="none"/>
                      <w:lang w:val="en-US" w:eastAsia="zh-CN"/>
                    </w:rPr>
                    <w:t>8267</w:t>
                  </w:r>
                </w:p>
              </w:tc>
            </w:tr>
            <w:tr w14:paraId="695F830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9" w:type="pct"/>
                  <w:tcBorders>
                    <w:tl2br w:val="nil"/>
                    <w:tr2bl w:val="nil"/>
                  </w:tcBorders>
                  <w:noWrap w:val="0"/>
                  <w:vAlign w:val="center"/>
                </w:tcPr>
                <w:p w14:paraId="02C73C7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w:t>
                  </w:r>
                </w:p>
              </w:tc>
              <w:tc>
                <w:tcPr>
                  <w:tcW w:w="885" w:type="pct"/>
                  <w:tcBorders>
                    <w:tl2br w:val="nil"/>
                    <w:tr2bl w:val="nil"/>
                  </w:tcBorders>
                  <w:shd w:val="clear" w:color="auto" w:fill="auto"/>
                  <w:noWrap w:val="0"/>
                  <w:vAlign w:val="center"/>
                </w:tcPr>
                <w:p w14:paraId="65044102">
                  <w:pPr>
                    <w:keepNext w:val="0"/>
                    <w:keepLines w:val="0"/>
                    <w:widowControl/>
                    <w:suppressLineNumbers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0"/>
                      <w:sz w:val="21"/>
                      <w:szCs w:val="21"/>
                      <w:highlight w:val="none"/>
                      <w:lang w:val="en-US" w:eastAsia="zh-CN" w:bidi="ar"/>
                    </w:rPr>
                    <w:t>圆钢</w:t>
                  </w:r>
                  <w:r>
                    <w:rPr>
                      <w:rFonts w:hint="eastAsia" w:ascii="Times New Roman" w:hAnsi="Times New Roman" w:cs="Times New Roman" w:eastAsiaTheme="minorEastAsia"/>
                      <w:color w:val="auto"/>
                      <w:kern w:val="0"/>
                      <w:sz w:val="21"/>
                      <w:szCs w:val="21"/>
                      <w:highlight w:val="none"/>
                      <w:lang w:val="en-US" w:eastAsia="zh-CN" w:bidi="ar"/>
                    </w:rPr>
                    <w:t>（</w:t>
                  </w:r>
                  <w:r>
                    <w:rPr>
                      <w:rFonts w:hint="eastAsia"/>
                      <w:color w:val="auto"/>
                      <w:lang w:val="en-US" w:eastAsia="zh-CN"/>
                    </w:rPr>
                    <w:t>衬板</w:t>
                  </w:r>
                  <w:r>
                    <w:rPr>
                      <w:rFonts w:hint="eastAsia" w:ascii="Times New Roman" w:hAnsi="Times New Roman" w:cs="Times New Roman" w:eastAsiaTheme="minorEastAsia"/>
                      <w:color w:val="auto"/>
                      <w:kern w:val="0"/>
                      <w:sz w:val="21"/>
                      <w:szCs w:val="21"/>
                      <w:highlight w:val="none"/>
                      <w:lang w:val="en-US" w:eastAsia="zh-CN" w:bidi="ar"/>
                    </w:rPr>
                    <w:t>）</w:t>
                  </w:r>
                </w:p>
              </w:tc>
              <w:tc>
                <w:tcPr>
                  <w:tcW w:w="718" w:type="pct"/>
                  <w:tcBorders>
                    <w:tl2br w:val="nil"/>
                    <w:tr2bl w:val="nil"/>
                  </w:tcBorders>
                  <w:shd w:val="clear" w:color="auto" w:fill="auto"/>
                  <w:noWrap w:val="0"/>
                  <w:vAlign w:val="center"/>
                </w:tcPr>
                <w:p w14:paraId="3899BAF4">
                  <w:pPr>
                    <w:keepNext w:val="0"/>
                    <w:keepLines w:val="0"/>
                    <w:widowControl/>
                    <w:suppressLineNumbers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0"/>
                      <w:sz w:val="21"/>
                      <w:szCs w:val="21"/>
                      <w:highlight w:val="none"/>
                      <w:lang w:val="en-US" w:eastAsia="zh-CN" w:bidi="ar"/>
                    </w:rPr>
                    <w:t>8893</w:t>
                  </w:r>
                </w:p>
              </w:tc>
              <w:tc>
                <w:tcPr>
                  <w:tcW w:w="452" w:type="pct"/>
                  <w:tcBorders>
                    <w:tl2br w:val="nil"/>
                    <w:tr2bl w:val="nil"/>
                  </w:tcBorders>
                  <w:noWrap w:val="0"/>
                  <w:vAlign w:val="center"/>
                </w:tcPr>
                <w:p w14:paraId="0EA74B9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w:t>
                  </w:r>
                </w:p>
              </w:tc>
              <w:tc>
                <w:tcPr>
                  <w:tcW w:w="1442" w:type="pct"/>
                  <w:tcBorders>
                    <w:tl2br w:val="nil"/>
                    <w:tr2bl w:val="nil"/>
                  </w:tcBorders>
                  <w:shd w:val="clear" w:color="auto" w:fill="auto"/>
                  <w:noWrap w:val="0"/>
                  <w:vAlign w:val="center"/>
                </w:tcPr>
                <w:p w14:paraId="2E96B1EB">
                  <w:pPr>
                    <w:jc w:val="center"/>
                    <w:rPr>
                      <w:rFonts w:hint="default" w:ascii="Times New Roman" w:hAnsi="Times New Roman" w:eastAsia="宋体" w:cs="Times New Roman"/>
                      <w:color w:val="auto"/>
                      <w:spacing w:val="5"/>
                      <w:kern w:val="2"/>
                      <w:sz w:val="21"/>
                      <w:szCs w:val="21"/>
                      <w:highlight w:val="none"/>
                      <w:lang w:val="en-US" w:eastAsia="zh-CN" w:bidi="ar-SA"/>
                    </w:rPr>
                  </w:pPr>
                  <w:r>
                    <w:rPr>
                      <w:rFonts w:hint="eastAsia"/>
                      <w:color w:val="auto"/>
                      <w:spacing w:val="5"/>
                      <w:szCs w:val="21"/>
                      <w:highlight w:val="none"/>
                      <w:lang w:val="en-US" w:eastAsia="zh-CN"/>
                    </w:rPr>
                    <w:t>锻轧（造）钢球</w:t>
                  </w:r>
                </w:p>
              </w:tc>
              <w:tc>
                <w:tcPr>
                  <w:tcW w:w="1102" w:type="pct"/>
                  <w:tcBorders>
                    <w:tl2br w:val="nil"/>
                    <w:tr2bl w:val="nil"/>
                  </w:tcBorders>
                  <w:shd w:val="clear" w:color="auto" w:fill="auto"/>
                  <w:noWrap w:val="0"/>
                  <w:vAlign w:val="center"/>
                </w:tcPr>
                <w:p w14:paraId="1EBEFF02">
                  <w:pPr>
                    <w:jc w:val="center"/>
                    <w:rPr>
                      <w:rFonts w:hint="default" w:ascii="Times New Roman" w:hAnsi="Times New Roman" w:eastAsia="宋体" w:cs="Times New Roman"/>
                      <w:color w:val="auto"/>
                      <w:spacing w:val="5"/>
                      <w:kern w:val="2"/>
                      <w:sz w:val="21"/>
                      <w:szCs w:val="21"/>
                      <w:highlight w:val="none"/>
                      <w:lang w:val="en-US" w:eastAsia="zh-CN" w:bidi="ar-SA"/>
                    </w:rPr>
                  </w:pPr>
                  <w:r>
                    <w:rPr>
                      <w:rFonts w:hint="eastAsia"/>
                      <w:color w:val="auto"/>
                      <w:spacing w:val="5"/>
                      <w:szCs w:val="21"/>
                      <w:highlight w:val="none"/>
                      <w:lang w:val="en-US" w:eastAsia="zh-CN"/>
                    </w:rPr>
                    <w:t>40000</w:t>
                  </w:r>
                </w:p>
              </w:tc>
            </w:tr>
            <w:tr w14:paraId="16F733A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99" w:type="pct"/>
                  <w:tcBorders>
                    <w:tl2br w:val="nil"/>
                    <w:tr2bl w:val="nil"/>
                  </w:tcBorders>
                  <w:noWrap w:val="0"/>
                  <w:vAlign w:val="center"/>
                </w:tcPr>
                <w:p w14:paraId="2A08109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3</w:t>
                  </w:r>
                </w:p>
              </w:tc>
              <w:tc>
                <w:tcPr>
                  <w:tcW w:w="885" w:type="pct"/>
                  <w:tcBorders>
                    <w:tl2br w:val="nil"/>
                    <w:tr2bl w:val="nil"/>
                  </w:tcBorders>
                  <w:noWrap w:val="0"/>
                  <w:vAlign w:val="center"/>
                </w:tcPr>
                <w:p w14:paraId="0CB13A5B">
                  <w:pPr>
                    <w:keepNext w:val="0"/>
                    <w:keepLines w:val="0"/>
                    <w:widowControl/>
                    <w:suppressLineNumbers w:val="0"/>
                    <w:jc w:val="center"/>
                    <w:textAlignment w:val="center"/>
                    <w:rPr>
                      <w:rFonts w:hint="default" w:ascii="Times New Roman" w:eastAsia="宋体"/>
                      <w:color w:val="auto"/>
                      <w:kern w:val="24"/>
                      <w:sz w:val="21"/>
                      <w:szCs w:val="21"/>
                      <w:lang w:val="en-US" w:eastAsia="zh-CN" w:bidi="ar-SA"/>
                    </w:rPr>
                  </w:pPr>
                  <w:r>
                    <w:rPr>
                      <w:rFonts w:hint="default" w:ascii="Times New Roman" w:hAnsi="Times New Roman" w:cs="Times New Roman" w:eastAsiaTheme="minorEastAsia"/>
                      <w:color w:val="auto"/>
                      <w:szCs w:val="21"/>
                      <w:highlight w:val="none"/>
                    </w:rPr>
                    <w:t>钢丸</w:t>
                  </w:r>
                </w:p>
              </w:tc>
              <w:tc>
                <w:tcPr>
                  <w:tcW w:w="718" w:type="pct"/>
                  <w:tcBorders>
                    <w:tl2br w:val="nil"/>
                    <w:tr2bl w:val="nil"/>
                  </w:tcBorders>
                  <w:noWrap w:val="0"/>
                  <w:vAlign w:val="center"/>
                </w:tcPr>
                <w:p w14:paraId="22B155CB">
                  <w:pPr>
                    <w:keepNext w:val="0"/>
                    <w:keepLines w:val="0"/>
                    <w:widowControl/>
                    <w:suppressLineNumbers w:val="0"/>
                    <w:jc w:val="center"/>
                    <w:textAlignment w:val="center"/>
                    <w:rPr>
                      <w:rFonts w:hint="default" w:ascii="Times New Roman" w:eastAsia="宋体"/>
                      <w:color w:val="auto"/>
                      <w:kern w:val="24"/>
                      <w:sz w:val="21"/>
                      <w:szCs w:val="21"/>
                      <w:highlight w:val="none"/>
                      <w:lang w:val="en-US" w:eastAsia="zh-CN" w:bidi="ar-SA"/>
                    </w:rPr>
                  </w:pPr>
                  <w:r>
                    <w:rPr>
                      <w:rFonts w:hint="default" w:ascii="Times New Roman" w:hAnsi="Times New Roman" w:cs="Times New Roman" w:eastAsiaTheme="minorEastAsia"/>
                      <w:color w:val="auto"/>
                      <w:szCs w:val="21"/>
                      <w:highlight w:val="none"/>
                    </w:rPr>
                    <w:t>1.5</w:t>
                  </w:r>
                </w:p>
              </w:tc>
              <w:tc>
                <w:tcPr>
                  <w:tcW w:w="452" w:type="pct"/>
                  <w:tcBorders>
                    <w:tl2br w:val="nil"/>
                    <w:tr2bl w:val="nil"/>
                  </w:tcBorders>
                  <w:noWrap w:val="0"/>
                  <w:vAlign w:val="center"/>
                </w:tcPr>
                <w:p w14:paraId="4FF7F23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w:t>
                  </w:r>
                </w:p>
              </w:tc>
              <w:tc>
                <w:tcPr>
                  <w:tcW w:w="1442" w:type="pct"/>
                  <w:tcBorders>
                    <w:tl2br w:val="nil"/>
                    <w:tr2bl w:val="nil"/>
                  </w:tcBorders>
                  <w:noWrap w:val="0"/>
                  <w:vAlign w:val="center"/>
                </w:tcPr>
                <w:p w14:paraId="0D11C6B3">
                  <w:pPr>
                    <w:keepNext w:val="0"/>
                    <w:keepLines w:val="0"/>
                    <w:widowControl/>
                    <w:suppressLineNumbers w:val="0"/>
                    <w:jc w:val="center"/>
                    <w:textAlignment w:val="center"/>
                    <w:rPr>
                      <w:rFonts w:hint="default" w:ascii="Times New Roman" w:eastAsia="宋体"/>
                      <w:color w:val="auto"/>
                      <w:kern w:val="0"/>
                      <w:sz w:val="21"/>
                      <w:szCs w:val="21"/>
                      <w:highlight w:val="none"/>
                      <w:lang w:val="en-US" w:eastAsia="zh-CN" w:bidi="ar-SA"/>
                    </w:rPr>
                  </w:pPr>
                  <w:r>
                    <w:rPr>
                      <w:rFonts w:hint="eastAsia" w:ascii="Times New Roman"/>
                      <w:color w:val="auto"/>
                      <w:kern w:val="0"/>
                      <w:sz w:val="21"/>
                      <w:szCs w:val="21"/>
                      <w:highlight w:val="none"/>
                      <w:lang w:val="en-US" w:eastAsia="zh-CN" w:bidi="ar-SA"/>
                    </w:rPr>
                    <w:t>废气（有组织+无组织）</w:t>
                  </w:r>
                </w:p>
              </w:tc>
              <w:tc>
                <w:tcPr>
                  <w:tcW w:w="1102" w:type="pct"/>
                  <w:tcBorders>
                    <w:tl2br w:val="nil"/>
                    <w:tr2bl w:val="nil"/>
                  </w:tcBorders>
                  <w:noWrap w:val="0"/>
                  <w:vAlign w:val="center"/>
                </w:tcPr>
                <w:p w14:paraId="2656EB1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cs="Times New Roman"/>
                      <w:i w:val="0"/>
                      <w:iCs w:val="0"/>
                      <w:color w:val="auto"/>
                      <w:kern w:val="0"/>
                      <w:sz w:val="21"/>
                      <w:szCs w:val="21"/>
                      <w:highlight w:val="none"/>
                      <w:u w:val="none"/>
                      <w:lang w:val="en-US" w:eastAsia="zh-CN" w:bidi="ar"/>
                    </w:rPr>
                    <w:t>0.4</w:t>
                  </w:r>
                </w:p>
              </w:tc>
            </w:tr>
            <w:tr w14:paraId="73E162B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99" w:type="pct"/>
                  <w:tcBorders>
                    <w:tl2br w:val="nil"/>
                    <w:tr2bl w:val="nil"/>
                  </w:tcBorders>
                  <w:noWrap w:val="0"/>
                  <w:vAlign w:val="center"/>
                </w:tcPr>
                <w:p w14:paraId="5317B71D">
                  <w:pPr>
                    <w:jc w:val="center"/>
                    <w:rPr>
                      <w:rFonts w:hint="default" w:ascii="Times New Roman" w:hAnsi="Times New Roman" w:eastAsia="宋体" w:cs="Times New Roman"/>
                      <w:color w:val="auto"/>
                      <w:sz w:val="21"/>
                      <w:szCs w:val="21"/>
                      <w:highlight w:val="none"/>
                      <w:lang w:val="en-US" w:eastAsia="zh-CN"/>
                    </w:rPr>
                  </w:pPr>
                </w:p>
              </w:tc>
              <w:tc>
                <w:tcPr>
                  <w:tcW w:w="885" w:type="pct"/>
                  <w:tcBorders>
                    <w:tl2br w:val="nil"/>
                    <w:tr2bl w:val="nil"/>
                  </w:tcBorders>
                  <w:noWrap w:val="0"/>
                  <w:vAlign w:val="center"/>
                </w:tcPr>
                <w:p w14:paraId="41F50C44">
                  <w:pPr>
                    <w:jc w:val="center"/>
                    <w:rPr>
                      <w:rFonts w:hint="default" w:ascii="Times New Roman" w:hAnsi="Times New Roman" w:eastAsia="宋体" w:cs="Times New Roman"/>
                      <w:color w:val="auto"/>
                      <w:sz w:val="21"/>
                      <w:szCs w:val="21"/>
                      <w:highlight w:val="none"/>
                      <w:lang w:val="en-US" w:eastAsia="zh-CN"/>
                    </w:rPr>
                  </w:pPr>
                </w:p>
              </w:tc>
              <w:tc>
                <w:tcPr>
                  <w:tcW w:w="718" w:type="pct"/>
                  <w:tcBorders>
                    <w:tl2br w:val="nil"/>
                    <w:tr2bl w:val="nil"/>
                  </w:tcBorders>
                  <w:noWrap w:val="0"/>
                  <w:vAlign w:val="center"/>
                </w:tcPr>
                <w:p w14:paraId="4B8A7F23">
                  <w:pPr>
                    <w:jc w:val="center"/>
                    <w:rPr>
                      <w:rFonts w:hint="default" w:ascii="Times New Roman" w:hAnsi="Times New Roman" w:eastAsia="宋体" w:cs="Times New Roman"/>
                      <w:color w:val="auto"/>
                      <w:sz w:val="21"/>
                      <w:szCs w:val="21"/>
                      <w:highlight w:val="none"/>
                      <w:lang w:val="en-US" w:eastAsia="zh-CN"/>
                    </w:rPr>
                  </w:pPr>
                </w:p>
              </w:tc>
              <w:tc>
                <w:tcPr>
                  <w:tcW w:w="452" w:type="pct"/>
                  <w:tcBorders>
                    <w:tl2br w:val="nil"/>
                    <w:tr2bl w:val="nil"/>
                  </w:tcBorders>
                  <w:noWrap w:val="0"/>
                  <w:vAlign w:val="center"/>
                </w:tcPr>
                <w:p w14:paraId="4AAE34D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w:t>
                  </w:r>
                </w:p>
              </w:tc>
              <w:tc>
                <w:tcPr>
                  <w:tcW w:w="1442" w:type="pct"/>
                  <w:tcBorders>
                    <w:tl2br w:val="nil"/>
                    <w:tr2bl w:val="nil"/>
                  </w:tcBorders>
                  <w:shd w:val="clear" w:color="auto" w:fill="auto"/>
                  <w:noWrap w:val="0"/>
                  <w:vAlign w:val="center"/>
                </w:tcPr>
                <w:p w14:paraId="2E143DA7">
                  <w:pPr>
                    <w:pStyle w:val="112"/>
                    <w:spacing w:line="240" w:lineRule="auto"/>
                    <w:ind w:left="-105" w:leftChars="-50" w:right="-105" w:rightChars="-5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Style w:val="58"/>
                      <w:rFonts w:hint="eastAsia"/>
                      <w:color w:val="auto"/>
                      <w:sz w:val="21"/>
                      <w:szCs w:val="21"/>
                      <w:highlight w:val="none"/>
                      <w:lang w:val="en-US"/>
                    </w:rPr>
                    <w:t>不合格品</w:t>
                  </w:r>
                </w:p>
              </w:tc>
              <w:tc>
                <w:tcPr>
                  <w:tcW w:w="1102" w:type="pct"/>
                  <w:tcBorders>
                    <w:tl2br w:val="nil"/>
                    <w:tr2bl w:val="nil"/>
                  </w:tcBorders>
                  <w:shd w:val="clear" w:color="auto" w:fill="auto"/>
                  <w:noWrap w:val="0"/>
                  <w:vAlign w:val="center"/>
                </w:tcPr>
                <w:p w14:paraId="23599ADA">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2714.083</w:t>
                  </w:r>
                </w:p>
              </w:tc>
            </w:tr>
            <w:tr w14:paraId="1C79F34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399" w:type="pct"/>
                  <w:tcBorders>
                    <w:tl2br w:val="nil"/>
                    <w:tr2bl w:val="nil"/>
                  </w:tcBorders>
                  <w:noWrap w:val="0"/>
                  <w:vAlign w:val="center"/>
                </w:tcPr>
                <w:p w14:paraId="54BCF781">
                  <w:pPr>
                    <w:jc w:val="center"/>
                    <w:rPr>
                      <w:rFonts w:hint="default" w:ascii="Times New Roman" w:hAnsi="Times New Roman" w:eastAsia="宋体" w:cs="Times New Roman"/>
                      <w:color w:val="auto"/>
                      <w:sz w:val="21"/>
                      <w:szCs w:val="21"/>
                      <w:highlight w:val="none"/>
                      <w:lang w:val="en-US" w:eastAsia="zh-CN"/>
                    </w:rPr>
                  </w:pPr>
                </w:p>
              </w:tc>
              <w:tc>
                <w:tcPr>
                  <w:tcW w:w="885" w:type="pct"/>
                  <w:tcBorders>
                    <w:tl2br w:val="nil"/>
                    <w:tr2bl w:val="nil"/>
                  </w:tcBorders>
                  <w:noWrap w:val="0"/>
                  <w:vAlign w:val="center"/>
                </w:tcPr>
                <w:p w14:paraId="0D242628">
                  <w:pPr>
                    <w:jc w:val="center"/>
                    <w:rPr>
                      <w:rFonts w:hint="default" w:ascii="Times New Roman" w:hAnsi="Times New Roman" w:eastAsia="宋体" w:cs="Times New Roman"/>
                      <w:color w:val="auto"/>
                      <w:sz w:val="21"/>
                      <w:szCs w:val="21"/>
                      <w:highlight w:val="none"/>
                      <w:lang w:val="en-US" w:eastAsia="zh-CN"/>
                    </w:rPr>
                  </w:pPr>
                </w:p>
              </w:tc>
              <w:tc>
                <w:tcPr>
                  <w:tcW w:w="718" w:type="pct"/>
                  <w:tcBorders>
                    <w:tl2br w:val="nil"/>
                    <w:tr2bl w:val="nil"/>
                  </w:tcBorders>
                  <w:noWrap w:val="0"/>
                  <w:vAlign w:val="center"/>
                </w:tcPr>
                <w:p w14:paraId="3992DCED">
                  <w:pPr>
                    <w:jc w:val="center"/>
                    <w:rPr>
                      <w:rFonts w:hint="default" w:ascii="Times New Roman" w:hAnsi="Times New Roman" w:eastAsia="宋体" w:cs="Times New Roman"/>
                      <w:color w:val="auto"/>
                      <w:sz w:val="21"/>
                      <w:szCs w:val="21"/>
                      <w:highlight w:val="none"/>
                      <w:lang w:val="en-US" w:eastAsia="zh-CN"/>
                    </w:rPr>
                  </w:pPr>
                </w:p>
              </w:tc>
              <w:tc>
                <w:tcPr>
                  <w:tcW w:w="452" w:type="pct"/>
                  <w:tcBorders>
                    <w:tl2br w:val="nil"/>
                    <w:tr2bl w:val="nil"/>
                  </w:tcBorders>
                  <w:shd w:val="clear" w:color="auto" w:fill="auto"/>
                  <w:noWrap w:val="0"/>
                  <w:vAlign w:val="center"/>
                </w:tcPr>
                <w:p w14:paraId="2049B12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w:t>
                  </w:r>
                </w:p>
              </w:tc>
              <w:tc>
                <w:tcPr>
                  <w:tcW w:w="1442" w:type="pct"/>
                  <w:tcBorders>
                    <w:tl2br w:val="nil"/>
                    <w:tr2bl w:val="nil"/>
                  </w:tcBorders>
                  <w:shd w:val="clear" w:color="auto" w:fill="auto"/>
                  <w:noWrap w:val="0"/>
                  <w:vAlign w:val="center"/>
                </w:tcPr>
                <w:p w14:paraId="54ED527A">
                  <w:pPr>
                    <w:adjustRightInd w:val="0"/>
                    <w:snapToGrid w:val="0"/>
                    <w:jc w:val="center"/>
                    <w:rPr>
                      <w:rFonts w:hint="eastAsia" w:ascii="Times New Roman" w:hAnsi="Times New Roman" w:eastAsia="宋体" w:cs="宋体"/>
                      <w:bCs/>
                      <w:color w:val="auto"/>
                      <w:spacing w:val="-10"/>
                      <w:kern w:val="2"/>
                      <w:sz w:val="21"/>
                      <w:szCs w:val="21"/>
                      <w:lang w:val="en-US" w:eastAsia="zh-CN" w:bidi="ar-SA"/>
                    </w:rPr>
                  </w:pPr>
                  <w:r>
                    <w:rPr>
                      <w:rFonts w:hint="eastAsia" w:cs="宋体"/>
                      <w:bCs/>
                      <w:color w:val="auto"/>
                      <w:spacing w:val="-10"/>
                      <w:szCs w:val="21"/>
                    </w:rPr>
                    <w:t>废钢丸</w:t>
                  </w:r>
                </w:p>
              </w:tc>
              <w:tc>
                <w:tcPr>
                  <w:tcW w:w="1102" w:type="pct"/>
                  <w:tcBorders>
                    <w:tl2br w:val="nil"/>
                    <w:tr2bl w:val="nil"/>
                  </w:tcBorders>
                  <w:noWrap w:val="0"/>
                  <w:vAlign w:val="center"/>
                </w:tcPr>
                <w:p w14:paraId="58CE827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0.2</w:t>
                  </w:r>
                </w:p>
              </w:tc>
            </w:tr>
            <w:tr w14:paraId="60C17D8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399" w:type="pct"/>
                  <w:tcBorders>
                    <w:tl2br w:val="nil"/>
                    <w:tr2bl w:val="nil"/>
                  </w:tcBorders>
                  <w:noWrap w:val="0"/>
                  <w:vAlign w:val="center"/>
                </w:tcPr>
                <w:p w14:paraId="1D4796B1">
                  <w:pPr>
                    <w:jc w:val="center"/>
                    <w:rPr>
                      <w:rFonts w:hint="default" w:ascii="Times New Roman" w:hAnsi="Times New Roman" w:eastAsia="宋体" w:cs="Times New Roman"/>
                      <w:color w:val="auto"/>
                      <w:sz w:val="21"/>
                      <w:szCs w:val="21"/>
                      <w:highlight w:val="none"/>
                      <w:lang w:val="en-US" w:eastAsia="zh-CN"/>
                    </w:rPr>
                  </w:pPr>
                </w:p>
              </w:tc>
              <w:tc>
                <w:tcPr>
                  <w:tcW w:w="885" w:type="pct"/>
                  <w:tcBorders>
                    <w:tl2br w:val="nil"/>
                    <w:tr2bl w:val="nil"/>
                  </w:tcBorders>
                  <w:noWrap w:val="0"/>
                  <w:vAlign w:val="center"/>
                </w:tcPr>
                <w:p w14:paraId="1BE9EAFF">
                  <w:pPr>
                    <w:jc w:val="center"/>
                    <w:rPr>
                      <w:rFonts w:hint="default" w:ascii="Times New Roman" w:hAnsi="Times New Roman" w:eastAsia="宋体" w:cs="Times New Roman"/>
                      <w:color w:val="auto"/>
                      <w:sz w:val="21"/>
                      <w:szCs w:val="21"/>
                      <w:highlight w:val="none"/>
                      <w:lang w:val="en-US" w:eastAsia="zh-CN"/>
                    </w:rPr>
                  </w:pPr>
                </w:p>
              </w:tc>
              <w:tc>
                <w:tcPr>
                  <w:tcW w:w="718" w:type="pct"/>
                  <w:tcBorders>
                    <w:tl2br w:val="nil"/>
                    <w:tr2bl w:val="nil"/>
                  </w:tcBorders>
                  <w:noWrap w:val="0"/>
                  <w:vAlign w:val="center"/>
                </w:tcPr>
                <w:p w14:paraId="53CCE54A">
                  <w:pPr>
                    <w:jc w:val="center"/>
                    <w:rPr>
                      <w:rFonts w:hint="default" w:ascii="Times New Roman" w:hAnsi="Times New Roman" w:eastAsia="宋体" w:cs="Times New Roman"/>
                      <w:color w:val="auto"/>
                      <w:sz w:val="21"/>
                      <w:szCs w:val="21"/>
                      <w:highlight w:val="none"/>
                      <w:lang w:val="en-US" w:eastAsia="zh-CN"/>
                    </w:rPr>
                  </w:pPr>
                </w:p>
              </w:tc>
              <w:tc>
                <w:tcPr>
                  <w:tcW w:w="452" w:type="pct"/>
                  <w:tcBorders>
                    <w:tl2br w:val="nil"/>
                    <w:tr2bl w:val="nil"/>
                  </w:tcBorders>
                  <w:shd w:val="clear" w:color="auto" w:fill="auto"/>
                  <w:noWrap w:val="0"/>
                  <w:vAlign w:val="center"/>
                </w:tcPr>
                <w:p w14:paraId="5CCA9CE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w:t>
                  </w:r>
                </w:p>
              </w:tc>
              <w:tc>
                <w:tcPr>
                  <w:tcW w:w="1442" w:type="pct"/>
                  <w:tcBorders>
                    <w:tl2br w:val="nil"/>
                    <w:tr2bl w:val="nil"/>
                  </w:tcBorders>
                  <w:shd w:val="clear" w:color="auto" w:fill="auto"/>
                  <w:noWrap w:val="0"/>
                  <w:vAlign w:val="center"/>
                </w:tcPr>
                <w:p w14:paraId="22F2F434">
                  <w:pPr>
                    <w:adjustRightInd w:val="0"/>
                    <w:snapToGrid w:val="0"/>
                    <w:jc w:val="center"/>
                    <w:rPr>
                      <w:rFonts w:hint="default" w:ascii="Times New Roman" w:hAnsi="Times New Roman" w:eastAsia="宋体" w:cs="宋体"/>
                      <w:color w:val="auto"/>
                      <w:kern w:val="2"/>
                      <w:sz w:val="21"/>
                      <w:szCs w:val="24"/>
                      <w:lang w:val="en-US" w:eastAsia="zh-CN" w:bidi="ar-SA"/>
                    </w:rPr>
                  </w:pPr>
                  <w:r>
                    <w:rPr>
                      <w:rFonts w:hint="eastAsia" w:cs="宋体"/>
                      <w:color w:val="auto"/>
                    </w:rPr>
                    <w:t>氧化铁屑</w:t>
                  </w:r>
                </w:p>
              </w:tc>
              <w:tc>
                <w:tcPr>
                  <w:tcW w:w="1102" w:type="pct"/>
                  <w:tcBorders>
                    <w:tl2br w:val="nil"/>
                    <w:tr2bl w:val="nil"/>
                  </w:tcBorders>
                  <w:noWrap w:val="0"/>
                  <w:vAlign w:val="center"/>
                </w:tcPr>
                <w:p w14:paraId="63E34B8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0.3</w:t>
                  </w:r>
                </w:p>
              </w:tc>
            </w:tr>
            <w:tr w14:paraId="583389F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399" w:type="pct"/>
                  <w:tcBorders>
                    <w:tl2br w:val="nil"/>
                    <w:tr2bl w:val="nil"/>
                  </w:tcBorders>
                  <w:noWrap w:val="0"/>
                  <w:vAlign w:val="center"/>
                </w:tcPr>
                <w:p w14:paraId="144BF163">
                  <w:pPr>
                    <w:jc w:val="center"/>
                    <w:rPr>
                      <w:rFonts w:hint="default" w:ascii="Times New Roman" w:hAnsi="Times New Roman" w:eastAsia="宋体" w:cs="Times New Roman"/>
                      <w:color w:val="auto"/>
                      <w:sz w:val="21"/>
                      <w:szCs w:val="21"/>
                      <w:highlight w:val="none"/>
                      <w:lang w:val="en-US" w:eastAsia="zh-CN"/>
                    </w:rPr>
                  </w:pPr>
                </w:p>
              </w:tc>
              <w:tc>
                <w:tcPr>
                  <w:tcW w:w="885" w:type="pct"/>
                  <w:tcBorders>
                    <w:tl2br w:val="nil"/>
                    <w:tr2bl w:val="nil"/>
                  </w:tcBorders>
                  <w:noWrap w:val="0"/>
                  <w:vAlign w:val="center"/>
                </w:tcPr>
                <w:p w14:paraId="2D648069">
                  <w:pPr>
                    <w:jc w:val="center"/>
                    <w:rPr>
                      <w:rFonts w:hint="default" w:ascii="Times New Roman" w:hAnsi="Times New Roman" w:eastAsia="宋体" w:cs="Times New Roman"/>
                      <w:color w:val="auto"/>
                      <w:sz w:val="21"/>
                      <w:szCs w:val="21"/>
                      <w:highlight w:val="none"/>
                      <w:lang w:val="en-US" w:eastAsia="zh-CN"/>
                    </w:rPr>
                  </w:pPr>
                </w:p>
              </w:tc>
              <w:tc>
                <w:tcPr>
                  <w:tcW w:w="718" w:type="pct"/>
                  <w:tcBorders>
                    <w:tl2br w:val="nil"/>
                    <w:tr2bl w:val="nil"/>
                  </w:tcBorders>
                  <w:noWrap w:val="0"/>
                  <w:vAlign w:val="center"/>
                </w:tcPr>
                <w:p w14:paraId="5B5D6D42">
                  <w:pPr>
                    <w:jc w:val="center"/>
                    <w:rPr>
                      <w:rFonts w:hint="default" w:ascii="Times New Roman" w:hAnsi="Times New Roman" w:eastAsia="宋体" w:cs="Times New Roman"/>
                      <w:color w:val="auto"/>
                      <w:sz w:val="21"/>
                      <w:szCs w:val="21"/>
                      <w:highlight w:val="none"/>
                      <w:lang w:val="en-US" w:eastAsia="zh-CN"/>
                    </w:rPr>
                  </w:pPr>
                </w:p>
              </w:tc>
              <w:tc>
                <w:tcPr>
                  <w:tcW w:w="452" w:type="pct"/>
                  <w:tcBorders>
                    <w:tl2br w:val="nil"/>
                    <w:tr2bl w:val="nil"/>
                  </w:tcBorders>
                  <w:noWrap w:val="0"/>
                  <w:vAlign w:val="center"/>
                </w:tcPr>
                <w:p w14:paraId="385D25F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7</w:t>
                  </w:r>
                </w:p>
              </w:tc>
              <w:tc>
                <w:tcPr>
                  <w:tcW w:w="1442" w:type="pct"/>
                  <w:tcBorders>
                    <w:tl2br w:val="nil"/>
                    <w:tr2bl w:val="nil"/>
                  </w:tcBorders>
                  <w:shd w:val="clear" w:color="auto" w:fill="auto"/>
                  <w:noWrap w:val="0"/>
                  <w:vAlign w:val="center"/>
                </w:tcPr>
                <w:p w14:paraId="2B49B0D4">
                  <w:pPr>
                    <w:adjustRightInd w:val="0"/>
                    <w:snapToGrid w:val="0"/>
                    <w:jc w:val="center"/>
                    <w:rPr>
                      <w:rFonts w:hint="default" w:ascii="Times New Roman" w:hAnsi="Times New Roman" w:eastAsia="宋体" w:cs="宋体"/>
                      <w:color w:val="auto"/>
                      <w:kern w:val="2"/>
                      <w:sz w:val="21"/>
                      <w:szCs w:val="24"/>
                      <w:lang w:val="en-US" w:eastAsia="zh-CN" w:bidi="ar-SA"/>
                    </w:rPr>
                  </w:pPr>
                  <w:r>
                    <w:rPr>
                      <w:rFonts w:hint="eastAsia" w:cs="宋体"/>
                      <w:color w:val="auto"/>
                      <w:kern w:val="2"/>
                      <w:sz w:val="21"/>
                      <w:szCs w:val="24"/>
                      <w:lang w:val="en-US" w:eastAsia="zh-CN" w:bidi="ar-SA"/>
                    </w:rPr>
                    <w:t>除尘灰</w:t>
                  </w:r>
                </w:p>
              </w:tc>
              <w:tc>
                <w:tcPr>
                  <w:tcW w:w="1102" w:type="pct"/>
                  <w:tcBorders>
                    <w:tl2br w:val="nil"/>
                    <w:tr2bl w:val="nil"/>
                  </w:tcBorders>
                  <w:noWrap w:val="0"/>
                  <w:vAlign w:val="center"/>
                </w:tcPr>
                <w:p w14:paraId="76DB483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cs="Times New Roman"/>
                      <w:i w:val="0"/>
                      <w:iCs w:val="0"/>
                      <w:color w:val="auto"/>
                      <w:kern w:val="0"/>
                      <w:sz w:val="21"/>
                      <w:szCs w:val="21"/>
                      <w:highlight w:val="none"/>
                      <w:u w:val="none"/>
                      <w:lang w:val="en-US" w:eastAsia="zh-CN" w:bidi="ar"/>
                    </w:rPr>
                    <w:t>17.777</w:t>
                  </w:r>
                </w:p>
              </w:tc>
            </w:tr>
            <w:tr w14:paraId="4E5DD0E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1284" w:type="pct"/>
                  <w:gridSpan w:val="2"/>
                  <w:tcBorders>
                    <w:tl2br w:val="nil"/>
                    <w:tr2bl w:val="nil"/>
                  </w:tcBorders>
                  <w:noWrap w:val="0"/>
                  <w:vAlign w:val="center"/>
                </w:tcPr>
                <w:p w14:paraId="79084A3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宋体" w:hAnsi="宋体" w:eastAsia="宋体" w:cs="宋体"/>
                      <w:i w:val="0"/>
                      <w:iCs w:val="0"/>
                      <w:color w:val="auto"/>
                      <w:kern w:val="0"/>
                      <w:sz w:val="21"/>
                      <w:szCs w:val="21"/>
                      <w:u w:val="none"/>
                      <w:lang w:val="en-US" w:eastAsia="zh-CN" w:bidi="ar"/>
                    </w:rPr>
                    <w:t>合计</w:t>
                  </w:r>
                </w:p>
              </w:tc>
              <w:tc>
                <w:tcPr>
                  <w:tcW w:w="718" w:type="pct"/>
                  <w:tcBorders>
                    <w:tl2br w:val="nil"/>
                    <w:tr2bl w:val="nil"/>
                  </w:tcBorders>
                  <w:shd w:val="clear" w:color="auto" w:fill="auto"/>
                  <w:noWrap w:val="0"/>
                  <w:vAlign w:val="center"/>
                </w:tcPr>
                <w:p w14:paraId="5D244E17">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50999.76</w:t>
                  </w:r>
                </w:p>
              </w:tc>
              <w:tc>
                <w:tcPr>
                  <w:tcW w:w="1894" w:type="pct"/>
                  <w:gridSpan w:val="2"/>
                  <w:tcBorders>
                    <w:tl2br w:val="nil"/>
                    <w:tr2bl w:val="nil"/>
                  </w:tcBorders>
                  <w:noWrap w:val="0"/>
                  <w:vAlign w:val="center"/>
                </w:tcPr>
                <w:p w14:paraId="0523093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yellow"/>
                      <w:lang w:val="en-US" w:eastAsia="zh-CN"/>
                    </w:rPr>
                  </w:pPr>
                  <w:r>
                    <w:rPr>
                      <w:rFonts w:hint="eastAsia" w:ascii="宋体" w:hAnsi="宋体" w:eastAsia="宋体" w:cs="宋体"/>
                      <w:i w:val="0"/>
                      <w:iCs w:val="0"/>
                      <w:color w:val="auto"/>
                      <w:kern w:val="0"/>
                      <w:sz w:val="21"/>
                      <w:szCs w:val="21"/>
                      <w:highlight w:val="none"/>
                      <w:u w:val="none"/>
                      <w:lang w:val="en-US" w:eastAsia="zh-CN" w:bidi="ar"/>
                    </w:rPr>
                    <w:t>合计</w:t>
                  </w:r>
                </w:p>
              </w:tc>
              <w:tc>
                <w:tcPr>
                  <w:tcW w:w="1102" w:type="pct"/>
                  <w:tcBorders>
                    <w:tl2br w:val="nil"/>
                    <w:tr2bl w:val="nil"/>
                  </w:tcBorders>
                  <w:shd w:val="clear" w:color="auto" w:fill="auto"/>
                  <w:noWrap w:val="0"/>
                  <w:vAlign w:val="center"/>
                </w:tcPr>
                <w:p w14:paraId="6779FA62">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50999.76</w:t>
                  </w:r>
                </w:p>
              </w:tc>
            </w:tr>
          </w:tbl>
          <w:p w14:paraId="18360932">
            <w:pPr>
              <w:pStyle w:val="122"/>
              <w:rPr>
                <w:color w:val="auto"/>
              </w:rPr>
            </w:pPr>
            <w:r>
              <w:rPr>
                <w:rFonts w:hint="eastAsia"/>
                <w:color w:val="auto"/>
              </w:rPr>
              <w:t>5、</w:t>
            </w:r>
            <w:r>
              <w:rPr>
                <w:color w:val="auto"/>
              </w:rPr>
              <w:t>生产规模及产品方案</w:t>
            </w:r>
          </w:p>
          <w:p w14:paraId="26279075">
            <w:pPr>
              <w:pStyle w:val="116"/>
              <w:ind w:firstLine="420"/>
              <w:rPr>
                <w:color w:val="auto"/>
              </w:rPr>
            </w:pPr>
            <w:r>
              <w:rPr>
                <w:rFonts w:hint="eastAsia"/>
                <w:color w:val="auto"/>
                <w:lang w:val="en-US" w:eastAsia="zh-CN"/>
              </w:rPr>
              <w:t>本项目</w:t>
            </w:r>
            <w:r>
              <w:rPr>
                <w:color w:val="auto"/>
              </w:rPr>
              <w:t>产品方案见下表。</w:t>
            </w:r>
          </w:p>
          <w:p w14:paraId="2511C63E">
            <w:pPr>
              <w:pStyle w:val="10"/>
              <w:rPr>
                <w:color w:val="auto"/>
                <w:szCs w:val="21"/>
              </w:rPr>
            </w:pPr>
            <w:r>
              <w:rPr>
                <w:rFonts w:hint="eastAsia"/>
                <w:color w:val="auto"/>
              </w:rPr>
              <w:t>表2</w:t>
            </w:r>
            <w:r>
              <w:rPr>
                <w:rFonts w:hint="eastAsia"/>
                <w:color w:val="auto"/>
                <w:lang w:eastAsia="zh-CN"/>
              </w:rPr>
              <w:t>-</w:t>
            </w:r>
            <w:r>
              <w:rPr>
                <w:rFonts w:hint="eastAsia"/>
                <w:color w:val="auto"/>
                <w:lang w:val="en-US" w:eastAsia="zh-CN"/>
              </w:rPr>
              <w:t>9  本</w:t>
            </w:r>
            <w:r>
              <w:rPr>
                <w:color w:val="auto"/>
                <w:szCs w:val="21"/>
              </w:rPr>
              <w:t>项目产品方案一览表</w:t>
            </w:r>
          </w:p>
          <w:tbl>
            <w:tblPr>
              <w:tblStyle w:val="115"/>
              <w:tblW w:w="4998" w:type="pct"/>
              <w:tblInd w:w="0" w:type="dxa"/>
              <w:tblBorders>
                <w:top w:val="single" w:color="auto"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732"/>
              <w:gridCol w:w="1381"/>
              <w:gridCol w:w="2998"/>
              <w:gridCol w:w="1592"/>
              <w:gridCol w:w="1593"/>
            </w:tblGrid>
            <w:tr w14:paraId="42AA1662">
              <w:tblPrEx>
                <w:tblBorders>
                  <w:top w:val="single" w:color="auto"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441" w:type="pct"/>
                  <w:tcBorders>
                    <w:bottom w:val="single" w:color="000000" w:sz="2" w:space="0"/>
                    <w:right w:val="single" w:color="000000" w:sz="2" w:space="0"/>
                  </w:tcBorders>
                  <w:vAlign w:val="center"/>
                </w:tcPr>
                <w:p w14:paraId="68424235">
                  <w:pPr>
                    <w:jc w:val="center"/>
                    <w:rPr>
                      <w:rFonts w:hint="eastAsia"/>
                      <w:color w:val="auto"/>
                      <w:szCs w:val="21"/>
                    </w:rPr>
                  </w:pPr>
                  <w:r>
                    <w:rPr>
                      <w:rFonts w:hint="eastAsia"/>
                      <w:color w:val="auto"/>
                      <w:szCs w:val="21"/>
                    </w:rPr>
                    <w:t>序号</w:t>
                  </w:r>
                </w:p>
              </w:tc>
              <w:tc>
                <w:tcPr>
                  <w:tcW w:w="832" w:type="pct"/>
                  <w:tcBorders>
                    <w:left w:val="single" w:color="000000" w:sz="2" w:space="0"/>
                    <w:bottom w:val="single" w:color="000000" w:sz="2" w:space="0"/>
                    <w:right w:val="single" w:color="000000" w:sz="2" w:space="0"/>
                  </w:tcBorders>
                  <w:vAlign w:val="center"/>
                </w:tcPr>
                <w:p w14:paraId="79073F06">
                  <w:pPr>
                    <w:jc w:val="center"/>
                    <w:rPr>
                      <w:rFonts w:hint="eastAsia"/>
                      <w:color w:val="auto"/>
                      <w:szCs w:val="21"/>
                    </w:rPr>
                  </w:pPr>
                  <w:r>
                    <w:rPr>
                      <w:rFonts w:hint="eastAsia"/>
                      <w:color w:val="auto"/>
                      <w:szCs w:val="21"/>
                    </w:rPr>
                    <w:t>产品种类</w:t>
                  </w:r>
                </w:p>
              </w:tc>
              <w:tc>
                <w:tcPr>
                  <w:tcW w:w="1806" w:type="pct"/>
                  <w:tcBorders>
                    <w:left w:val="single" w:color="000000" w:sz="2" w:space="0"/>
                    <w:bottom w:val="single" w:color="000000" w:sz="2" w:space="0"/>
                    <w:right w:val="single" w:color="000000" w:sz="2" w:space="0"/>
                  </w:tcBorders>
                  <w:vAlign w:val="center"/>
                </w:tcPr>
                <w:p w14:paraId="1F13EED3">
                  <w:pPr>
                    <w:jc w:val="center"/>
                    <w:rPr>
                      <w:rFonts w:hint="eastAsia" w:eastAsia="宋体"/>
                      <w:color w:val="auto"/>
                      <w:szCs w:val="21"/>
                      <w:lang w:val="en-US" w:eastAsia="zh-CN"/>
                    </w:rPr>
                  </w:pPr>
                  <w:r>
                    <w:rPr>
                      <w:rFonts w:hint="eastAsia"/>
                      <w:color w:val="auto"/>
                      <w:szCs w:val="21"/>
                      <w:lang w:val="en-US" w:eastAsia="zh-CN"/>
                    </w:rPr>
                    <w:t>规格型号</w:t>
                  </w:r>
                </w:p>
              </w:tc>
              <w:tc>
                <w:tcPr>
                  <w:tcW w:w="959" w:type="pct"/>
                  <w:tcBorders>
                    <w:left w:val="single" w:color="000000" w:sz="2" w:space="0"/>
                    <w:bottom w:val="single" w:color="000000" w:sz="2" w:space="0"/>
                    <w:right w:val="single" w:color="000000" w:sz="2" w:space="0"/>
                  </w:tcBorders>
                  <w:vAlign w:val="center"/>
                </w:tcPr>
                <w:p w14:paraId="16F75726">
                  <w:pPr>
                    <w:jc w:val="center"/>
                    <w:rPr>
                      <w:rFonts w:hint="eastAsia"/>
                      <w:color w:val="auto"/>
                      <w:szCs w:val="21"/>
                    </w:rPr>
                  </w:pPr>
                  <w:r>
                    <w:rPr>
                      <w:rFonts w:hint="eastAsia"/>
                      <w:color w:val="auto"/>
                      <w:szCs w:val="21"/>
                      <w:lang w:val="en-US" w:eastAsia="zh-CN"/>
                    </w:rPr>
                    <w:t>产能</w:t>
                  </w:r>
                  <w:r>
                    <w:rPr>
                      <w:rFonts w:hint="eastAsia"/>
                      <w:color w:val="auto"/>
                      <w:szCs w:val="21"/>
                    </w:rPr>
                    <w:t>（</w:t>
                  </w:r>
                  <w:r>
                    <w:rPr>
                      <w:rFonts w:hint="default" w:ascii="Times New Roman" w:hAnsi="Times New Roman" w:eastAsia="宋体" w:cs="Times New Roman"/>
                      <w:color w:val="auto"/>
                      <w:sz w:val="21"/>
                      <w:szCs w:val="21"/>
                      <w:highlight w:val="none"/>
                      <w:lang w:val="en-US" w:eastAsia="zh-CN"/>
                    </w:rPr>
                    <w:t>t/a</w:t>
                  </w:r>
                  <w:r>
                    <w:rPr>
                      <w:rFonts w:hint="eastAsia"/>
                      <w:color w:val="auto"/>
                      <w:szCs w:val="21"/>
                    </w:rPr>
                    <w:t>）</w:t>
                  </w:r>
                </w:p>
              </w:tc>
              <w:tc>
                <w:tcPr>
                  <w:tcW w:w="959" w:type="pct"/>
                  <w:tcBorders>
                    <w:left w:val="single" w:color="000000" w:sz="2" w:space="0"/>
                    <w:bottom w:val="single" w:color="000000" w:sz="2" w:space="0"/>
                  </w:tcBorders>
                  <w:vAlign w:val="center"/>
                </w:tcPr>
                <w:p w14:paraId="3224299D">
                  <w:pPr>
                    <w:jc w:val="center"/>
                    <w:rPr>
                      <w:rFonts w:hint="eastAsia" w:eastAsia="宋体"/>
                      <w:color w:val="auto"/>
                      <w:szCs w:val="21"/>
                      <w:lang w:val="en-US" w:eastAsia="zh-CN"/>
                    </w:rPr>
                  </w:pPr>
                  <w:r>
                    <w:rPr>
                      <w:rFonts w:hint="eastAsia"/>
                      <w:color w:val="auto"/>
                      <w:szCs w:val="21"/>
                      <w:lang w:val="en-US" w:eastAsia="zh-CN"/>
                    </w:rPr>
                    <w:t>备注</w:t>
                  </w:r>
                </w:p>
              </w:tc>
            </w:tr>
            <w:tr w14:paraId="0FCF6385">
              <w:tblPrEx>
                <w:tblBorders>
                  <w:top w:val="single" w:color="auto"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441" w:type="pct"/>
                  <w:tcBorders>
                    <w:right w:val="single" w:color="000000" w:sz="2" w:space="0"/>
                  </w:tcBorders>
                  <w:vAlign w:val="center"/>
                </w:tcPr>
                <w:p w14:paraId="2044A28F">
                  <w:pPr>
                    <w:jc w:val="center"/>
                    <w:rPr>
                      <w:rFonts w:hint="eastAsia"/>
                      <w:color w:val="auto"/>
                      <w:spacing w:val="5"/>
                      <w:szCs w:val="21"/>
                      <w:highlight w:val="none"/>
                    </w:rPr>
                  </w:pPr>
                  <w:r>
                    <w:rPr>
                      <w:rFonts w:hint="eastAsia"/>
                      <w:color w:val="auto"/>
                      <w:spacing w:val="5"/>
                      <w:szCs w:val="21"/>
                      <w:highlight w:val="none"/>
                    </w:rPr>
                    <w:t>1</w:t>
                  </w:r>
                </w:p>
              </w:tc>
              <w:tc>
                <w:tcPr>
                  <w:tcW w:w="832" w:type="pct"/>
                  <w:tcBorders>
                    <w:left w:val="single" w:color="000000" w:sz="2" w:space="0"/>
                    <w:right w:val="single" w:color="000000" w:sz="2" w:space="0"/>
                  </w:tcBorders>
                  <w:shd w:val="clear" w:color="auto" w:fill="auto"/>
                  <w:vAlign w:val="center"/>
                </w:tcPr>
                <w:p w14:paraId="062847C4">
                  <w:pPr>
                    <w:jc w:val="center"/>
                    <w:rPr>
                      <w:rFonts w:hint="eastAsia" w:ascii="Times New Roman" w:hAnsi="Times New Roman" w:eastAsia="宋体" w:cs="Times New Roman"/>
                      <w:color w:val="auto"/>
                      <w:spacing w:val="5"/>
                      <w:kern w:val="2"/>
                      <w:sz w:val="21"/>
                      <w:szCs w:val="21"/>
                      <w:highlight w:val="none"/>
                      <w:lang w:val="en-US" w:eastAsia="zh-CN" w:bidi="ar-SA"/>
                    </w:rPr>
                  </w:pPr>
                  <w:r>
                    <w:rPr>
                      <w:rFonts w:hint="eastAsia"/>
                      <w:color w:val="auto"/>
                      <w:lang w:val="en-US" w:eastAsia="zh-CN"/>
                    </w:rPr>
                    <w:t>轧制钢球</w:t>
                  </w:r>
                </w:p>
              </w:tc>
              <w:tc>
                <w:tcPr>
                  <w:tcW w:w="1806" w:type="pct"/>
                  <w:tcBorders>
                    <w:left w:val="single" w:color="000000" w:sz="2" w:space="0"/>
                  </w:tcBorders>
                  <w:shd w:val="clear" w:color="auto" w:fill="auto"/>
                  <w:vAlign w:val="center"/>
                </w:tcPr>
                <w:p w14:paraId="54D55E89">
                  <w:pPr>
                    <w:jc w:val="center"/>
                    <w:rPr>
                      <w:rFonts w:hint="default" w:ascii="Times New Roman" w:hAnsi="Times New Roman" w:eastAsia="宋体" w:cs="Times New Roman"/>
                      <w:color w:val="auto"/>
                      <w:spacing w:val="5"/>
                      <w:kern w:val="2"/>
                      <w:sz w:val="21"/>
                      <w:szCs w:val="21"/>
                      <w:highlight w:val="none"/>
                      <w:lang w:val="en-US" w:eastAsia="zh-CN" w:bidi="ar-SA"/>
                    </w:rPr>
                  </w:pPr>
                  <w:r>
                    <w:rPr>
                      <w:rFonts w:hint="default" w:ascii="Times New Roman" w:hAnsi="Times New Roman" w:cs="Times New Roman"/>
                      <w:color w:val="auto"/>
                      <w:lang w:val="en-US" w:eastAsia="zh-CN"/>
                    </w:rPr>
                    <w:t>φ80mm，φ100mm</w:t>
                  </w:r>
                </w:p>
              </w:tc>
              <w:tc>
                <w:tcPr>
                  <w:tcW w:w="959" w:type="pct"/>
                  <w:vMerge w:val="restart"/>
                  <w:tcBorders>
                    <w:left w:val="single" w:color="000000" w:sz="2" w:space="0"/>
                  </w:tcBorders>
                  <w:shd w:val="clear" w:color="auto" w:fill="auto"/>
                  <w:vAlign w:val="center"/>
                </w:tcPr>
                <w:p w14:paraId="79D53B92">
                  <w:pPr>
                    <w:jc w:val="center"/>
                    <w:rPr>
                      <w:rFonts w:hint="eastAsia" w:ascii="Times New Roman" w:hAnsi="Times New Roman" w:eastAsia="宋体" w:cs="Times New Roman"/>
                      <w:color w:val="auto"/>
                      <w:spacing w:val="5"/>
                      <w:kern w:val="2"/>
                      <w:sz w:val="21"/>
                      <w:szCs w:val="21"/>
                      <w:highlight w:val="none"/>
                      <w:lang w:val="en-US" w:eastAsia="zh-CN" w:bidi="ar-SA"/>
                    </w:rPr>
                  </w:pPr>
                  <w:r>
                    <w:rPr>
                      <w:rFonts w:hint="eastAsia"/>
                      <w:color w:val="auto"/>
                      <w:spacing w:val="5"/>
                      <w:szCs w:val="21"/>
                      <w:highlight w:val="none"/>
                      <w:lang w:val="en-US" w:eastAsia="zh-CN"/>
                    </w:rPr>
                    <w:t>40000</w:t>
                  </w:r>
                </w:p>
              </w:tc>
              <w:tc>
                <w:tcPr>
                  <w:tcW w:w="959" w:type="pct"/>
                  <w:tcBorders>
                    <w:left w:val="single" w:color="000000" w:sz="2" w:space="0"/>
                  </w:tcBorders>
                  <w:shd w:val="clear" w:color="auto" w:fill="auto"/>
                  <w:vAlign w:val="center"/>
                </w:tcPr>
                <w:p w14:paraId="0F795F7D">
                  <w:pPr>
                    <w:jc w:val="center"/>
                    <w:rPr>
                      <w:rFonts w:hint="default" w:ascii="Times New Roman" w:hAnsi="Times New Roman" w:eastAsia="宋体" w:cs="Times New Roman"/>
                      <w:color w:val="auto"/>
                      <w:spacing w:val="5"/>
                      <w:kern w:val="2"/>
                      <w:sz w:val="21"/>
                      <w:szCs w:val="21"/>
                      <w:highlight w:val="none"/>
                      <w:lang w:val="en-US" w:eastAsia="zh-CN" w:bidi="ar-SA"/>
                    </w:rPr>
                  </w:pPr>
                  <w:r>
                    <w:rPr>
                      <w:rFonts w:hint="eastAsia" w:ascii="Times New Roman" w:hAnsi="Times New Roman" w:eastAsia="宋体" w:cs="Times New Roman"/>
                      <w:color w:val="auto"/>
                      <w:spacing w:val="5"/>
                      <w:kern w:val="2"/>
                      <w:sz w:val="21"/>
                      <w:szCs w:val="21"/>
                      <w:highlight w:val="none"/>
                      <w:lang w:val="en-US" w:eastAsia="zh-CN" w:bidi="ar-SA"/>
                    </w:rPr>
                    <w:t>轧制生产线</w:t>
                  </w:r>
                </w:p>
              </w:tc>
            </w:tr>
            <w:tr w14:paraId="5CE62E47">
              <w:tblPrEx>
                <w:tblBorders>
                  <w:top w:val="single" w:color="auto"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441" w:type="pct"/>
                  <w:vAlign w:val="center"/>
                </w:tcPr>
                <w:p w14:paraId="3B83148A">
                  <w:pPr>
                    <w:jc w:val="center"/>
                    <w:rPr>
                      <w:rFonts w:hint="eastAsia"/>
                      <w:color w:val="auto"/>
                      <w:spacing w:val="5"/>
                      <w:szCs w:val="21"/>
                      <w:highlight w:val="none"/>
                    </w:rPr>
                  </w:pPr>
                  <w:r>
                    <w:rPr>
                      <w:rFonts w:hint="eastAsia"/>
                      <w:color w:val="auto"/>
                      <w:spacing w:val="5"/>
                      <w:szCs w:val="21"/>
                      <w:highlight w:val="none"/>
                    </w:rPr>
                    <w:t>2</w:t>
                  </w:r>
                </w:p>
              </w:tc>
              <w:tc>
                <w:tcPr>
                  <w:tcW w:w="832" w:type="pct"/>
                  <w:tcBorders>
                    <w:right w:val="single" w:color="000000" w:sz="2" w:space="0"/>
                  </w:tcBorders>
                  <w:vAlign w:val="center"/>
                </w:tcPr>
                <w:p w14:paraId="62F7C939">
                  <w:pPr>
                    <w:jc w:val="center"/>
                    <w:rPr>
                      <w:rFonts w:hint="eastAsia"/>
                      <w:color w:val="auto"/>
                      <w:spacing w:val="5"/>
                      <w:szCs w:val="21"/>
                      <w:highlight w:val="none"/>
                    </w:rPr>
                  </w:pPr>
                  <w:r>
                    <w:rPr>
                      <w:rFonts w:hint="eastAsia"/>
                      <w:color w:val="auto"/>
                      <w:lang w:val="en-US" w:eastAsia="zh-CN"/>
                    </w:rPr>
                    <w:t>锻造钢球</w:t>
                  </w:r>
                </w:p>
              </w:tc>
              <w:tc>
                <w:tcPr>
                  <w:tcW w:w="1806" w:type="pct"/>
                  <w:tcBorders>
                    <w:left w:val="single" w:color="000000" w:sz="2" w:space="0"/>
                  </w:tcBorders>
                  <w:vAlign w:val="center"/>
                </w:tcPr>
                <w:p w14:paraId="22AB7B35">
                  <w:pPr>
                    <w:jc w:val="center"/>
                    <w:rPr>
                      <w:rFonts w:hint="default" w:ascii="Times New Roman" w:hAnsi="Times New Roman" w:cs="Times New Roman"/>
                      <w:color w:val="auto"/>
                      <w:spacing w:val="5"/>
                      <w:szCs w:val="21"/>
                      <w:highlight w:val="none"/>
                      <w:lang w:val="en-US" w:eastAsia="zh-CN"/>
                    </w:rPr>
                  </w:pPr>
                  <w:r>
                    <w:rPr>
                      <w:rFonts w:hint="default" w:ascii="Times New Roman" w:hAnsi="Times New Roman" w:cs="Times New Roman"/>
                      <w:color w:val="auto"/>
                      <w:lang w:val="en-US" w:eastAsia="zh-CN"/>
                    </w:rPr>
                    <w:t>φ100mm，φ120mm，φ140mm</w:t>
                  </w:r>
                </w:p>
              </w:tc>
              <w:tc>
                <w:tcPr>
                  <w:tcW w:w="959" w:type="pct"/>
                  <w:vMerge w:val="continue"/>
                  <w:tcBorders>
                    <w:left w:val="single" w:color="000000" w:sz="2" w:space="0"/>
                  </w:tcBorders>
                  <w:vAlign w:val="center"/>
                </w:tcPr>
                <w:p w14:paraId="535E479D">
                  <w:pPr>
                    <w:jc w:val="center"/>
                    <w:rPr>
                      <w:rFonts w:hint="default"/>
                      <w:color w:val="auto"/>
                      <w:spacing w:val="5"/>
                      <w:szCs w:val="21"/>
                      <w:highlight w:val="none"/>
                      <w:lang w:val="en-US" w:eastAsia="zh-CN"/>
                    </w:rPr>
                  </w:pPr>
                </w:p>
              </w:tc>
              <w:tc>
                <w:tcPr>
                  <w:tcW w:w="959" w:type="pct"/>
                  <w:tcBorders>
                    <w:left w:val="single" w:color="000000" w:sz="2" w:space="0"/>
                  </w:tcBorders>
                  <w:shd w:val="clear" w:color="auto" w:fill="auto"/>
                  <w:vAlign w:val="center"/>
                </w:tcPr>
                <w:p w14:paraId="62020B74">
                  <w:pPr>
                    <w:jc w:val="center"/>
                    <w:rPr>
                      <w:rFonts w:hint="default" w:ascii="Times New Roman" w:hAnsi="Times New Roman" w:eastAsia="宋体" w:cs="Times New Roman"/>
                      <w:color w:val="auto"/>
                      <w:spacing w:val="5"/>
                      <w:kern w:val="2"/>
                      <w:sz w:val="21"/>
                      <w:szCs w:val="21"/>
                      <w:highlight w:val="none"/>
                      <w:lang w:val="en-US" w:eastAsia="zh-CN" w:bidi="ar-SA"/>
                    </w:rPr>
                  </w:pPr>
                  <w:r>
                    <w:rPr>
                      <w:rFonts w:hint="eastAsia" w:cs="Times New Roman"/>
                      <w:color w:val="auto"/>
                      <w:spacing w:val="5"/>
                      <w:kern w:val="2"/>
                      <w:sz w:val="21"/>
                      <w:szCs w:val="21"/>
                      <w:highlight w:val="none"/>
                      <w:lang w:val="en-US" w:eastAsia="zh-CN" w:bidi="ar-SA"/>
                    </w:rPr>
                    <w:t>锻造生产线</w:t>
                  </w:r>
                </w:p>
              </w:tc>
            </w:tr>
            <w:tr w14:paraId="041F41B9">
              <w:tblPrEx>
                <w:tblBorders>
                  <w:top w:val="single" w:color="auto"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1" w:hRule="atLeast"/>
              </w:trPr>
              <w:tc>
                <w:tcPr>
                  <w:tcW w:w="441" w:type="pct"/>
                  <w:vAlign w:val="center"/>
                </w:tcPr>
                <w:p w14:paraId="0D62A8CE">
                  <w:pPr>
                    <w:jc w:val="center"/>
                    <w:rPr>
                      <w:rFonts w:hint="eastAsia" w:eastAsia="宋体"/>
                      <w:color w:val="auto"/>
                      <w:spacing w:val="5"/>
                      <w:szCs w:val="21"/>
                      <w:highlight w:val="none"/>
                      <w:lang w:val="en-US" w:eastAsia="zh-CN"/>
                    </w:rPr>
                  </w:pPr>
                  <w:r>
                    <w:rPr>
                      <w:rFonts w:hint="eastAsia"/>
                      <w:color w:val="auto"/>
                      <w:spacing w:val="5"/>
                      <w:szCs w:val="21"/>
                      <w:highlight w:val="none"/>
                      <w:lang w:val="en-US" w:eastAsia="zh-CN"/>
                    </w:rPr>
                    <w:t>3</w:t>
                  </w:r>
                </w:p>
              </w:tc>
              <w:tc>
                <w:tcPr>
                  <w:tcW w:w="832" w:type="pct"/>
                  <w:tcBorders>
                    <w:right w:val="single" w:color="000000" w:sz="2" w:space="0"/>
                  </w:tcBorders>
                  <w:vAlign w:val="center"/>
                </w:tcPr>
                <w:p w14:paraId="223A28BA">
                  <w:pPr>
                    <w:jc w:val="center"/>
                    <w:rPr>
                      <w:rFonts w:hint="eastAsia"/>
                      <w:color w:val="auto"/>
                      <w:lang w:val="en-US" w:eastAsia="zh-CN"/>
                    </w:rPr>
                  </w:pPr>
                  <w:r>
                    <w:rPr>
                      <w:rFonts w:hint="eastAsia"/>
                      <w:color w:val="auto"/>
                      <w:lang w:val="en-US" w:eastAsia="zh-CN"/>
                    </w:rPr>
                    <w:t>衬板</w:t>
                  </w:r>
                </w:p>
              </w:tc>
              <w:tc>
                <w:tcPr>
                  <w:tcW w:w="1806" w:type="pct"/>
                  <w:tcBorders>
                    <w:left w:val="single" w:color="000000" w:sz="2" w:space="0"/>
                  </w:tcBorders>
                  <w:vAlign w:val="center"/>
                </w:tcPr>
                <w:p w14:paraId="41D1EFE9">
                  <w:pPr>
                    <w:jc w:val="center"/>
                    <w:rPr>
                      <w:rFonts w:hint="eastAsia"/>
                      <w:color w:val="auto"/>
                      <w:lang w:val="en-US" w:eastAsia="zh-CN"/>
                    </w:rPr>
                  </w:pPr>
                  <w:r>
                    <w:rPr>
                      <w:rFonts w:ascii="Times New Roman" w:hAnsi="Times New Roman" w:eastAsiaTheme="minorEastAsia"/>
                      <w:color w:val="auto"/>
                      <w:kern w:val="2"/>
                      <w:lang w:bidi="ar-SA"/>
                    </w:rPr>
                    <w:t>500mm×136mm×5900mm</w:t>
                  </w:r>
                </w:p>
              </w:tc>
              <w:tc>
                <w:tcPr>
                  <w:tcW w:w="959" w:type="pct"/>
                  <w:tcBorders>
                    <w:left w:val="single" w:color="000000" w:sz="2" w:space="0"/>
                  </w:tcBorders>
                  <w:shd w:val="clear" w:color="auto" w:fill="auto"/>
                  <w:vAlign w:val="center"/>
                </w:tcPr>
                <w:p w14:paraId="50A624FF">
                  <w:pPr>
                    <w:jc w:val="center"/>
                    <w:rPr>
                      <w:rFonts w:hint="eastAsia" w:ascii="Times New Roman" w:hAnsi="Times New Roman" w:eastAsia="宋体" w:cs="Times New Roman"/>
                      <w:color w:val="auto"/>
                      <w:spacing w:val="5"/>
                      <w:kern w:val="2"/>
                      <w:sz w:val="21"/>
                      <w:szCs w:val="21"/>
                      <w:highlight w:val="none"/>
                      <w:lang w:val="en-US" w:eastAsia="zh-CN" w:bidi="ar-SA"/>
                    </w:rPr>
                  </w:pPr>
                  <w:r>
                    <w:rPr>
                      <w:rFonts w:hint="default"/>
                      <w:color w:val="auto"/>
                      <w:spacing w:val="5"/>
                      <w:szCs w:val="21"/>
                      <w:highlight w:val="none"/>
                      <w:lang w:val="en-US" w:eastAsia="zh-CN"/>
                    </w:rPr>
                    <w:t>8267</w:t>
                  </w:r>
                </w:p>
              </w:tc>
              <w:tc>
                <w:tcPr>
                  <w:tcW w:w="959" w:type="pct"/>
                  <w:tcBorders>
                    <w:left w:val="single" w:color="000000" w:sz="2" w:space="0"/>
                  </w:tcBorders>
                  <w:shd w:val="clear" w:color="auto" w:fill="auto"/>
                  <w:vAlign w:val="center"/>
                </w:tcPr>
                <w:p w14:paraId="022F5AD6">
                  <w:pPr>
                    <w:jc w:val="center"/>
                    <w:rPr>
                      <w:rFonts w:hint="eastAsia" w:ascii="Times New Roman" w:hAnsi="Times New Roman" w:eastAsia="宋体" w:cs="Times New Roman"/>
                      <w:color w:val="auto"/>
                      <w:spacing w:val="5"/>
                      <w:kern w:val="2"/>
                      <w:sz w:val="21"/>
                      <w:szCs w:val="21"/>
                      <w:highlight w:val="none"/>
                      <w:lang w:val="en-US" w:eastAsia="zh-CN" w:bidi="ar-SA"/>
                    </w:rPr>
                  </w:pPr>
                  <w:r>
                    <w:rPr>
                      <w:rFonts w:hint="eastAsia"/>
                      <w:color w:val="auto"/>
                      <w:spacing w:val="5"/>
                      <w:szCs w:val="21"/>
                      <w:highlight w:val="none"/>
                      <w:lang w:val="en-US" w:eastAsia="zh-CN"/>
                    </w:rPr>
                    <w:t>自由锻生产线</w:t>
                  </w:r>
                </w:p>
              </w:tc>
            </w:tr>
          </w:tbl>
          <w:p w14:paraId="5C8B6A04">
            <w:pPr>
              <w:pStyle w:val="10"/>
              <w:rPr>
                <w:color w:val="auto"/>
              </w:rPr>
            </w:pPr>
            <w:r>
              <w:rPr>
                <w:rFonts w:hint="eastAsia"/>
                <w:color w:val="auto"/>
              </w:rPr>
              <w:t>表2-</w:t>
            </w:r>
            <w:r>
              <w:rPr>
                <w:rFonts w:hint="eastAsia"/>
                <w:color w:val="auto"/>
                <w:lang w:val="en-US" w:eastAsia="zh-CN"/>
              </w:rPr>
              <w:t>10本</w:t>
            </w:r>
            <w:r>
              <w:rPr>
                <w:color w:val="auto"/>
                <w:szCs w:val="21"/>
              </w:rPr>
              <w:t>项目建成后全厂产品方案一览表</w:t>
            </w:r>
          </w:p>
          <w:tbl>
            <w:tblPr>
              <w:tblStyle w:val="33"/>
              <w:tblW w:w="4996"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04"/>
              <w:gridCol w:w="1509"/>
              <w:gridCol w:w="905"/>
              <w:gridCol w:w="1205"/>
              <w:gridCol w:w="1519"/>
              <w:gridCol w:w="1338"/>
              <w:gridCol w:w="914"/>
            </w:tblGrid>
            <w:tr w14:paraId="3DF4127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4" w:type="pct"/>
                  <w:vAlign w:val="center"/>
                </w:tcPr>
                <w:p w14:paraId="292A59F1">
                  <w:pPr>
                    <w:autoSpaceDE w:val="0"/>
                    <w:autoSpaceDN w:val="0"/>
                    <w:adjustRightInd w:val="0"/>
                    <w:jc w:val="center"/>
                    <w:rPr>
                      <w:color w:val="auto"/>
                      <w:szCs w:val="21"/>
                    </w:rPr>
                  </w:pPr>
                  <w:r>
                    <w:rPr>
                      <w:rFonts w:hint="eastAsia"/>
                      <w:color w:val="auto"/>
                      <w:szCs w:val="21"/>
                    </w:rPr>
                    <w:t>序号</w:t>
                  </w:r>
                </w:p>
              </w:tc>
              <w:tc>
                <w:tcPr>
                  <w:tcW w:w="909" w:type="pct"/>
                  <w:vAlign w:val="center"/>
                </w:tcPr>
                <w:p w14:paraId="7387D332">
                  <w:pPr>
                    <w:autoSpaceDE w:val="0"/>
                    <w:autoSpaceDN w:val="0"/>
                    <w:adjustRightInd w:val="0"/>
                    <w:jc w:val="center"/>
                    <w:rPr>
                      <w:color w:val="auto"/>
                      <w:szCs w:val="21"/>
                    </w:rPr>
                  </w:pPr>
                  <w:r>
                    <w:rPr>
                      <w:rFonts w:hint="eastAsia"/>
                      <w:color w:val="auto"/>
                      <w:szCs w:val="21"/>
                    </w:rPr>
                    <w:t>产品名称</w:t>
                  </w:r>
                </w:p>
              </w:tc>
              <w:tc>
                <w:tcPr>
                  <w:tcW w:w="545" w:type="pct"/>
                  <w:vAlign w:val="center"/>
                </w:tcPr>
                <w:p w14:paraId="09369AC9">
                  <w:pPr>
                    <w:tabs>
                      <w:tab w:val="left" w:pos="7920"/>
                    </w:tabs>
                    <w:jc w:val="center"/>
                    <w:rPr>
                      <w:color w:val="auto"/>
                      <w:szCs w:val="21"/>
                    </w:rPr>
                  </w:pPr>
                  <w:r>
                    <w:rPr>
                      <w:color w:val="auto"/>
                      <w:szCs w:val="21"/>
                    </w:rPr>
                    <w:t>单位</w:t>
                  </w:r>
                </w:p>
              </w:tc>
              <w:tc>
                <w:tcPr>
                  <w:tcW w:w="726" w:type="pct"/>
                  <w:vAlign w:val="center"/>
                </w:tcPr>
                <w:p w14:paraId="77D9D107">
                  <w:pPr>
                    <w:autoSpaceDE w:val="0"/>
                    <w:autoSpaceDN w:val="0"/>
                    <w:adjustRightInd w:val="0"/>
                    <w:jc w:val="center"/>
                    <w:rPr>
                      <w:color w:val="auto"/>
                      <w:szCs w:val="21"/>
                    </w:rPr>
                  </w:pPr>
                  <w:r>
                    <w:rPr>
                      <w:rFonts w:hint="eastAsia"/>
                      <w:color w:val="auto"/>
                      <w:szCs w:val="21"/>
                    </w:rPr>
                    <w:t>现有工程</w:t>
                  </w:r>
                </w:p>
              </w:tc>
              <w:tc>
                <w:tcPr>
                  <w:tcW w:w="915" w:type="pct"/>
                  <w:vAlign w:val="center"/>
                </w:tcPr>
                <w:p w14:paraId="68F93DD1">
                  <w:pPr>
                    <w:autoSpaceDE w:val="0"/>
                    <w:autoSpaceDN w:val="0"/>
                    <w:adjustRightInd w:val="0"/>
                    <w:jc w:val="center"/>
                    <w:rPr>
                      <w:color w:val="auto"/>
                      <w:szCs w:val="21"/>
                    </w:rPr>
                  </w:pPr>
                  <w:r>
                    <w:rPr>
                      <w:rFonts w:hint="eastAsia"/>
                      <w:color w:val="auto"/>
                      <w:szCs w:val="21"/>
                      <w:lang w:val="en-US" w:eastAsia="zh-CN"/>
                    </w:rPr>
                    <w:t>本</w:t>
                  </w:r>
                  <w:r>
                    <w:rPr>
                      <w:rFonts w:hint="eastAsia"/>
                      <w:color w:val="auto"/>
                      <w:szCs w:val="21"/>
                    </w:rPr>
                    <w:t>项目</w:t>
                  </w:r>
                </w:p>
              </w:tc>
              <w:tc>
                <w:tcPr>
                  <w:tcW w:w="806" w:type="pct"/>
                  <w:vAlign w:val="center"/>
                </w:tcPr>
                <w:p w14:paraId="6BEBDC1E">
                  <w:pPr>
                    <w:autoSpaceDE w:val="0"/>
                    <w:autoSpaceDN w:val="0"/>
                    <w:adjustRightInd w:val="0"/>
                    <w:jc w:val="center"/>
                    <w:rPr>
                      <w:color w:val="auto"/>
                      <w:szCs w:val="21"/>
                    </w:rPr>
                  </w:pPr>
                  <w:r>
                    <w:rPr>
                      <w:rFonts w:hint="eastAsia"/>
                      <w:color w:val="auto"/>
                      <w:szCs w:val="21"/>
                    </w:rPr>
                    <w:t>全厂产能</w:t>
                  </w:r>
                </w:p>
              </w:tc>
              <w:tc>
                <w:tcPr>
                  <w:tcW w:w="551" w:type="pct"/>
                  <w:vAlign w:val="center"/>
                </w:tcPr>
                <w:p w14:paraId="321382EC">
                  <w:pPr>
                    <w:autoSpaceDE w:val="0"/>
                    <w:autoSpaceDN w:val="0"/>
                    <w:adjustRightInd w:val="0"/>
                    <w:jc w:val="center"/>
                    <w:rPr>
                      <w:rFonts w:hint="eastAsia"/>
                      <w:color w:val="auto"/>
                      <w:szCs w:val="21"/>
                    </w:rPr>
                  </w:pPr>
                  <w:r>
                    <w:rPr>
                      <w:rFonts w:hint="eastAsia"/>
                      <w:color w:val="auto"/>
                      <w:kern w:val="0"/>
                      <w:szCs w:val="21"/>
                    </w:rPr>
                    <w:t>变化量</w:t>
                  </w:r>
                </w:p>
              </w:tc>
            </w:tr>
            <w:tr w14:paraId="13D96C7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4" w:type="pct"/>
                  <w:shd w:val="clear" w:color="auto" w:fill="auto"/>
                  <w:vAlign w:val="center"/>
                </w:tcPr>
                <w:p w14:paraId="0A109B75">
                  <w:pPr>
                    <w:autoSpaceDE w:val="0"/>
                    <w:autoSpaceDN w:val="0"/>
                    <w:adjustRightIn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1</w:t>
                  </w:r>
                </w:p>
              </w:tc>
              <w:tc>
                <w:tcPr>
                  <w:tcW w:w="909" w:type="pct"/>
                  <w:vAlign w:val="center"/>
                </w:tcPr>
                <w:p w14:paraId="23F45286">
                  <w:pPr>
                    <w:tabs>
                      <w:tab w:val="left" w:pos="7920"/>
                    </w:tabs>
                    <w:jc w:val="center"/>
                    <w:rPr>
                      <w:rFonts w:hint="eastAsia"/>
                      <w:color w:val="auto"/>
                      <w:szCs w:val="21"/>
                    </w:rPr>
                  </w:pPr>
                  <w:r>
                    <w:rPr>
                      <w:rFonts w:hint="eastAsia"/>
                      <w:color w:val="auto"/>
                      <w:lang w:val="en-US" w:eastAsia="zh-CN"/>
                    </w:rPr>
                    <w:t>钢球</w:t>
                  </w:r>
                </w:p>
              </w:tc>
              <w:tc>
                <w:tcPr>
                  <w:tcW w:w="545" w:type="pct"/>
                  <w:vAlign w:val="center"/>
                </w:tcPr>
                <w:p w14:paraId="6958BEFA">
                  <w:pPr>
                    <w:tabs>
                      <w:tab w:val="left" w:pos="7920"/>
                    </w:tabs>
                    <w:jc w:val="center"/>
                    <w:rPr>
                      <w:color w:val="auto"/>
                      <w:spacing w:val="5"/>
                      <w:szCs w:val="21"/>
                    </w:rPr>
                  </w:pPr>
                  <w:r>
                    <w:rPr>
                      <w:rFonts w:hint="default" w:ascii="Times New Roman" w:hAnsi="Times New Roman" w:eastAsia="宋体" w:cs="Times New Roman"/>
                      <w:color w:val="auto"/>
                      <w:sz w:val="21"/>
                      <w:szCs w:val="21"/>
                      <w:highlight w:val="none"/>
                      <w:lang w:val="en-US" w:eastAsia="zh-CN"/>
                    </w:rPr>
                    <w:t>t/a</w:t>
                  </w:r>
                </w:p>
              </w:tc>
              <w:tc>
                <w:tcPr>
                  <w:tcW w:w="726" w:type="pct"/>
                  <w:vAlign w:val="center"/>
                </w:tcPr>
                <w:p w14:paraId="160CD82F">
                  <w:pPr>
                    <w:tabs>
                      <w:tab w:val="left" w:pos="7920"/>
                    </w:tabs>
                    <w:jc w:val="center"/>
                    <w:rPr>
                      <w:rFonts w:hint="eastAsia" w:eastAsia="宋体"/>
                      <w:color w:val="auto"/>
                      <w:szCs w:val="21"/>
                      <w:lang w:val="en-US" w:eastAsia="zh-CN"/>
                    </w:rPr>
                  </w:pPr>
                  <w:r>
                    <w:rPr>
                      <w:rFonts w:hint="eastAsia"/>
                      <w:color w:val="auto"/>
                      <w:szCs w:val="21"/>
                      <w:lang w:val="en-US" w:eastAsia="zh-CN"/>
                    </w:rPr>
                    <w:t>0</w:t>
                  </w:r>
                </w:p>
              </w:tc>
              <w:tc>
                <w:tcPr>
                  <w:tcW w:w="915" w:type="pct"/>
                  <w:vAlign w:val="center"/>
                </w:tcPr>
                <w:p w14:paraId="431D51EF">
                  <w:pPr>
                    <w:autoSpaceDE w:val="0"/>
                    <w:autoSpaceDN w:val="0"/>
                    <w:adjustRightInd w:val="0"/>
                    <w:jc w:val="center"/>
                    <w:rPr>
                      <w:rFonts w:hint="eastAsia"/>
                      <w:color w:val="auto"/>
                      <w:szCs w:val="21"/>
                    </w:rPr>
                  </w:pPr>
                  <w:r>
                    <w:rPr>
                      <w:rFonts w:hint="eastAsia"/>
                      <w:color w:val="auto"/>
                      <w:spacing w:val="5"/>
                      <w:szCs w:val="21"/>
                      <w:highlight w:val="none"/>
                      <w:lang w:val="en-US" w:eastAsia="zh-CN"/>
                    </w:rPr>
                    <w:t>40000</w:t>
                  </w:r>
                </w:p>
              </w:tc>
              <w:tc>
                <w:tcPr>
                  <w:tcW w:w="806" w:type="pct"/>
                  <w:shd w:val="clear" w:color="auto" w:fill="auto"/>
                  <w:vAlign w:val="center"/>
                </w:tcPr>
                <w:p w14:paraId="40EB6C4B">
                  <w:pPr>
                    <w:autoSpaceDE w:val="0"/>
                    <w:autoSpaceDN w:val="0"/>
                    <w:adjustRightInd w:val="0"/>
                    <w:jc w:val="center"/>
                    <w:rPr>
                      <w:rFonts w:hint="eastAsia" w:ascii="Times New Roman" w:hAnsi="Times New Roman" w:eastAsia="宋体" w:cs="Times New Roman"/>
                      <w:color w:val="auto"/>
                      <w:kern w:val="2"/>
                      <w:sz w:val="21"/>
                      <w:szCs w:val="21"/>
                      <w:lang w:val="en-US" w:eastAsia="zh-CN" w:bidi="ar-SA"/>
                    </w:rPr>
                  </w:pPr>
                  <w:r>
                    <w:rPr>
                      <w:rFonts w:hint="eastAsia"/>
                      <w:color w:val="auto"/>
                      <w:spacing w:val="5"/>
                      <w:szCs w:val="21"/>
                      <w:highlight w:val="none"/>
                      <w:lang w:val="en-US" w:eastAsia="zh-CN"/>
                    </w:rPr>
                    <w:t>40000</w:t>
                  </w:r>
                </w:p>
              </w:tc>
              <w:tc>
                <w:tcPr>
                  <w:tcW w:w="551" w:type="pct"/>
                  <w:shd w:val="clear" w:color="auto" w:fill="auto"/>
                  <w:vAlign w:val="center"/>
                </w:tcPr>
                <w:p w14:paraId="07528D33">
                  <w:pPr>
                    <w:autoSpaceDE w:val="0"/>
                    <w:autoSpaceDN w:val="0"/>
                    <w:adjustRightInd w:val="0"/>
                    <w:jc w:val="center"/>
                    <w:rPr>
                      <w:rFonts w:hint="eastAsia" w:ascii="Times New Roman" w:hAnsi="Times New Roman" w:eastAsia="宋体" w:cs="Times New Roman"/>
                      <w:color w:val="auto"/>
                      <w:kern w:val="2"/>
                      <w:sz w:val="21"/>
                      <w:szCs w:val="21"/>
                      <w:lang w:val="en-US" w:eastAsia="zh-CN" w:bidi="ar-SA"/>
                    </w:rPr>
                  </w:pPr>
                  <w:r>
                    <w:rPr>
                      <w:rFonts w:hint="eastAsia"/>
                      <w:color w:val="auto"/>
                      <w:spacing w:val="5"/>
                      <w:szCs w:val="21"/>
                      <w:highlight w:val="none"/>
                      <w:lang w:val="en-US" w:eastAsia="zh-CN"/>
                    </w:rPr>
                    <w:t>+40000</w:t>
                  </w:r>
                </w:p>
              </w:tc>
            </w:tr>
            <w:tr w14:paraId="1FA009F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4" w:type="pct"/>
                  <w:shd w:val="clear" w:color="auto" w:fill="auto"/>
                  <w:vAlign w:val="center"/>
                </w:tcPr>
                <w:p w14:paraId="55864065">
                  <w:pPr>
                    <w:autoSpaceDE w:val="0"/>
                    <w:autoSpaceDN w:val="0"/>
                    <w:adjustRightIn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2</w:t>
                  </w:r>
                </w:p>
              </w:tc>
              <w:tc>
                <w:tcPr>
                  <w:tcW w:w="909" w:type="pct"/>
                  <w:vAlign w:val="center"/>
                </w:tcPr>
                <w:p w14:paraId="6F84232E">
                  <w:pPr>
                    <w:tabs>
                      <w:tab w:val="left" w:pos="7920"/>
                    </w:tabs>
                    <w:jc w:val="center"/>
                    <w:rPr>
                      <w:rFonts w:hint="eastAsia"/>
                      <w:color w:val="auto"/>
                      <w:szCs w:val="21"/>
                    </w:rPr>
                  </w:pPr>
                  <w:r>
                    <w:rPr>
                      <w:rFonts w:hint="eastAsia"/>
                      <w:color w:val="auto"/>
                      <w:lang w:val="en-US" w:eastAsia="zh-CN"/>
                    </w:rPr>
                    <w:t>衬板</w:t>
                  </w:r>
                </w:p>
              </w:tc>
              <w:tc>
                <w:tcPr>
                  <w:tcW w:w="545" w:type="pct"/>
                  <w:vAlign w:val="center"/>
                </w:tcPr>
                <w:p w14:paraId="1CA41896">
                  <w:pPr>
                    <w:tabs>
                      <w:tab w:val="left" w:pos="7920"/>
                    </w:tabs>
                    <w:jc w:val="center"/>
                    <w:rPr>
                      <w:color w:val="auto"/>
                      <w:spacing w:val="5"/>
                      <w:szCs w:val="21"/>
                    </w:rPr>
                  </w:pPr>
                  <w:r>
                    <w:rPr>
                      <w:rFonts w:hint="default" w:ascii="Times New Roman" w:hAnsi="Times New Roman" w:eastAsia="宋体" w:cs="Times New Roman"/>
                      <w:color w:val="auto"/>
                      <w:sz w:val="21"/>
                      <w:szCs w:val="21"/>
                      <w:highlight w:val="none"/>
                      <w:lang w:val="en-US" w:eastAsia="zh-CN"/>
                    </w:rPr>
                    <w:t>t/a</w:t>
                  </w:r>
                </w:p>
              </w:tc>
              <w:tc>
                <w:tcPr>
                  <w:tcW w:w="726" w:type="pct"/>
                  <w:vAlign w:val="center"/>
                </w:tcPr>
                <w:p w14:paraId="5A339A1F">
                  <w:pPr>
                    <w:tabs>
                      <w:tab w:val="left" w:pos="7920"/>
                    </w:tabs>
                    <w:jc w:val="center"/>
                    <w:rPr>
                      <w:rFonts w:hint="eastAsia" w:eastAsia="宋体"/>
                      <w:color w:val="auto"/>
                      <w:szCs w:val="21"/>
                      <w:lang w:val="en-US" w:eastAsia="zh-CN"/>
                    </w:rPr>
                  </w:pPr>
                  <w:r>
                    <w:rPr>
                      <w:rFonts w:hint="eastAsia"/>
                      <w:color w:val="auto"/>
                      <w:szCs w:val="21"/>
                      <w:lang w:val="en-US" w:eastAsia="zh-CN"/>
                    </w:rPr>
                    <w:t>0</w:t>
                  </w:r>
                </w:p>
              </w:tc>
              <w:tc>
                <w:tcPr>
                  <w:tcW w:w="915" w:type="pct"/>
                  <w:vAlign w:val="center"/>
                </w:tcPr>
                <w:p w14:paraId="5BE222E5">
                  <w:pPr>
                    <w:autoSpaceDE w:val="0"/>
                    <w:autoSpaceDN w:val="0"/>
                    <w:adjustRightInd w:val="0"/>
                    <w:jc w:val="center"/>
                    <w:rPr>
                      <w:rFonts w:hint="eastAsia"/>
                      <w:color w:val="auto"/>
                      <w:szCs w:val="21"/>
                    </w:rPr>
                  </w:pPr>
                  <w:r>
                    <w:rPr>
                      <w:rFonts w:hint="default"/>
                      <w:color w:val="auto"/>
                      <w:spacing w:val="5"/>
                      <w:szCs w:val="21"/>
                      <w:highlight w:val="none"/>
                      <w:lang w:val="en-US" w:eastAsia="zh-CN"/>
                    </w:rPr>
                    <w:t>8267</w:t>
                  </w:r>
                </w:p>
              </w:tc>
              <w:tc>
                <w:tcPr>
                  <w:tcW w:w="806" w:type="pct"/>
                  <w:shd w:val="clear" w:color="auto" w:fill="auto"/>
                  <w:vAlign w:val="center"/>
                </w:tcPr>
                <w:p w14:paraId="44A9022D">
                  <w:pPr>
                    <w:autoSpaceDE w:val="0"/>
                    <w:autoSpaceDN w:val="0"/>
                    <w:adjustRightInd w:val="0"/>
                    <w:jc w:val="center"/>
                    <w:rPr>
                      <w:rFonts w:hint="eastAsia" w:ascii="Times New Roman" w:hAnsi="Times New Roman" w:eastAsia="宋体" w:cs="Times New Roman"/>
                      <w:color w:val="auto"/>
                      <w:kern w:val="2"/>
                      <w:sz w:val="21"/>
                      <w:szCs w:val="21"/>
                      <w:lang w:val="en-US" w:eastAsia="zh-CN" w:bidi="ar-SA"/>
                    </w:rPr>
                  </w:pPr>
                  <w:r>
                    <w:rPr>
                      <w:rFonts w:hint="default"/>
                      <w:color w:val="auto"/>
                      <w:spacing w:val="5"/>
                      <w:szCs w:val="21"/>
                      <w:highlight w:val="none"/>
                      <w:lang w:val="en-US" w:eastAsia="zh-CN"/>
                    </w:rPr>
                    <w:t>8267</w:t>
                  </w:r>
                </w:p>
              </w:tc>
              <w:tc>
                <w:tcPr>
                  <w:tcW w:w="551" w:type="pct"/>
                  <w:shd w:val="clear" w:color="auto" w:fill="auto"/>
                  <w:vAlign w:val="center"/>
                </w:tcPr>
                <w:p w14:paraId="62C32277">
                  <w:pPr>
                    <w:autoSpaceDE w:val="0"/>
                    <w:autoSpaceDN w:val="0"/>
                    <w:adjustRightInd w:val="0"/>
                    <w:jc w:val="center"/>
                    <w:rPr>
                      <w:rFonts w:hint="eastAsia" w:ascii="Times New Roman" w:hAnsi="Times New Roman" w:eastAsia="宋体" w:cs="Times New Roman"/>
                      <w:color w:val="auto"/>
                      <w:kern w:val="2"/>
                      <w:sz w:val="21"/>
                      <w:szCs w:val="21"/>
                      <w:lang w:val="en-US" w:eastAsia="zh-CN" w:bidi="ar-SA"/>
                    </w:rPr>
                  </w:pPr>
                  <w:r>
                    <w:rPr>
                      <w:rFonts w:hint="eastAsia"/>
                      <w:color w:val="auto"/>
                      <w:spacing w:val="5"/>
                      <w:szCs w:val="21"/>
                      <w:highlight w:val="none"/>
                      <w:lang w:val="en-US" w:eastAsia="zh-CN"/>
                    </w:rPr>
                    <w:t>+</w:t>
                  </w:r>
                  <w:r>
                    <w:rPr>
                      <w:rFonts w:hint="default"/>
                      <w:color w:val="auto"/>
                      <w:spacing w:val="5"/>
                      <w:szCs w:val="21"/>
                      <w:highlight w:val="none"/>
                      <w:lang w:val="en-US" w:eastAsia="zh-CN"/>
                    </w:rPr>
                    <w:t>8267</w:t>
                  </w:r>
                </w:p>
              </w:tc>
            </w:tr>
            <w:tr w14:paraId="56FD95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4" w:type="pct"/>
                  <w:shd w:val="clear" w:color="auto" w:fill="auto"/>
                  <w:vAlign w:val="center"/>
                </w:tcPr>
                <w:p w14:paraId="302E509E">
                  <w:pPr>
                    <w:autoSpaceDE w:val="0"/>
                    <w:autoSpaceDN w:val="0"/>
                    <w:adjustRightIn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3</w:t>
                  </w:r>
                </w:p>
              </w:tc>
              <w:tc>
                <w:tcPr>
                  <w:tcW w:w="909" w:type="pct"/>
                  <w:shd w:val="clear" w:color="auto" w:fill="auto"/>
                  <w:vAlign w:val="center"/>
                </w:tcPr>
                <w:p w14:paraId="3CE54225">
                  <w:pPr>
                    <w:tabs>
                      <w:tab w:val="left" w:pos="7920"/>
                    </w:tabs>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大型锻件</w:t>
                  </w:r>
                </w:p>
              </w:tc>
              <w:tc>
                <w:tcPr>
                  <w:tcW w:w="545" w:type="pct"/>
                  <w:shd w:val="clear" w:color="auto" w:fill="auto"/>
                  <w:vAlign w:val="center"/>
                </w:tcPr>
                <w:p w14:paraId="1D0BDA0A">
                  <w:pPr>
                    <w:tabs>
                      <w:tab w:val="left" w:pos="7920"/>
                    </w:tabs>
                    <w:jc w:val="center"/>
                    <w:rPr>
                      <w:rFonts w:ascii="Times New Roman" w:hAnsi="Times New Roman" w:eastAsia="宋体" w:cs="Times New Roman"/>
                      <w:color w:val="auto"/>
                      <w:kern w:val="2"/>
                      <w:sz w:val="21"/>
                      <w:szCs w:val="21"/>
                      <w:lang w:val="en-US" w:eastAsia="zh-CN" w:bidi="ar-SA"/>
                    </w:rPr>
                  </w:pPr>
                  <w:r>
                    <w:rPr>
                      <w:color w:val="auto"/>
                      <w:spacing w:val="5"/>
                      <w:szCs w:val="21"/>
                    </w:rPr>
                    <w:t>t/a</w:t>
                  </w:r>
                </w:p>
              </w:tc>
              <w:tc>
                <w:tcPr>
                  <w:tcW w:w="726" w:type="pct"/>
                  <w:shd w:val="clear" w:color="auto" w:fill="auto"/>
                  <w:vAlign w:val="center"/>
                </w:tcPr>
                <w:p w14:paraId="3DEC8488">
                  <w:pPr>
                    <w:tabs>
                      <w:tab w:val="left" w:pos="7920"/>
                    </w:tabs>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55000</w:t>
                  </w:r>
                </w:p>
              </w:tc>
              <w:tc>
                <w:tcPr>
                  <w:tcW w:w="915" w:type="pct"/>
                  <w:vAlign w:val="center"/>
                </w:tcPr>
                <w:p w14:paraId="4CB68AE6">
                  <w:pPr>
                    <w:autoSpaceDE w:val="0"/>
                    <w:autoSpaceDN w:val="0"/>
                    <w:adjustRightInd w:val="0"/>
                    <w:jc w:val="center"/>
                    <w:rPr>
                      <w:rFonts w:hint="eastAsia" w:eastAsia="宋体"/>
                      <w:color w:val="auto"/>
                      <w:szCs w:val="21"/>
                      <w:lang w:val="en-US" w:eastAsia="zh-CN"/>
                    </w:rPr>
                  </w:pPr>
                  <w:r>
                    <w:rPr>
                      <w:rFonts w:hint="eastAsia"/>
                      <w:color w:val="auto"/>
                      <w:szCs w:val="21"/>
                      <w:lang w:val="en-US" w:eastAsia="zh-CN"/>
                    </w:rPr>
                    <w:t>0</w:t>
                  </w:r>
                </w:p>
              </w:tc>
              <w:tc>
                <w:tcPr>
                  <w:tcW w:w="806" w:type="pct"/>
                  <w:shd w:val="clear" w:color="auto" w:fill="auto"/>
                  <w:vAlign w:val="center"/>
                </w:tcPr>
                <w:p w14:paraId="0E514F70">
                  <w:pPr>
                    <w:tabs>
                      <w:tab w:val="left" w:pos="7920"/>
                    </w:tabs>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55000</w:t>
                  </w:r>
                </w:p>
              </w:tc>
              <w:tc>
                <w:tcPr>
                  <w:tcW w:w="551" w:type="pct"/>
                  <w:vAlign w:val="center"/>
                </w:tcPr>
                <w:p w14:paraId="630E0CB8">
                  <w:pPr>
                    <w:autoSpaceDE w:val="0"/>
                    <w:autoSpaceDN w:val="0"/>
                    <w:adjustRightInd w:val="0"/>
                    <w:jc w:val="center"/>
                    <w:rPr>
                      <w:rFonts w:hint="eastAsia" w:eastAsia="宋体"/>
                      <w:color w:val="auto"/>
                      <w:szCs w:val="21"/>
                      <w:lang w:val="en-US" w:eastAsia="zh-CN"/>
                    </w:rPr>
                  </w:pPr>
                  <w:r>
                    <w:rPr>
                      <w:rFonts w:hint="eastAsia"/>
                      <w:color w:val="auto"/>
                      <w:szCs w:val="21"/>
                      <w:lang w:val="en-US" w:eastAsia="zh-CN"/>
                    </w:rPr>
                    <w:t>0</w:t>
                  </w:r>
                </w:p>
              </w:tc>
            </w:tr>
            <w:tr w14:paraId="5075347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4" w:type="pct"/>
                  <w:vAlign w:val="center"/>
                </w:tcPr>
                <w:p w14:paraId="4EE85732">
                  <w:pPr>
                    <w:autoSpaceDE w:val="0"/>
                    <w:autoSpaceDN w:val="0"/>
                    <w:adjustRightInd w:val="0"/>
                    <w:jc w:val="center"/>
                    <w:rPr>
                      <w:rFonts w:hint="eastAsia" w:eastAsia="宋体"/>
                      <w:color w:val="auto"/>
                      <w:szCs w:val="21"/>
                      <w:lang w:val="en-US" w:eastAsia="zh-CN"/>
                    </w:rPr>
                  </w:pPr>
                  <w:r>
                    <w:rPr>
                      <w:rFonts w:hint="eastAsia"/>
                      <w:color w:val="auto"/>
                      <w:szCs w:val="21"/>
                      <w:lang w:val="en-US" w:eastAsia="zh-CN"/>
                    </w:rPr>
                    <w:t>4</w:t>
                  </w:r>
                </w:p>
              </w:tc>
              <w:tc>
                <w:tcPr>
                  <w:tcW w:w="909" w:type="pct"/>
                  <w:shd w:val="clear" w:color="auto" w:fill="auto"/>
                  <w:vAlign w:val="center"/>
                </w:tcPr>
                <w:p w14:paraId="75749995">
                  <w:pPr>
                    <w:tabs>
                      <w:tab w:val="left" w:pos="7920"/>
                    </w:tabs>
                    <w:jc w:val="center"/>
                    <w:rPr>
                      <w:rFonts w:ascii="Times New Roman" w:hAnsi="Times New Roman" w:eastAsia="宋体" w:cs="Times New Roman"/>
                      <w:color w:val="auto"/>
                      <w:kern w:val="2"/>
                      <w:sz w:val="21"/>
                      <w:szCs w:val="21"/>
                      <w:lang w:val="en-US" w:eastAsia="zh-CN" w:bidi="ar-SA"/>
                    </w:rPr>
                  </w:pPr>
                  <w:r>
                    <w:rPr>
                      <w:rFonts w:hint="eastAsia"/>
                      <w:color w:val="auto"/>
                      <w:szCs w:val="21"/>
                    </w:rPr>
                    <w:t>重型装备</w:t>
                  </w:r>
                </w:p>
              </w:tc>
              <w:tc>
                <w:tcPr>
                  <w:tcW w:w="545" w:type="pct"/>
                  <w:shd w:val="clear" w:color="auto" w:fill="auto"/>
                  <w:vAlign w:val="center"/>
                </w:tcPr>
                <w:p w14:paraId="32495CC9">
                  <w:pPr>
                    <w:tabs>
                      <w:tab w:val="left" w:pos="7920"/>
                    </w:tabs>
                    <w:jc w:val="center"/>
                    <w:rPr>
                      <w:rFonts w:ascii="Times New Roman" w:hAnsi="Times New Roman" w:eastAsia="宋体" w:cs="Times New Roman"/>
                      <w:color w:val="auto"/>
                      <w:kern w:val="2"/>
                      <w:sz w:val="21"/>
                      <w:szCs w:val="21"/>
                      <w:lang w:val="en-US" w:eastAsia="zh-CN" w:bidi="ar-SA"/>
                    </w:rPr>
                  </w:pPr>
                  <w:r>
                    <w:rPr>
                      <w:color w:val="auto"/>
                      <w:spacing w:val="5"/>
                      <w:szCs w:val="21"/>
                    </w:rPr>
                    <w:t>t/a</w:t>
                  </w:r>
                </w:p>
              </w:tc>
              <w:tc>
                <w:tcPr>
                  <w:tcW w:w="726" w:type="pct"/>
                  <w:shd w:val="clear" w:color="auto" w:fill="auto"/>
                  <w:vAlign w:val="center"/>
                </w:tcPr>
                <w:p w14:paraId="2C6CE970">
                  <w:pPr>
                    <w:tabs>
                      <w:tab w:val="left" w:pos="7920"/>
                    </w:tabs>
                    <w:jc w:val="center"/>
                    <w:rPr>
                      <w:rFonts w:ascii="Times New Roman" w:hAnsi="Times New Roman" w:eastAsia="宋体" w:cs="Times New Roman"/>
                      <w:color w:val="auto"/>
                      <w:kern w:val="2"/>
                      <w:sz w:val="21"/>
                      <w:szCs w:val="21"/>
                      <w:lang w:val="en-US" w:eastAsia="zh-CN" w:bidi="ar-SA"/>
                    </w:rPr>
                  </w:pPr>
                  <w:r>
                    <w:rPr>
                      <w:rFonts w:hint="eastAsia"/>
                      <w:color w:val="auto"/>
                      <w:szCs w:val="21"/>
                    </w:rPr>
                    <w:t>8000</w:t>
                  </w:r>
                </w:p>
              </w:tc>
              <w:tc>
                <w:tcPr>
                  <w:tcW w:w="915" w:type="pct"/>
                  <w:vAlign w:val="center"/>
                </w:tcPr>
                <w:p w14:paraId="5F2887AE">
                  <w:pPr>
                    <w:autoSpaceDE w:val="0"/>
                    <w:autoSpaceDN w:val="0"/>
                    <w:adjustRightInd w:val="0"/>
                    <w:jc w:val="center"/>
                    <w:rPr>
                      <w:rFonts w:hint="eastAsia" w:eastAsia="宋体"/>
                      <w:color w:val="auto"/>
                      <w:szCs w:val="21"/>
                      <w:lang w:val="en-US" w:eastAsia="zh-CN"/>
                    </w:rPr>
                  </w:pPr>
                  <w:r>
                    <w:rPr>
                      <w:rFonts w:hint="eastAsia"/>
                      <w:color w:val="auto"/>
                      <w:szCs w:val="21"/>
                      <w:lang w:val="en-US" w:eastAsia="zh-CN"/>
                    </w:rPr>
                    <w:t>0</w:t>
                  </w:r>
                </w:p>
              </w:tc>
              <w:tc>
                <w:tcPr>
                  <w:tcW w:w="806" w:type="pct"/>
                  <w:shd w:val="clear" w:color="auto" w:fill="auto"/>
                  <w:vAlign w:val="center"/>
                </w:tcPr>
                <w:p w14:paraId="2F74B83F">
                  <w:pPr>
                    <w:tabs>
                      <w:tab w:val="left" w:pos="7920"/>
                    </w:tabs>
                    <w:jc w:val="center"/>
                    <w:rPr>
                      <w:rFonts w:ascii="Times New Roman" w:hAnsi="Times New Roman" w:eastAsia="宋体" w:cs="Times New Roman"/>
                      <w:color w:val="auto"/>
                      <w:kern w:val="2"/>
                      <w:sz w:val="21"/>
                      <w:szCs w:val="21"/>
                      <w:lang w:val="en-US" w:eastAsia="zh-CN" w:bidi="ar-SA"/>
                    </w:rPr>
                  </w:pPr>
                  <w:r>
                    <w:rPr>
                      <w:rFonts w:hint="eastAsia"/>
                      <w:color w:val="auto"/>
                      <w:szCs w:val="21"/>
                    </w:rPr>
                    <w:t>8000</w:t>
                  </w:r>
                </w:p>
              </w:tc>
              <w:tc>
                <w:tcPr>
                  <w:tcW w:w="551" w:type="pct"/>
                  <w:vAlign w:val="center"/>
                </w:tcPr>
                <w:p w14:paraId="17E8FD18">
                  <w:pPr>
                    <w:autoSpaceDE w:val="0"/>
                    <w:autoSpaceDN w:val="0"/>
                    <w:adjustRightInd w:val="0"/>
                    <w:jc w:val="center"/>
                    <w:rPr>
                      <w:rFonts w:hint="eastAsia" w:eastAsia="宋体"/>
                      <w:color w:val="auto"/>
                      <w:szCs w:val="21"/>
                      <w:lang w:val="en-US" w:eastAsia="zh-CN"/>
                    </w:rPr>
                  </w:pPr>
                  <w:r>
                    <w:rPr>
                      <w:rFonts w:hint="eastAsia"/>
                      <w:color w:val="auto"/>
                      <w:szCs w:val="21"/>
                      <w:lang w:val="en-US" w:eastAsia="zh-CN"/>
                    </w:rPr>
                    <w:t>0</w:t>
                  </w:r>
                </w:p>
              </w:tc>
            </w:tr>
          </w:tbl>
          <w:p w14:paraId="707D5171">
            <w:pPr>
              <w:pStyle w:val="122"/>
              <w:rPr>
                <w:color w:val="auto"/>
              </w:rPr>
            </w:pPr>
            <w:r>
              <w:rPr>
                <w:rFonts w:hint="eastAsia"/>
                <w:color w:val="auto"/>
              </w:rPr>
              <w:t>6</w:t>
            </w:r>
            <w:r>
              <w:rPr>
                <w:color w:val="auto"/>
              </w:rPr>
              <w:t>、公用工程</w:t>
            </w:r>
          </w:p>
          <w:p w14:paraId="4D310E6C">
            <w:pPr>
              <w:pStyle w:val="116"/>
              <w:keepNext w:val="0"/>
              <w:keepLines w:val="0"/>
              <w:pageBreakBefore w:val="0"/>
              <w:kinsoku/>
              <w:wordWrap/>
              <w:overflowPunct/>
              <w:topLinePunct w:val="0"/>
              <w:autoSpaceDE/>
              <w:autoSpaceDN/>
              <w:bidi w:val="0"/>
              <w:adjustRightInd/>
              <w:snapToGrid/>
              <w:spacing w:line="360" w:lineRule="auto"/>
              <w:ind w:firstLine="420"/>
              <w:textAlignment w:val="auto"/>
              <w:rPr>
                <w:color w:val="auto"/>
              </w:rPr>
            </w:pPr>
            <w:r>
              <w:rPr>
                <w:rFonts w:hint="eastAsia"/>
                <w:color w:val="auto"/>
              </w:rPr>
              <w:t>（1）给排水</w:t>
            </w:r>
          </w:p>
          <w:p w14:paraId="11E53A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contextualSpacing/>
              <w:textAlignment w:val="auto"/>
              <w:rPr>
                <w:rFonts w:hint="eastAsia" w:cs="Times New Roman"/>
                <w:snapToGrid w:val="0"/>
                <w:color w:val="auto"/>
                <w:kern w:val="0"/>
                <w:sz w:val="21"/>
                <w:szCs w:val="21"/>
                <w:highlight w:val="none"/>
                <w:lang w:eastAsia="zh-CN"/>
              </w:rPr>
            </w:pPr>
            <w:r>
              <w:rPr>
                <w:rFonts w:hint="default" w:ascii="Times New Roman" w:hAnsi="Times New Roman" w:cs="Times New Roman"/>
                <w:color w:val="auto"/>
                <w:sz w:val="21"/>
                <w:szCs w:val="21"/>
                <w:highlight w:val="none"/>
                <w:lang w:val="en-US" w:eastAsia="zh-CN"/>
              </w:rPr>
              <w:t>新鲜水依托现有工程市政管网供水，</w:t>
            </w:r>
            <w:r>
              <w:rPr>
                <w:rFonts w:hint="eastAsia" w:cs="Times New Roman"/>
                <w:color w:val="auto"/>
                <w:sz w:val="21"/>
                <w:szCs w:val="21"/>
                <w:highlight w:val="none"/>
                <w:lang w:val="en-US" w:eastAsia="zh-CN"/>
              </w:rPr>
              <w:t>本项目生产用水主要为生产循环冷却用水，最大循环水量为353t/h，补水量按照2%计算，生产用水量为3.53万t/a</w:t>
            </w: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冷却</w:t>
            </w:r>
            <w:r>
              <w:rPr>
                <w:rFonts w:hint="eastAsia" w:cs="Times New Roman"/>
                <w:snapToGrid w:val="0"/>
                <w:color w:val="auto"/>
                <w:kern w:val="0"/>
                <w:sz w:val="21"/>
                <w:szCs w:val="21"/>
                <w:highlight w:val="none"/>
                <w:lang w:val="en-US" w:eastAsia="zh-CN"/>
              </w:rPr>
              <w:t>水</w:t>
            </w:r>
            <w:r>
              <w:rPr>
                <w:rFonts w:hint="eastAsia" w:ascii="Times New Roman" w:hAnsi="Times New Roman" w:eastAsia="宋体" w:cs="Times New Roman"/>
                <w:snapToGrid w:val="0"/>
                <w:color w:val="auto"/>
                <w:kern w:val="0"/>
                <w:sz w:val="21"/>
                <w:szCs w:val="21"/>
                <w:highlight w:val="none"/>
              </w:rPr>
              <w:t>循环使用，定期补充，</w:t>
            </w:r>
            <w:r>
              <w:rPr>
                <w:rFonts w:hint="eastAsia" w:cs="Times New Roman"/>
                <w:snapToGrid w:val="0"/>
                <w:color w:val="auto"/>
                <w:kern w:val="0"/>
                <w:sz w:val="21"/>
                <w:szCs w:val="21"/>
                <w:highlight w:val="none"/>
                <w:lang w:val="en-US" w:eastAsia="zh-CN"/>
              </w:rPr>
              <w:t>不外排</w:t>
            </w:r>
            <w:r>
              <w:rPr>
                <w:rFonts w:hint="eastAsia" w:cs="Times New Roman"/>
                <w:snapToGrid w:val="0"/>
                <w:color w:val="auto"/>
                <w:kern w:val="0"/>
                <w:sz w:val="21"/>
                <w:szCs w:val="21"/>
                <w:highlight w:val="none"/>
                <w:lang w:eastAsia="zh-CN"/>
              </w:rPr>
              <w:t>。</w:t>
            </w:r>
            <w:r>
              <w:rPr>
                <w:rFonts w:hint="eastAsia" w:ascii="Times New Roman" w:hAnsi="Times New Roman" w:eastAsia="宋体" w:cs="Times New Roman"/>
                <w:snapToGrid w:val="0"/>
                <w:color w:val="auto"/>
                <w:kern w:val="0"/>
                <w:sz w:val="21"/>
                <w:szCs w:val="21"/>
                <w:highlight w:val="none"/>
              </w:rPr>
              <w:t>项目不新增劳动定员，无生活污水产生</w:t>
            </w:r>
            <w:r>
              <w:rPr>
                <w:rFonts w:hint="eastAsia" w:cs="Times New Roman"/>
                <w:snapToGrid w:val="0"/>
                <w:color w:val="auto"/>
                <w:kern w:val="0"/>
                <w:sz w:val="21"/>
                <w:szCs w:val="21"/>
                <w:highlight w:val="none"/>
                <w:lang w:eastAsia="zh-CN"/>
              </w:rPr>
              <w:t>。</w:t>
            </w:r>
            <w:r>
              <w:rPr>
                <w:rFonts w:hint="eastAsia" w:ascii="Times New Roman" w:hAnsi="Times New Roman" w:eastAsia="宋体" w:cs="Times New Roman"/>
                <w:snapToGrid w:val="0"/>
                <w:color w:val="auto"/>
                <w:kern w:val="0"/>
                <w:sz w:val="21"/>
                <w:szCs w:val="21"/>
                <w:highlight w:val="none"/>
              </w:rPr>
              <w:t>因此项目无废水外排</w:t>
            </w:r>
            <w:r>
              <w:rPr>
                <w:rFonts w:hint="eastAsia" w:cs="Times New Roman"/>
                <w:snapToGrid w:val="0"/>
                <w:color w:val="auto"/>
                <w:kern w:val="0"/>
                <w:sz w:val="21"/>
                <w:szCs w:val="21"/>
                <w:highlight w:val="none"/>
                <w:lang w:eastAsia="zh-CN"/>
              </w:rPr>
              <w:t>。</w:t>
            </w:r>
          </w:p>
          <w:p w14:paraId="57E58447">
            <w:pPr>
              <w:pStyle w:val="116"/>
              <w:keepNext w:val="0"/>
              <w:keepLines w:val="0"/>
              <w:pageBreakBefore w:val="0"/>
              <w:kinsoku/>
              <w:wordWrap/>
              <w:overflowPunct/>
              <w:topLinePunct w:val="0"/>
              <w:autoSpaceDE/>
              <w:autoSpaceDN/>
              <w:bidi w:val="0"/>
              <w:adjustRightInd/>
              <w:snapToGrid/>
              <w:spacing w:line="360" w:lineRule="auto"/>
              <w:ind w:firstLine="420"/>
              <w:textAlignment w:val="auto"/>
              <w:rPr>
                <w:color w:val="auto"/>
              </w:rPr>
            </w:pPr>
            <w:r>
              <w:rPr>
                <w:rFonts w:hint="eastAsia"/>
                <w:color w:val="auto"/>
              </w:rPr>
              <w:t>（2）供电</w:t>
            </w:r>
          </w:p>
          <w:p w14:paraId="0C0415B0">
            <w:pPr>
              <w:pStyle w:val="116"/>
              <w:keepNext w:val="0"/>
              <w:keepLines w:val="0"/>
              <w:pageBreakBefore w:val="0"/>
              <w:kinsoku/>
              <w:wordWrap/>
              <w:overflowPunct/>
              <w:topLinePunct w:val="0"/>
              <w:autoSpaceDE/>
              <w:autoSpaceDN/>
              <w:bidi w:val="0"/>
              <w:adjustRightInd/>
              <w:snapToGrid/>
              <w:spacing w:line="360" w:lineRule="auto"/>
              <w:ind w:firstLine="420"/>
              <w:jc w:val="both"/>
              <w:textAlignment w:val="auto"/>
              <w:rPr>
                <w:rFonts w:hint="eastAsia"/>
                <w:color w:val="auto"/>
              </w:rPr>
            </w:pPr>
            <w:r>
              <w:rPr>
                <w:rFonts w:hint="eastAsia"/>
                <w:color w:val="auto"/>
              </w:rPr>
              <w:t>本项目用电由园区供电网提供，本项目引入1路10kV电源，接自唐山高新区110kV变电站，距离项目所在地约3km，该110kV变电站配置2台50MVA变压器，目前富余供电能力为50MVA，能够满足本项目电力需求（视在功率13.09MVA）</w:t>
            </w:r>
            <w:r>
              <w:rPr>
                <w:rFonts w:hint="eastAsia"/>
                <w:color w:val="auto"/>
                <w:lang w:eastAsia="zh-CN"/>
              </w:rPr>
              <w:t>，</w:t>
            </w:r>
            <w:r>
              <w:rPr>
                <w:rFonts w:hint="eastAsia"/>
                <w:color w:val="auto"/>
              </w:rPr>
              <w:t>年用电量约为</w:t>
            </w:r>
            <w:r>
              <w:rPr>
                <w:rFonts w:hint="default" w:ascii="Times New Roman" w:hAnsi="Times New Roman" w:eastAsia="宋体" w:cs="Times New Roman"/>
                <w:color w:val="auto"/>
                <w:kern w:val="0"/>
                <w:sz w:val="21"/>
                <w:szCs w:val="21"/>
                <w:lang w:val="en-US" w:eastAsia="zh-CN" w:bidi="ar"/>
              </w:rPr>
              <w:t>3659.69</w:t>
            </w:r>
            <w:r>
              <w:rPr>
                <w:rFonts w:hint="eastAsia"/>
                <w:color w:val="auto"/>
                <w:sz w:val="21"/>
                <w:szCs w:val="21"/>
              </w:rPr>
              <w:t>万kW</w:t>
            </w:r>
            <w:r>
              <w:rPr>
                <w:rFonts w:hint="eastAsia"/>
                <w:color w:val="auto"/>
              </w:rPr>
              <w:t>h。</w:t>
            </w:r>
          </w:p>
          <w:p w14:paraId="203D2CB7">
            <w:pPr>
              <w:pStyle w:val="116"/>
              <w:keepNext w:val="0"/>
              <w:keepLines w:val="0"/>
              <w:pageBreakBefore w:val="0"/>
              <w:kinsoku/>
              <w:wordWrap/>
              <w:overflowPunct/>
              <w:topLinePunct w:val="0"/>
              <w:autoSpaceDE/>
              <w:autoSpaceDN/>
              <w:bidi w:val="0"/>
              <w:adjustRightInd/>
              <w:snapToGrid/>
              <w:spacing w:line="360" w:lineRule="auto"/>
              <w:ind w:firstLine="420"/>
              <w:jc w:val="both"/>
              <w:textAlignment w:val="auto"/>
              <w:rPr>
                <w:rFonts w:hint="eastAsia"/>
                <w:color w:val="auto"/>
                <w:lang w:val="en-US" w:eastAsia="zh-CN"/>
              </w:rPr>
            </w:pPr>
            <w:r>
              <w:rPr>
                <w:rFonts w:hint="eastAsia"/>
                <w:color w:val="auto"/>
                <w:lang w:eastAsia="zh-CN"/>
              </w:rPr>
              <w:t>（</w:t>
            </w:r>
            <w:r>
              <w:rPr>
                <w:rFonts w:hint="eastAsia"/>
                <w:color w:val="auto"/>
                <w:lang w:val="en-US" w:eastAsia="zh-CN"/>
              </w:rPr>
              <w:t>3</w:t>
            </w:r>
            <w:r>
              <w:rPr>
                <w:rFonts w:hint="eastAsia"/>
                <w:color w:val="auto"/>
                <w:lang w:eastAsia="zh-CN"/>
              </w:rPr>
              <w:t>）</w:t>
            </w:r>
            <w:r>
              <w:rPr>
                <w:rFonts w:hint="eastAsia"/>
                <w:color w:val="auto"/>
                <w:lang w:val="en-US" w:eastAsia="zh-CN"/>
              </w:rPr>
              <w:t>供气</w:t>
            </w:r>
          </w:p>
          <w:p w14:paraId="68D01565">
            <w:pPr>
              <w:pStyle w:val="116"/>
              <w:keepNext w:val="0"/>
              <w:keepLines w:val="0"/>
              <w:pageBreakBefore w:val="0"/>
              <w:kinsoku/>
              <w:wordWrap/>
              <w:overflowPunct/>
              <w:topLinePunct w:val="0"/>
              <w:autoSpaceDE/>
              <w:autoSpaceDN/>
              <w:bidi w:val="0"/>
              <w:adjustRightInd/>
              <w:snapToGrid/>
              <w:spacing w:line="360" w:lineRule="auto"/>
              <w:ind w:firstLine="420"/>
              <w:jc w:val="both"/>
              <w:textAlignment w:val="auto"/>
              <w:rPr>
                <w:rFonts w:hint="default"/>
                <w:color w:val="auto"/>
                <w:lang w:val="en-US" w:eastAsia="zh-CN"/>
              </w:rPr>
            </w:pPr>
            <w:r>
              <w:rPr>
                <w:rFonts w:hint="default"/>
                <w:color w:val="auto"/>
                <w:lang w:val="en-US" w:eastAsia="zh-CN"/>
              </w:rPr>
              <w:t>本项目天然气由唐山市燃气集团有限企业供应，日均天然气供应量可达100万立方米，</w:t>
            </w:r>
            <w:r>
              <w:rPr>
                <w:rFonts w:hint="eastAsia"/>
                <w:color w:val="auto"/>
                <w:lang w:val="en-US" w:eastAsia="zh-CN"/>
              </w:rPr>
              <w:t>富余</w:t>
            </w:r>
            <w:r>
              <w:rPr>
                <w:rFonts w:hint="default"/>
                <w:color w:val="auto"/>
                <w:lang w:val="en-US" w:eastAsia="zh-CN"/>
              </w:rPr>
              <w:t>量为30万立方米/天，供应有保证，能够满足项目使用要求</w:t>
            </w:r>
            <w:r>
              <w:rPr>
                <w:rFonts w:hint="eastAsia"/>
                <w:color w:val="auto"/>
                <w:lang w:val="en-US" w:eastAsia="zh-CN"/>
              </w:rPr>
              <w:t>，年用气量约为435.60万m</w:t>
            </w:r>
            <w:r>
              <w:rPr>
                <w:rFonts w:hint="eastAsia"/>
                <w:color w:val="auto"/>
                <w:vertAlign w:val="superscript"/>
                <w:lang w:val="en-US" w:eastAsia="zh-CN"/>
              </w:rPr>
              <w:t>3</w:t>
            </w:r>
            <w:r>
              <w:rPr>
                <w:rFonts w:hint="eastAsia"/>
                <w:color w:val="auto"/>
                <w:lang w:val="en-US" w:eastAsia="zh-CN"/>
              </w:rPr>
              <w:t>/a,</w:t>
            </w:r>
            <w:r>
              <w:rPr>
                <w:rFonts w:hint="default"/>
                <w:color w:val="auto"/>
                <w:lang w:val="en-US" w:eastAsia="zh-CN"/>
              </w:rPr>
              <w:t>。</w:t>
            </w:r>
          </w:p>
          <w:p w14:paraId="7F002786">
            <w:pPr>
              <w:pStyle w:val="122"/>
              <w:rPr>
                <w:color w:val="auto"/>
              </w:rPr>
            </w:pPr>
            <w:r>
              <w:rPr>
                <w:rFonts w:hint="eastAsia"/>
                <w:color w:val="auto"/>
              </w:rPr>
              <w:t>7、</w:t>
            </w:r>
            <w:r>
              <w:rPr>
                <w:color w:val="auto"/>
              </w:rPr>
              <w:t>劳动定员与工作制度</w:t>
            </w:r>
          </w:p>
          <w:p w14:paraId="1863BC06">
            <w:pPr>
              <w:pStyle w:val="116"/>
              <w:ind w:firstLine="420"/>
              <w:rPr>
                <w:rFonts w:hint="eastAsia" w:eastAsia="宋体"/>
                <w:color w:val="auto"/>
                <w:lang w:eastAsia="zh-CN"/>
              </w:rPr>
            </w:pPr>
            <w:r>
              <w:rPr>
                <w:color w:val="auto"/>
              </w:rPr>
              <w:t>本项目不新增劳动定员，现有员工</w:t>
            </w:r>
            <w:r>
              <w:rPr>
                <w:rFonts w:hint="eastAsia"/>
                <w:color w:val="auto"/>
              </w:rPr>
              <w:t>550</w:t>
            </w:r>
            <w:r>
              <w:rPr>
                <w:color w:val="auto"/>
              </w:rPr>
              <w:t>人，</w:t>
            </w:r>
            <w:r>
              <w:rPr>
                <w:rFonts w:hint="eastAsia"/>
                <w:color w:val="auto"/>
                <w:lang w:val="en-US" w:eastAsia="zh-CN"/>
              </w:rPr>
              <w:t>本项目</w:t>
            </w:r>
            <w:r>
              <w:rPr>
                <w:color w:val="auto"/>
              </w:rPr>
              <w:t>所需工作人员从企业现有岗位进行调剂</w:t>
            </w:r>
            <w:r>
              <w:rPr>
                <w:rFonts w:hint="eastAsia"/>
                <w:color w:val="auto"/>
              </w:rPr>
              <w:t>，</w:t>
            </w:r>
            <w:r>
              <w:rPr>
                <w:color w:val="auto"/>
              </w:rPr>
              <w:t>年工作3</w:t>
            </w:r>
            <w:r>
              <w:rPr>
                <w:rFonts w:hint="eastAsia"/>
                <w:color w:val="auto"/>
                <w:lang w:val="en-US" w:eastAsia="zh-CN"/>
              </w:rPr>
              <w:t>30</w:t>
            </w:r>
            <w:r>
              <w:rPr>
                <w:color w:val="auto"/>
              </w:rPr>
              <w:t>天，</w:t>
            </w:r>
            <w:r>
              <w:rPr>
                <w:rFonts w:hint="eastAsia"/>
                <w:color w:val="auto"/>
                <w:lang w:val="en-US" w:eastAsia="zh-CN"/>
              </w:rPr>
              <w:t>实行三班制，每</w:t>
            </w:r>
            <w:r>
              <w:rPr>
                <w:color w:val="auto"/>
              </w:rPr>
              <w:t>班8小时</w:t>
            </w:r>
            <w:r>
              <w:rPr>
                <w:rFonts w:hint="eastAsia"/>
                <w:color w:val="auto"/>
              </w:rPr>
              <w:t>。</w:t>
            </w:r>
            <w:r>
              <w:rPr>
                <w:rFonts w:hint="eastAsia"/>
                <w:color w:val="auto"/>
                <w:lang w:val="en-US" w:eastAsia="zh-CN"/>
              </w:rPr>
              <w:t>其中</w:t>
            </w:r>
            <w:r>
              <w:rPr>
                <w:rFonts w:hint="eastAsia"/>
                <w:color w:val="auto"/>
              </w:rPr>
              <w:t>钢球生产</w:t>
            </w:r>
            <w:r>
              <w:rPr>
                <w:rFonts w:hint="eastAsia"/>
                <w:color w:val="auto"/>
                <w:lang w:val="en-US" w:eastAsia="zh-CN"/>
              </w:rPr>
              <w:t>线</w:t>
            </w:r>
            <w:r>
              <w:rPr>
                <w:rFonts w:hint="eastAsia"/>
                <w:color w:val="auto"/>
              </w:rPr>
              <w:t>年工作时间为5280h（330天，每天16h），自由锻</w:t>
            </w:r>
            <w:r>
              <w:rPr>
                <w:rFonts w:hint="eastAsia"/>
                <w:color w:val="auto"/>
                <w:lang w:val="en-US" w:eastAsia="zh-CN"/>
              </w:rPr>
              <w:t>生产线</w:t>
            </w:r>
            <w:r>
              <w:rPr>
                <w:rFonts w:hint="eastAsia"/>
                <w:color w:val="auto"/>
              </w:rPr>
              <w:t>年工作时间为2640h（330天，每天8h）</w:t>
            </w:r>
            <w:r>
              <w:rPr>
                <w:rFonts w:hint="eastAsia"/>
                <w:color w:val="auto"/>
                <w:lang w:eastAsia="zh-CN"/>
              </w:rPr>
              <w:t>。</w:t>
            </w:r>
          </w:p>
          <w:p w14:paraId="1E363935">
            <w:pPr>
              <w:pStyle w:val="122"/>
              <w:rPr>
                <w:color w:val="auto"/>
              </w:rPr>
            </w:pPr>
            <w:r>
              <w:rPr>
                <w:rFonts w:hint="eastAsia"/>
                <w:color w:val="auto"/>
              </w:rPr>
              <w:t>8、</w:t>
            </w:r>
            <w:r>
              <w:rPr>
                <w:color w:val="auto"/>
              </w:rPr>
              <w:t>平面布置</w:t>
            </w:r>
          </w:p>
          <w:p w14:paraId="5766DC98">
            <w:pPr>
              <w:pStyle w:val="116"/>
              <w:ind w:firstLine="420"/>
              <w:rPr>
                <w:color w:val="auto"/>
              </w:rPr>
            </w:pPr>
            <w:r>
              <w:rPr>
                <w:color w:val="auto"/>
              </w:rPr>
              <w:t>本项目</w:t>
            </w:r>
            <w:r>
              <w:rPr>
                <w:rFonts w:hint="eastAsia"/>
                <w:color w:val="auto"/>
                <w:lang w:val="en-US" w:eastAsia="zh-CN"/>
              </w:rPr>
              <w:t>新建</w:t>
            </w:r>
            <w:r>
              <w:rPr>
                <w:rFonts w:hint="eastAsia"/>
                <w:color w:val="auto"/>
              </w:rPr>
              <w:t>自由锻与热处理车间</w:t>
            </w:r>
            <w:r>
              <w:rPr>
                <w:rFonts w:hint="eastAsia"/>
                <w:color w:val="auto"/>
                <w:lang w:val="en-US" w:eastAsia="zh-CN"/>
              </w:rPr>
              <w:t>位于厂区西部，</w:t>
            </w:r>
            <w:r>
              <w:rPr>
                <w:rFonts w:hint="eastAsia"/>
                <w:color w:val="auto"/>
                <w:szCs w:val="21"/>
                <w:highlight w:val="none"/>
              </w:rPr>
              <w:t>高压管汇车间</w:t>
            </w:r>
            <w:r>
              <w:rPr>
                <w:rFonts w:hint="eastAsia"/>
                <w:color w:val="auto"/>
                <w:szCs w:val="21"/>
                <w:highlight w:val="none"/>
                <w:lang w:val="en-US" w:eastAsia="zh-CN"/>
              </w:rPr>
              <w:t>位于东北部，</w:t>
            </w:r>
            <w:r>
              <w:rPr>
                <w:rFonts w:hint="eastAsia"/>
                <w:color w:val="auto"/>
                <w:lang w:val="en-US" w:eastAsia="zh-CN"/>
              </w:rPr>
              <w:t>成品库位于</w:t>
            </w:r>
            <w:r>
              <w:rPr>
                <w:rFonts w:hint="eastAsia"/>
                <w:color w:val="auto"/>
                <w:szCs w:val="21"/>
                <w:highlight w:val="none"/>
              </w:rPr>
              <w:t>高压管汇车间</w:t>
            </w:r>
            <w:r>
              <w:rPr>
                <w:rFonts w:hint="eastAsia"/>
                <w:color w:val="auto"/>
                <w:szCs w:val="21"/>
                <w:highlight w:val="none"/>
                <w:lang w:val="en-US" w:eastAsia="zh-CN"/>
              </w:rPr>
              <w:t>东侧</w:t>
            </w:r>
            <w:r>
              <w:rPr>
                <w:rFonts w:hint="eastAsia"/>
                <w:color w:val="auto"/>
                <w:lang w:eastAsia="zh-CN"/>
              </w:rPr>
              <w:t>，</w:t>
            </w:r>
            <w:r>
              <w:rPr>
                <w:rFonts w:hint="eastAsia"/>
                <w:color w:val="auto"/>
              </w:rPr>
              <w:t>自由锻与热处理车间</w:t>
            </w:r>
            <w:r>
              <w:rPr>
                <w:rFonts w:hint="eastAsia"/>
                <w:color w:val="auto"/>
                <w:lang w:val="en-US" w:eastAsia="zh-CN"/>
              </w:rPr>
              <w:t>生产</w:t>
            </w:r>
            <w:r>
              <w:rPr>
                <w:rFonts w:hint="eastAsia"/>
                <w:color w:val="auto"/>
              </w:rPr>
              <w:t>设备</w:t>
            </w:r>
            <w:r>
              <w:rPr>
                <w:color w:val="auto"/>
              </w:rPr>
              <w:t>按照生产流程合理布置于相应位置。厂区平面布置图见附图</w:t>
            </w:r>
            <w:r>
              <w:rPr>
                <w:rFonts w:hint="eastAsia"/>
                <w:color w:val="auto"/>
              </w:rPr>
              <w:t>3</w:t>
            </w:r>
            <w:r>
              <w:rPr>
                <w:color w:val="auto"/>
              </w:rPr>
              <w:t>。</w:t>
            </w:r>
          </w:p>
          <w:p w14:paraId="6D992DE8">
            <w:pPr>
              <w:pStyle w:val="116"/>
              <w:ind w:left="0" w:leftChars="0" w:firstLine="0" w:firstLineChars="0"/>
              <w:rPr>
                <w:color w:val="auto"/>
              </w:rPr>
            </w:pPr>
          </w:p>
        </w:tc>
      </w:tr>
      <w:tr w14:paraId="1EB434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53" w:hRule="atLeast"/>
          <w:jc w:val="center"/>
        </w:trPr>
        <w:tc>
          <w:tcPr>
            <w:tcW w:w="659" w:type="dxa"/>
            <w:shd w:val="clear" w:color="auto" w:fill="auto"/>
            <w:noWrap/>
            <w:vAlign w:val="center"/>
          </w:tcPr>
          <w:p w14:paraId="05316846">
            <w:pPr>
              <w:pStyle w:val="30"/>
              <w:adjustRightInd w:val="0"/>
              <w:snapToGrid w:val="0"/>
              <w:spacing w:before="0" w:beforeAutospacing="0" w:after="0" w:afterAutospacing="0"/>
              <w:jc w:val="center"/>
              <w:rPr>
                <w:rFonts w:ascii="Times New Roman" w:hAnsi="Times New Roman"/>
                <w:color w:val="auto"/>
                <w:sz w:val="21"/>
                <w:szCs w:val="21"/>
              </w:rPr>
            </w:pPr>
            <w:r>
              <w:rPr>
                <w:rFonts w:ascii="Times New Roman" w:hAnsi="Times New Roman"/>
                <w:bCs/>
                <w:color w:val="auto"/>
                <w:kern w:val="2"/>
                <w:sz w:val="21"/>
                <w:szCs w:val="21"/>
              </w:rPr>
              <w:t>工艺流程和产排污环节</w:t>
            </w:r>
          </w:p>
        </w:tc>
        <w:tc>
          <w:tcPr>
            <w:tcW w:w="8515" w:type="dxa"/>
            <w:shd w:val="clear" w:color="auto" w:fill="auto"/>
            <w:noWrap/>
          </w:tcPr>
          <w:p w14:paraId="4C344612">
            <w:pPr>
              <w:pStyle w:val="116"/>
              <w:ind w:firstLine="420"/>
              <w:rPr>
                <w:color w:val="auto"/>
              </w:rPr>
            </w:pPr>
            <w:r>
              <w:rPr>
                <w:rFonts w:hint="eastAsia"/>
                <w:color w:val="auto"/>
              </w:rPr>
              <w:t>生产工艺流程简述如下：</w:t>
            </w:r>
          </w:p>
          <w:p w14:paraId="70DBF086">
            <w:pPr>
              <w:spacing w:line="360" w:lineRule="auto"/>
              <w:ind w:firstLine="420" w:firstLineChars="200"/>
              <w:jc w:val="both"/>
              <w:rPr>
                <w:rFonts w:ascii="Times New Roman" w:hAnsi="Times New Roman" w:cs="Times New Roman"/>
                <w:color w:val="auto"/>
                <w:sz w:val="21"/>
                <w:szCs w:val="21"/>
              </w:rPr>
            </w:pPr>
            <w:r>
              <w:rPr>
                <w:rFonts w:hint="eastAsia" w:ascii="Times New Roman" w:hAnsi="Times New Roman" w:cs="Times New Roman"/>
                <w:color w:val="auto"/>
                <w:sz w:val="21"/>
                <w:szCs w:val="21"/>
              </w:rPr>
              <w:t>1、钢球轧线</w:t>
            </w:r>
          </w:p>
          <w:p w14:paraId="40640342">
            <w:pPr>
              <w:spacing w:line="360" w:lineRule="auto"/>
              <w:ind w:firstLine="420" w:firstLineChars="200"/>
              <w:jc w:val="both"/>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钢球轧线遵循严格的全流程质量管控流程，从原材料检测起步，对合金圆钢的直线度与表面裂纹进行细致检验，不合格原材料按标准执行返厂处理，合格原材料进入后续生产环节。</w:t>
            </w:r>
          </w:p>
          <w:p w14:paraId="068A7CF2">
            <w:pPr>
              <w:spacing w:line="360" w:lineRule="auto"/>
              <w:ind w:firstLine="420" w:firstLineChars="200"/>
              <w:jc w:val="both"/>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上料环节由天车吊运至料架，通过自动翻料机构将棒料拨入输送辊道。</w:t>
            </w:r>
          </w:p>
          <w:p w14:paraId="5940F466">
            <w:pPr>
              <w:spacing w:line="360" w:lineRule="auto"/>
              <w:ind w:firstLine="420" w:firstLineChars="200"/>
              <w:jc w:val="both"/>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加热工序采用中频加热方式，设定温度范围为</w:t>
            </w:r>
            <w:r>
              <w:rPr>
                <w:rFonts w:hint="default" w:ascii="Times New Roman" w:hAnsi="Times New Roman" w:cs="Times New Roman"/>
                <w:color w:val="auto"/>
                <w:sz w:val="21"/>
                <w:szCs w:val="21"/>
              </w:rPr>
              <w:t>1050°C-1150°C</w:t>
            </w:r>
            <w:r>
              <w:rPr>
                <w:rFonts w:hint="eastAsia" w:ascii="Times New Roman" w:hAnsi="Times New Roman" w:cs="Times New Roman"/>
                <w:color w:val="auto"/>
                <w:sz w:val="21"/>
                <w:szCs w:val="21"/>
              </w:rPr>
              <w:t>，由加热炉PLC系统实现自动控制，若温度高于设定范围进行冷却调整，若温度低于设定范围则进行加热调整，直至满足工艺要求。</w:t>
            </w:r>
          </w:p>
          <w:p w14:paraId="43D5C24D">
            <w:pPr>
              <w:spacing w:line="360" w:lineRule="auto"/>
              <w:ind w:firstLine="420" w:firstLineChars="200"/>
              <w:jc w:val="both"/>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轧制过程中，主电机采用变频调速技术，精准匹配不同规格钢球的速度需求，同时与中频感应加热炉保持协同联动。</w:t>
            </w:r>
          </w:p>
          <w:p w14:paraId="0627D624">
            <w:pPr>
              <w:spacing w:line="360" w:lineRule="auto"/>
              <w:ind w:firstLine="420" w:firstLineChars="200"/>
              <w:jc w:val="both"/>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rPr>
              <w:t>轧制</w:t>
            </w:r>
            <w:r>
              <w:rPr>
                <w:rFonts w:hint="default" w:ascii="Times New Roman" w:hAnsi="Times New Roman" w:cs="Times New Roman"/>
                <w:color w:val="auto"/>
                <w:sz w:val="21"/>
                <w:szCs w:val="21"/>
              </w:rPr>
              <w:t>完成后进入筛球环节，过滤不完整钢球并送入废球箱，合格钢球进入缓冷</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风冷</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工序，在700</w:t>
            </w:r>
            <w:r>
              <w:rPr>
                <w:rFonts w:hint="default" w:ascii="Times New Roman" w:hAnsi="Times New Roman" w:cs="Times New Roman"/>
                <w:color w:val="auto"/>
                <w:sz w:val="21"/>
                <w:szCs w:val="21"/>
                <w:lang w:eastAsia="zh-CN"/>
              </w:rPr>
              <w:t>°C</w:t>
            </w:r>
            <w:r>
              <w:rPr>
                <w:rFonts w:hint="default" w:ascii="Times New Roman" w:hAnsi="Times New Roman" w:cs="Times New Roman"/>
                <w:color w:val="auto"/>
                <w:sz w:val="21"/>
                <w:szCs w:val="21"/>
              </w:rPr>
              <w:t>-850</w:t>
            </w:r>
            <w:r>
              <w:rPr>
                <w:rFonts w:hint="default" w:ascii="Times New Roman" w:hAnsi="Times New Roman" w:cs="Times New Roman"/>
                <w:color w:val="auto"/>
                <w:sz w:val="21"/>
                <w:szCs w:val="21"/>
                <w:lang w:eastAsia="zh-CN"/>
              </w:rPr>
              <w:t>°C</w:t>
            </w:r>
            <w:r>
              <w:rPr>
                <w:rFonts w:hint="default" w:ascii="Times New Roman" w:hAnsi="Times New Roman" w:cs="Times New Roman"/>
                <w:color w:val="auto"/>
                <w:sz w:val="21"/>
                <w:szCs w:val="21"/>
              </w:rPr>
              <w:t>环境下进行缓冷</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风冷</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处理</w:t>
            </w:r>
            <w:r>
              <w:rPr>
                <w:rFonts w:hint="eastAsia" w:ascii="Times New Roman" w:hAnsi="Times New Roman" w:cs="Times New Roman"/>
                <w:color w:val="auto"/>
                <w:sz w:val="21"/>
                <w:szCs w:val="21"/>
                <w:lang w:eastAsia="zh-CN"/>
              </w:rPr>
              <w:t>。</w:t>
            </w:r>
          </w:p>
          <w:p w14:paraId="540037C2">
            <w:pPr>
              <w:spacing w:line="360" w:lineRule="auto"/>
              <w:ind w:firstLine="420" w:firstLineChars="200"/>
              <w:jc w:val="both"/>
              <w:rPr>
                <w:rFonts w:hint="eastAsia" w:ascii="Times New Roman" w:hAnsi="Times New Roman" w:cs="Times New Roman"/>
                <w:color w:val="auto"/>
                <w:sz w:val="21"/>
                <w:szCs w:val="21"/>
              </w:rPr>
            </w:pPr>
            <w:r>
              <w:rPr>
                <w:rFonts w:hint="default" w:ascii="Times New Roman" w:hAnsi="Times New Roman" w:cs="Times New Roman"/>
                <w:color w:val="auto"/>
                <w:sz w:val="21"/>
                <w:szCs w:val="21"/>
              </w:rPr>
              <w:t>随后依次经过淬火</w:t>
            </w:r>
            <w:r>
              <w:rPr>
                <w:rFonts w:hint="eastAsia" w:cs="Times New Roman"/>
                <w:color w:val="auto"/>
                <w:sz w:val="21"/>
                <w:szCs w:val="21"/>
                <w:lang w:eastAsia="zh-CN"/>
              </w:rPr>
              <w:t>（</w:t>
            </w:r>
            <w:r>
              <w:rPr>
                <w:rFonts w:hint="eastAsia" w:cs="Times New Roman"/>
                <w:color w:val="auto"/>
                <w:sz w:val="21"/>
                <w:szCs w:val="21"/>
                <w:lang w:val="en-US" w:eastAsia="zh-CN"/>
              </w:rPr>
              <w:t>水淬</w:t>
            </w:r>
            <w:r>
              <w:rPr>
                <w:rFonts w:hint="eastAsia" w:cs="Times New Roman"/>
                <w:color w:val="auto"/>
                <w:sz w:val="21"/>
                <w:szCs w:val="21"/>
                <w:lang w:eastAsia="zh-CN"/>
              </w:rPr>
              <w:t>）</w:t>
            </w:r>
            <w:r>
              <w:rPr>
                <w:rFonts w:hint="eastAsia" w:ascii="Times New Roman" w:hAnsi="Times New Roman" w:cs="Times New Roman"/>
                <w:color w:val="auto"/>
                <w:sz w:val="21"/>
                <w:szCs w:val="21"/>
              </w:rPr>
              <w:t>、</w:t>
            </w:r>
            <w:r>
              <w:rPr>
                <w:rFonts w:hint="eastAsia" w:cs="Times New Roman"/>
                <w:color w:val="auto"/>
                <w:sz w:val="21"/>
                <w:szCs w:val="21"/>
                <w:lang w:val="en-US" w:eastAsia="zh-CN"/>
              </w:rPr>
              <w:t>风冷，</w:t>
            </w:r>
            <w:r>
              <w:rPr>
                <w:rFonts w:hint="default" w:ascii="Times New Roman" w:hAnsi="Times New Roman" w:cs="Times New Roman"/>
                <w:color w:val="auto"/>
                <w:sz w:val="21"/>
                <w:szCs w:val="21"/>
              </w:rPr>
              <w:t>180</w:t>
            </w:r>
            <w:r>
              <w:rPr>
                <w:rFonts w:hint="default" w:ascii="Times New Roman" w:hAnsi="Times New Roman" w:cs="Times New Roman"/>
                <w:color w:val="auto"/>
                <w:sz w:val="21"/>
                <w:szCs w:val="21"/>
                <w:lang w:eastAsia="zh-CN"/>
              </w:rPr>
              <w:t>°C</w:t>
            </w:r>
            <w:r>
              <w:rPr>
                <w:rFonts w:hint="default" w:ascii="Times New Roman" w:hAnsi="Times New Roman" w:cs="Times New Roman"/>
                <w:color w:val="auto"/>
                <w:sz w:val="21"/>
                <w:szCs w:val="21"/>
              </w:rPr>
              <w:t>-240</w:t>
            </w:r>
            <w:r>
              <w:rPr>
                <w:rFonts w:hint="default" w:ascii="Times New Roman" w:hAnsi="Times New Roman" w:cs="Times New Roman"/>
                <w:color w:val="auto"/>
                <w:sz w:val="21"/>
                <w:szCs w:val="21"/>
                <w:lang w:eastAsia="zh-CN"/>
              </w:rPr>
              <w:t>°C</w:t>
            </w:r>
            <w:r>
              <w:rPr>
                <w:rFonts w:hint="eastAsia" w:ascii="Times New Roman" w:hAnsi="Times New Roman" w:cs="Times New Roman"/>
                <w:color w:val="auto"/>
                <w:sz w:val="21"/>
                <w:szCs w:val="21"/>
              </w:rPr>
              <w:t>回火及冷却至室温的热处理流程。</w:t>
            </w:r>
            <w:r>
              <w:rPr>
                <w:rFonts w:hint="eastAsia" w:ascii="Times New Roman" w:hAnsi="Times New Roman" w:cs="Times New Roman"/>
                <w:color w:val="auto"/>
                <w:sz w:val="21"/>
                <w:szCs w:val="21"/>
                <w:lang w:eastAsia="zh-CN"/>
              </w:rPr>
              <w:t>热处理炉均为连续作业。</w:t>
            </w:r>
          </w:p>
          <w:p w14:paraId="11F12632">
            <w:pPr>
              <w:spacing w:line="360" w:lineRule="auto"/>
              <w:ind w:firstLine="420" w:firstLineChars="200"/>
              <w:jc w:val="both"/>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最终通过质量检测，不合格产品予以报废，合格产品按规范包装入库。</w:t>
            </w:r>
          </w:p>
          <w:p w14:paraId="2DE1E046">
            <w:pPr>
              <w:spacing w:line="360" w:lineRule="auto"/>
              <w:ind w:firstLine="420" w:firstLineChars="200"/>
              <w:jc w:val="both"/>
              <w:rPr>
                <w:rFonts w:ascii="Times New Roman" w:hAnsi="Times New Roman" w:cs="Times New Roman"/>
                <w:color w:val="auto"/>
                <w:sz w:val="21"/>
                <w:szCs w:val="21"/>
              </w:rPr>
            </w:pPr>
            <w:r>
              <w:rPr>
                <w:rFonts w:hint="eastAsia" w:ascii="Times New Roman" w:hAnsi="Times New Roman" w:cs="Times New Roman"/>
                <w:color w:val="auto"/>
                <w:sz w:val="21"/>
                <w:szCs w:val="21"/>
              </w:rPr>
              <w:t>2、钢球锻线</w:t>
            </w:r>
          </w:p>
          <w:p w14:paraId="55F18D61">
            <w:pPr>
              <w:spacing w:line="360" w:lineRule="auto"/>
              <w:ind w:firstLine="420" w:firstLineChars="200"/>
              <w:jc w:val="both"/>
              <w:rPr>
                <w:rFonts w:ascii="Times New Roman" w:hAnsi="Times New Roman" w:cs="Times New Roman"/>
                <w:color w:val="auto"/>
                <w:sz w:val="21"/>
                <w:szCs w:val="21"/>
              </w:rPr>
            </w:pPr>
            <w:r>
              <w:rPr>
                <w:rFonts w:ascii="Times New Roman" w:hAnsi="Times New Roman" w:cs="Times New Roman"/>
                <w:color w:val="auto"/>
                <w:sz w:val="21"/>
                <w:szCs w:val="21"/>
              </w:rPr>
              <w:t>钢球锻线原材料同样执行严格检验，合格原材料进入后续生产环节。</w:t>
            </w:r>
          </w:p>
          <w:p w14:paraId="165E65A3">
            <w:pPr>
              <w:spacing w:line="360" w:lineRule="auto"/>
              <w:ind w:firstLine="420" w:firstLineChars="200"/>
              <w:jc w:val="both"/>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原材料经检验合格后，由天车吊运至圆锯机，通过自动翻料机构将棒料拨入输送辊道，圆锯机按指定重量完成下料，下料后进行称重检验，不合格料件直接报废。</w:t>
            </w:r>
          </w:p>
          <w:p w14:paraId="4DD78692">
            <w:pPr>
              <w:spacing w:line="360" w:lineRule="auto"/>
              <w:ind w:firstLine="420" w:firstLineChars="200"/>
              <w:jc w:val="both"/>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合格料件进入中频炉加热，设定温度范围为</w:t>
            </w:r>
            <w:r>
              <w:rPr>
                <w:rFonts w:hint="default" w:ascii="Times New Roman" w:hAnsi="Times New Roman" w:cs="Times New Roman"/>
                <w:color w:val="auto"/>
                <w:sz w:val="21"/>
                <w:szCs w:val="21"/>
              </w:rPr>
              <w:t>1050</w:t>
            </w:r>
            <w:r>
              <w:rPr>
                <w:rFonts w:hint="default" w:ascii="Times New Roman" w:hAnsi="Times New Roman" w:cs="Times New Roman"/>
                <w:color w:val="auto"/>
                <w:sz w:val="21"/>
                <w:szCs w:val="21"/>
                <w:lang w:eastAsia="zh-CN"/>
              </w:rPr>
              <w:t>°C</w:t>
            </w:r>
            <w:r>
              <w:rPr>
                <w:rFonts w:hint="default" w:ascii="Times New Roman" w:hAnsi="Times New Roman" w:cs="Times New Roman"/>
                <w:color w:val="auto"/>
                <w:sz w:val="21"/>
                <w:szCs w:val="21"/>
              </w:rPr>
              <w:t>-1150</w:t>
            </w:r>
            <w:r>
              <w:rPr>
                <w:rFonts w:hint="default" w:ascii="Times New Roman" w:hAnsi="Times New Roman" w:cs="Times New Roman"/>
                <w:color w:val="auto"/>
                <w:sz w:val="21"/>
                <w:szCs w:val="21"/>
                <w:lang w:eastAsia="zh-CN"/>
              </w:rPr>
              <w:t>°C</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rPr>
              <w:t>由加热炉PLC系统实现自动控制，若温度高于设定范围进行冷却调整，若温度低于设定范围则进行加热调整，直至满足工艺要求。</w:t>
            </w:r>
          </w:p>
          <w:p w14:paraId="570B031D">
            <w:pPr>
              <w:spacing w:line="360" w:lineRule="auto"/>
              <w:ind w:firstLine="420" w:firstLineChars="200"/>
              <w:jc w:val="both"/>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加热合格的料件通过螺旋压力机闭式模锻成形，经辊圆处理保证钢球圆度，同时筛选去除不完整钢球。</w:t>
            </w:r>
          </w:p>
          <w:p w14:paraId="2E6BA150">
            <w:pPr>
              <w:spacing w:line="360" w:lineRule="auto"/>
              <w:ind w:firstLine="420" w:firstLineChars="200"/>
              <w:jc w:val="both"/>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钢球进入环形炉进行</w:t>
            </w:r>
            <w:r>
              <w:rPr>
                <w:rFonts w:hint="default" w:ascii="Times New Roman" w:hAnsi="Times New Roman" w:cs="Times New Roman"/>
                <w:color w:val="auto"/>
                <w:sz w:val="21"/>
                <w:szCs w:val="21"/>
                <w:lang w:val="en-US" w:eastAsia="zh-CN"/>
              </w:rPr>
              <w:t>700°C-850°C</w:t>
            </w:r>
            <w:r>
              <w:rPr>
                <w:rFonts w:hint="eastAsia" w:ascii="Times New Roman" w:hAnsi="Times New Roman" w:cs="Times New Roman"/>
                <w:color w:val="auto"/>
                <w:sz w:val="21"/>
                <w:szCs w:val="21"/>
              </w:rPr>
              <w:t>再加热处理，实现再结晶以优化组织性能，随后依次经过淬火</w:t>
            </w:r>
            <w:r>
              <w:rPr>
                <w:rFonts w:hint="eastAsia" w:cs="Times New Roman"/>
                <w:color w:val="auto"/>
                <w:sz w:val="21"/>
                <w:szCs w:val="21"/>
                <w:lang w:eastAsia="zh-CN"/>
              </w:rPr>
              <w:t>（</w:t>
            </w:r>
            <w:r>
              <w:rPr>
                <w:rFonts w:hint="eastAsia" w:cs="Times New Roman"/>
                <w:color w:val="auto"/>
                <w:sz w:val="21"/>
                <w:szCs w:val="21"/>
                <w:lang w:val="en-US" w:eastAsia="zh-CN"/>
              </w:rPr>
              <w:t>水淬</w:t>
            </w:r>
            <w:r>
              <w:rPr>
                <w:rFonts w:hint="eastAsia" w:cs="Times New Roman"/>
                <w:color w:val="auto"/>
                <w:sz w:val="21"/>
                <w:szCs w:val="21"/>
                <w:lang w:eastAsia="zh-CN"/>
              </w:rPr>
              <w:t>）</w:t>
            </w:r>
            <w:r>
              <w:rPr>
                <w:rFonts w:hint="eastAsia" w:ascii="Times New Roman" w:hAnsi="Times New Roman" w:cs="Times New Roman"/>
                <w:color w:val="auto"/>
                <w:sz w:val="21"/>
                <w:szCs w:val="21"/>
              </w:rPr>
              <w:t>、</w:t>
            </w:r>
            <w:r>
              <w:rPr>
                <w:rFonts w:hint="eastAsia" w:cs="Times New Roman"/>
                <w:color w:val="auto"/>
                <w:sz w:val="21"/>
                <w:szCs w:val="21"/>
                <w:lang w:val="en-US" w:eastAsia="zh-CN"/>
              </w:rPr>
              <w:t>风冷，</w:t>
            </w:r>
            <w:r>
              <w:rPr>
                <w:rFonts w:hint="eastAsia" w:ascii="Times New Roman" w:hAnsi="Times New Roman" w:cs="Times New Roman"/>
                <w:color w:val="auto"/>
                <w:sz w:val="21"/>
                <w:szCs w:val="21"/>
              </w:rPr>
              <w:t>180</w:t>
            </w:r>
            <w:r>
              <w:rPr>
                <w:rFonts w:hint="default" w:ascii="Times New Roman" w:hAnsi="Times New Roman" w:cs="Times New Roman"/>
                <w:color w:val="auto"/>
                <w:sz w:val="21"/>
                <w:szCs w:val="21"/>
                <w:lang w:val="en-US" w:eastAsia="zh-CN"/>
              </w:rPr>
              <w:t>°C</w:t>
            </w:r>
            <w:r>
              <w:rPr>
                <w:rFonts w:hint="eastAsia" w:ascii="Times New Roman" w:hAnsi="Times New Roman" w:cs="Times New Roman"/>
                <w:color w:val="auto"/>
                <w:sz w:val="21"/>
                <w:szCs w:val="21"/>
              </w:rPr>
              <w:t>-240</w:t>
            </w:r>
            <w:r>
              <w:rPr>
                <w:rFonts w:hint="default" w:ascii="Times New Roman" w:hAnsi="Times New Roman" w:cs="Times New Roman"/>
                <w:color w:val="auto"/>
                <w:sz w:val="21"/>
                <w:szCs w:val="21"/>
                <w:lang w:val="en-US" w:eastAsia="zh-CN"/>
              </w:rPr>
              <w:t>°C</w:t>
            </w:r>
            <w:r>
              <w:rPr>
                <w:rFonts w:hint="eastAsia" w:ascii="Times New Roman" w:hAnsi="Times New Roman" w:cs="Times New Roman"/>
                <w:color w:val="auto"/>
                <w:sz w:val="21"/>
                <w:szCs w:val="21"/>
              </w:rPr>
              <w:t>回火及冷却至室温的热处理流程。热处理炉均为连续作业。</w:t>
            </w:r>
          </w:p>
          <w:p w14:paraId="196FDDA4">
            <w:pPr>
              <w:spacing w:line="360" w:lineRule="auto"/>
              <w:ind w:firstLine="420" w:firstLineChars="200"/>
              <w:jc w:val="both"/>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最终通过质量检测，不合格产品予以报废，合格产品按规范包装入库。</w:t>
            </w:r>
          </w:p>
          <w:p w14:paraId="156B6C46">
            <w:pPr>
              <w:spacing w:line="360" w:lineRule="auto"/>
              <w:ind w:firstLine="420" w:firstLineChars="200"/>
              <w:jc w:val="both"/>
              <w:rPr>
                <w:rFonts w:ascii="Times New Roman" w:hAnsi="Times New Roman" w:cs="Times New Roman"/>
                <w:color w:val="auto"/>
                <w:sz w:val="21"/>
                <w:szCs w:val="21"/>
              </w:rPr>
            </w:pPr>
            <w:r>
              <w:rPr>
                <w:rFonts w:hint="eastAsia" w:ascii="Times New Roman" w:hAnsi="Times New Roman" w:cs="Times New Roman"/>
                <w:color w:val="auto"/>
                <w:sz w:val="21"/>
                <w:szCs w:val="21"/>
              </w:rPr>
              <w:t>3、</w:t>
            </w:r>
            <w:r>
              <w:rPr>
                <w:rFonts w:ascii="Times New Roman" w:hAnsi="Times New Roman" w:cs="Times New Roman"/>
                <w:color w:val="auto"/>
                <w:sz w:val="21"/>
                <w:szCs w:val="21"/>
              </w:rPr>
              <w:t>自由锻</w:t>
            </w:r>
            <w:r>
              <w:rPr>
                <w:rFonts w:hint="eastAsia" w:ascii="Times New Roman" w:hAnsi="Times New Roman" w:cs="Times New Roman"/>
                <w:color w:val="auto"/>
                <w:sz w:val="21"/>
                <w:szCs w:val="21"/>
              </w:rPr>
              <w:t>生产线</w:t>
            </w:r>
          </w:p>
          <w:p w14:paraId="45CAB9C7">
            <w:pPr>
              <w:spacing w:line="360" w:lineRule="auto"/>
              <w:ind w:firstLine="420" w:firstLineChars="200"/>
              <w:jc w:val="both"/>
              <w:rPr>
                <w:rFonts w:hint="eastAsia" w:ascii="Times New Roman" w:hAnsi="Times New Roman" w:cs="Times New Roman"/>
                <w:color w:val="auto"/>
                <w:sz w:val="21"/>
                <w:szCs w:val="21"/>
              </w:rPr>
            </w:pPr>
            <w:r>
              <w:rPr>
                <w:rFonts w:ascii="Times New Roman" w:hAnsi="Times New Roman" w:cs="Times New Roman"/>
                <w:color w:val="auto"/>
                <w:sz w:val="21"/>
                <w:szCs w:val="21"/>
              </w:rPr>
              <w:t>自由锻</w:t>
            </w:r>
            <w:r>
              <w:rPr>
                <w:rFonts w:hint="eastAsia" w:ascii="Times New Roman" w:hAnsi="Times New Roman" w:cs="Times New Roman"/>
                <w:color w:val="auto"/>
                <w:sz w:val="21"/>
                <w:szCs w:val="21"/>
              </w:rPr>
              <w:t>生产线从原材料检验开始，严格把控合金圆钢的直线度与表面裂纹指标。合格原材料由天车吊运至锯床，按指定重量完成下料后进入上料环节。</w:t>
            </w:r>
          </w:p>
          <w:p w14:paraId="02D6E161">
            <w:pPr>
              <w:spacing w:line="360" w:lineRule="auto"/>
              <w:ind w:firstLine="420" w:firstLineChars="200"/>
              <w:jc w:val="both"/>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加热工序采用天然气炉</w:t>
            </w:r>
            <w:r>
              <w:rPr>
                <w:rFonts w:hint="eastAsia" w:cs="Times New Roman"/>
                <w:color w:val="auto"/>
                <w:sz w:val="21"/>
                <w:szCs w:val="21"/>
                <w:lang w:val="en-US" w:eastAsia="zh-CN"/>
              </w:rPr>
              <w:t>和电加热炉</w:t>
            </w:r>
            <w:r>
              <w:rPr>
                <w:rFonts w:hint="eastAsia" w:ascii="Times New Roman" w:hAnsi="Times New Roman" w:cs="Times New Roman"/>
                <w:color w:val="auto"/>
                <w:sz w:val="21"/>
                <w:szCs w:val="21"/>
              </w:rPr>
              <w:t>，设定温度范围</w:t>
            </w:r>
            <w:r>
              <w:rPr>
                <w:rFonts w:hint="default" w:ascii="Times New Roman" w:hAnsi="Times New Roman" w:cs="Times New Roman"/>
                <w:color w:val="auto"/>
                <w:sz w:val="21"/>
                <w:szCs w:val="21"/>
              </w:rPr>
              <w:t>为1050</w:t>
            </w:r>
            <w:r>
              <w:rPr>
                <w:rFonts w:hint="default" w:ascii="Times New Roman" w:hAnsi="Times New Roman" w:cs="Times New Roman"/>
                <w:color w:val="auto"/>
                <w:sz w:val="21"/>
                <w:szCs w:val="21"/>
                <w:lang w:eastAsia="zh-CN"/>
              </w:rPr>
              <w:t>°C</w:t>
            </w:r>
            <w:r>
              <w:rPr>
                <w:rFonts w:hint="default" w:ascii="Times New Roman" w:hAnsi="Times New Roman" w:cs="Times New Roman"/>
                <w:color w:val="auto"/>
                <w:sz w:val="21"/>
                <w:szCs w:val="21"/>
              </w:rPr>
              <w:t>-1150</w:t>
            </w:r>
            <w:r>
              <w:rPr>
                <w:rFonts w:hint="default" w:ascii="Times New Roman" w:hAnsi="Times New Roman" w:cs="Times New Roman"/>
                <w:color w:val="auto"/>
                <w:sz w:val="21"/>
                <w:szCs w:val="21"/>
                <w:lang w:eastAsia="zh-CN"/>
              </w:rPr>
              <w:t>°C</w:t>
            </w:r>
            <w:r>
              <w:rPr>
                <w:rFonts w:hint="eastAsia" w:ascii="Times New Roman" w:hAnsi="Times New Roman" w:cs="Times New Roman"/>
                <w:color w:val="auto"/>
                <w:sz w:val="21"/>
                <w:szCs w:val="21"/>
              </w:rPr>
              <w:t>，由加热炉PLC系统实现自动控制，若温度高于设定范围进行冷却调整，若温度低于设定范围则进行加热调整，直至满足工艺要求。</w:t>
            </w:r>
          </w:p>
          <w:p w14:paraId="4C92AED5">
            <w:pPr>
              <w:spacing w:line="360" w:lineRule="auto"/>
              <w:ind w:firstLine="420" w:firstLineChars="200"/>
              <w:jc w:val="both"/>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加热合格的料件通过3150吨压机进行自由锻成形，随后开展外形缺陷检验。检验</w:t>
            </w:r>
            <w:r>
              <w:rPr>
                <w:rFonts w:hint="eastAsia" w:cs="Times New Roman"/>
                <w:color w:val="auto"/>
                <w:sz w:val="21"/>
                <w:szCs w:val="21"/>
                <w:lang w:val="en-US" w:eastAsia="zh-CN"/>
              </w:rPr>
              <w:t>不合格产品依托现有工程</w:t>
            </w:r>
            <w:r>
              <w:rPr>
                <w:rFonts w:hint="eastAsia" w:ascii="Times New Roman" w:hAnsi="Times New Roman" w:cs="Times New Roman"/>
                <w:color w:val="auto"/>
                <w:sz w:val="21"/>
                <w:szCs w:val="21"/>
              </w:rPr>
              <w:t>打磨</w:t>
            </w:r>
            <w:r>
              <w:rPr>
                <w:rFonts w:hint="eastAsia" w:ascii="Times New Roman" w:hAnsi="Times New Roman" w:cs="Times New Roman"/>
                <w:color w:val="auto"/>
                <w:sz w:val="21"/>
                <w:szCs w:val="21"/>
                <w:lang w:val="en-US" w:eastAsia="zh-CN"/>
              </w:rPr>
              <w:t>进行再加工，</w:t>
            </w:r>
            <w:r>
              <w:rPr>
                <w:rFonts w:hint="eastAsia" w:ascii="Times New Roman" w:hAnsi="Times New Roman" w:cs="Times New Roman"/>
                <w:color w:val="auto"/>
                <w:sz w:val="21"/>
                <w:szCs w:val="21"/>
              </w:rPr>
              <w:t>不合格产品予以报废</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rPr>
              <w:t>检验</w:t>
            </w:r>
            <w:r>
              <w:rPr>
                <w:rFonts w:hint="eastAsia" w:ascii="Times New Roman" w:hAnsi="Times New Roman" w:cs="Times New Roman"/>
                <w:color w:val="auto"/>
                <w:sz w:val="21"/>
                <w:szCs w:val="21"/>
                <w:lang w:val="en-US" w:eastAsia="zh-CN"/>
              </w:rPr>
              <w:t>及打磨</w:t>
            </w:r>
            <w:r>
              <w:rPr>
                <w:rFonts w:hint="eastAsia" w:ascii="Times New Roman" w:hAnsi="Times New Roman" w:cs="Times New Roman"/>
                <w:color w:val="auto"/>
                <w:sz w:val="21"/>
                <w:szCs w:val="21"/>
              </w:rPr>
              <w:t>合格产品进入热处理环节以调节力学性能。热处理炉均为分批作业。</w:t>
            </w:r>
          </w:p>
          <w:p w14:paraId="7B438075">
            <w:pPr>
              <w:spacing w:line="360" w:lineRule="auto"/>
              <w:ind w:firstLine="420" w:firstLineChars="200"/>
              <w:jc w:val="both"/>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调质后续</w:t>
            </w:r>
            <w:r>
              <w:rPr>
                <w:rFonts w:hint="eastAsia" w:ascii="Times New Roman" w:hAnsi="Times New Roman" w:eastAsia="宋体" w:cs="Times New Roman"/>
                <w:color w:val="auto"/>
                <w:sz w:val="21"/>
                <w:szCs w:val="21"/>
                <w:lang w:val="en-US" w:eastAsia="zh-CN"/>
              </w:rPr>
              <w:t>依托现有工程</w:t>
            </w:r>
            <w:r>
              <w:rPr>
                <w:rFonts w:hint="eastAsia" w:ascii="Times New Roman" w:hAnsi="Times New Roman" w:eastAsia="宋体" w:cs="Times New Roman"/>
                <w:color w:val="auto"/>
                <w:sz w:val="21"/>
                <w:szCs w:val="21"/>
              </w:rPr>
              <w:t>经过抛丸、打磨去除表面氧化皮。</w:t>
            </w:r>
          </w:p>
          <w:p w14:paraId="1322146F">
            <w:pPr>
              <w:spacing w:line="360" w:lineRule="auto"/>
              <w:ind w:firstLine="420" w:firstLineChars="200"/>
              <w:jc w:val="both"/>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最终通过质量检测，不合格产品予以报废，合格产品</w:t>
            </w:r>
            <w:r>
              <w:rPr>
                <w:rFonts w:hint="eastAsia" w:ascii="Times New Roman" w:hAnsi="Times New Roman" w:eastAsia="宋体" w:cs="Times New Roman"/>
                <w:color w:val="auto"/>
                <w:sz w:val="21"/>
                <w:szCs w:val="21"/>
                <w:lang w:val="en-US" w:eastAsia="zh-CN"/>
              </w:rPr>
              <w:t>依托现有精加工后</w:t>
            </w:r>
            <w:r>
              <w:rPr>
                <w:rFonts w:hint="eastAsia" w:ascii="Times New Roman" w:hAnsi="Times New Roman" w:eastAsia="宋体" w:cs="Times New Roman"/>
                <w:color w:val="auto"/>
                <w:sz w:val="21"/>
                <w:szCs w:val="21"/>
              </w:rPr>
              <w:t>按规范包装入库。</w:t>
            </w:r>
          </w:p>
          <w:p w14:paraId="1A3B0E53">
            <w:pPr>
              <w:pStyle w:val="41"/>
              <w:rPr>
                <w:rFonts w:hint="eastAsia" w:ascii="Times New Roman" w:hAnsi="Times New Roman" w:cs="Times New Roman"/>
                <w:color w:val="auto"/>
                <w:sz w:val="21"/>
                <w:szCs w:val="21"/>
              </w:rPr>
            </w:pPr>
          </w:p>
          <w:p w14:paraId="243BA3D1">
            <w:pPr>
              <w:pStyle w:val="41"/>
              <w:rPr>
                <w:rFonts w:hint="eastAsia" w:ascii="Times New Roman" w:hAnsi="Times New Roman" w:cs="Times New Roman"/>
                <w:color w:val="auto"/>
                <w:sz w:val="21"/>
                <w:szCs w:val="21"/>
              </w:rPr>
            </w:pPr>
          </w:p>
          <w:p w14:paraId="2AF6718C">
            <w:pPr>
              <w:pStyle w:val="41"/>
              <w:rPr>
                <w:rFonts w:hint="eastAsia" w:ascii="Times New Roman" w:hAnsi="Times New Roman" w:cs="Times New Roman"/>
                <w:color w:val="auto"/>
                <w:sz w:val="21"/>
                <w:szCs w:val="21"/>
              </w:rPr>
            </w:pPr>
          </w:p>
          <w:p w14:paraId="3278FF6C">
            <w:pPr>
              <w:pStyle w:val="41"/>
              <w:rPr>
                <w:rFonts w:hint="eastAsia" w:ascii="Times New Roman" w:hAnsi="Times New Roman" w:cs="Times New Roman"/>
                <w:color w:val="auto"/>
                <w:sz w:val="21"/>
                <w:szCs w:val="21"/>
              </w:rPr>
            </w:pPr>
          </w:p>
          <w:p w14:paraId="2E46141D">
            <w:pPr>
              <w:pStyle w:val="41"/>
              <w:rPr>
                <w:rFonts w:hint="eastAsia" w:ascii="Times New Roman" w:hAnsi="Times New Roman" w:cs="Times New Roman"/>
                <w:color w:val="auto"/>
                <w:sz w:val="21"/>
                <w:szCs w:val="21"/>
              </w:rPr>
            </w:pPr>
          </w:p>
          <w:p w14:paraId="1EA88F3B">
            <w:pPr>
              <w:pStyle w:val="41"/>
              <w:rPr>
                <w:rFonts w:hint="eastAsia" w:ascii="Times New Roman" w:hAnsi="Times New Roman" w:cs="Times New Roman"/>
                <w:color w:val="auto"/>
                <w:sz w:val="21"/>
                <w:szCs w:val="21"/>
              </w:rPr>
            </w:pPr>
          </w:p>
          <w:p w14:paraId="6435268A">
            <w:pPr>
              <w:pStyle w:val="41"/>
              <w:rPr>
                <w:rFonts w:hint="eastAsia" w:ascii="Times New Roman" w:hAnsi="Times New Roman" w:cs="Times New Roman"/>
                <w:color w:val="auto"/>
                <w:sz w:val="21"/>
                <w:szCs w:val="21"/>
              </w:rPr>
            </w:pPr>
          </w:p>
          <w:p w14:paraId="35B0E450">
            <w:pPr>
              <w:pStyle w:val="41"/>
              <w:rPr>
                <w:rFonts w:hint="eastAsia" w:ascii="Times New Roman" w:hAnsi="Times New Roman" w:cs="Times New Roman"/>
                <w:color w:val="auto"/>
                <w:sz w:val="21"/>
                <w:szCs w:val="21"/>
              </w:rPr>
            </w:pPr>
          </w:p>
          <w:p w14:paraId="4C1DA4AA">
            <w:pPr>
              <w:pStyle w:val="41"/>
              <w:rPr>
                <w:rFonts w:hint="eastAsia" w:ascii="Times New Roman" w:hAnsi="Times New Roman" w:cs="Times New Roman"/>
                <w:color w:val="auto"/>
                <w:sz w:val="21"/>
                <w:szCs w:val="21"/>
              </w:rPr>
            </w:pPr>
          </w:p>
          <w:p w14:paraId="0FAECAE2">
            <w:pPr>
              <w:pStyle w:val="41"/>
              <w:rPr>
                <w:rFonts w:hint="eastAsia" w:ascii="Times New Roman" w:hAnsi="Times New Roman" w:cs="Times New Roman"/>
                <w:color w:val="auto"/>
                <w:sz w:val="21"/>
                <w:szCs w:val="21"/>
              </w:rPr>
            </w:pPr>
          </w:p>
          <w:p w14:paraId="2538F4DE">
            <w:pPr>
              <w:pStyle w:val="41"/>
              <w:rPr>
                <w:rFonts w:hint="eastAsia" w:ascii="Times New Roman" w:hAnsi="Times New Roman" w:cs="Times New Roman"/>
                <w:color w:val="auto"/>
                <w:sz w:val="21"/>
                <w:szCs w:val="21"/>
              </w:rPr>
            </w:pPr>
          </w:p>
          <w:p w14:paraId="12A5E33D">
            <w:pPr>
              <w:pStyle w:val="41"/>
              <w:rPr>
                <w:rFonts w:hint="eastAsia" w:ascii="Times New Roman" w:hAnsi="Times New Roman" w:cs="Times New Roman"/>
                <w:color w:val="auto"/>
                <w:sz w:val="21"/>
                <w:szCs w:val="21"/>
              </w:rPr>
            </w:pPr>
          </w:p>
          <w:p w14:paraId="50733097">
            <w:pPr>
              <w:pStyle w:val="41"/>
              <w:rPr>
                <w:rFonts w:hint="eastAsia" w:ascii="Times New Roman" w:hAnsi="Times New Roman" w:cs="Times New Roman"/>
                <w:color w:val="auto"/>
                <w:sz w:val="21"/>
                <w:szCs w:val="21"/>
              </w:rPr>
            </w:pPr>
          </w:p>
          <w:p w14:paraId="24198C55">
            <w:pPr>
              <w:pStyle w:val="41"/>
              <w:rPr>
                <w:rFonts w:hint="eastAsia" w:ascii="Times New Roman" w:hAnsi="Times New Roman" w:cs="Times New Roman"/>
                <w:color w:val="auto"/>
                <w:sz w:val="21"/>
                <w:szCs w:val="21"/>
              </w:rPr>
            </w:pPr>
          </w:p>
          <w:p w14:paraId="3DF9DCCA">
            <w:pPr>
              <w:pStyle w:val="41"/>
              <w:rPr>
                <w:rFonts w:hint="eastAsia" w:ascii="Times New Roman" w:hAnsi="Times New Roman" w:cs="Times New Roman"/>
                <w:color w:val="auto"/>
                <w:sz w:val="21"/>
                <w:szCs w:val="21"/>
              </w:rPr>
            </w:pPr>
          </w:p>
          <w:p w14:paraId="34EEF917">
            <w:pPr>
              <w:pStyle w:val="41"/>
              <w:rPr>
                <w:rFonts w:hint="eastAsia" w:ascii="Times New Roman" w:hAnsi="Times New Roman" w:cs="Times New Roman"/>
                <w:color w:val="auto"/>
                <w:sz w:val="21"/>
                <w:szCs w:val="21"/>
              </w:rPr>
            </w:pPr>
          </w:p>
          <w:p w14:paraId="33EC8D6C">
            <w:pPr>
              <w:pStyle w:val="41"/>
              <w:rPr>
                <w:rFonts w:hint="eastAsia" w:ascii="Times New Roman" w:hAnsi="Times New Roman" w:cs="Times New Roman"/>
                <w:color w:val="auto"/>
                <w:sz w:val="21"/>
                <w:szCs w:val="21"/>
              </w:rPr>
            </w:pPr>
          </w:p>
          <w:p w14:paraId="590899CC">
            <w:pPr>
              <w:spacing w:line="360" w:lineRule="auto"/>
              <w:ind w:firstLine="420" w:firstLineChars="200"/>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object>
                <v:shape id="_x0000_i1025" o:spt="75" type="#_x0000_t75" style="height:536.25pt;width:216pt;" o:ole="t" filled="f" o:preferrelative="t" stroked="f" coordsize="21600,21600">
                  <v:path/>
                  <v:fill on="f" focussize="0,0"/>
                  <v:stroke on="f"/>
                  <v:imagedata r:id="rId12" o:title=""/>
                  <o:lock v:ext="edit" aspectratio="f"/>
                  <w10:wrap type="none"/>
                  <w10:anchorlock/>
                </v:shape>
                <o:OLEObject Type="Embed" ProgID="Visio.Drawing.11" ShapeID="_x0000_i1025" DrawAspect="Content" ObjectID="_1468075725" r:id="rId11">
                  <o:LockedField>false</o:LockedField>
                </o:OLEObject>
              </w:object>
            </w:r>
          </w:p>
          <w:p w14:paraId="34737845">
            <w:pPr>
              <w:spacing w:line="360" w:lineRule="auto"/>
              <w:ind w:firstLine="420" w:firstLineChars="20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rPr>
              <w:t>图</w:t>
            </w:r>
            <w:r>
              <w:rPr>
                <w:rFonts w:hint="eastAsia" w:cs="Times New Roman"/>
                <w:color w:val="auto"/>
                <w:sz w:val="21"/>
                <w:szCs w:val="21"/>
                <w:lang w:val="en-US" w:eastAsia="zh-CN"/>
              </w:rPr>
              <w:t>2-</w:t>
            </w:r>
            <w:r>
              <w:rPr>
                <w:rFonts w:hint="eastAsia" w:ascii="Times New Roman" w:hAnsi="Times New Roman" w:cs="Times New Roman"/>
                <w:color w:val="auto"/>
                <w:sz w:val="21"/>
                <w:szCs w:val="21"/>
              </w:rPr>
              <w:t>1</w:t>
            </w:r>
            <w:r>
              <w:rPr>
                <w:rFonts w:hint="eastAsia" w:cs="Times New Roman"/>
                <w:color w:val="auto"/>
                <w:sz w:val="21"/>
                <w:szCs w:val="21"/>
                <w:lang w:val="en-US" w:eastAsia="zh-CN"/>
              </w:rPr>
              <w:t xml:space="preserve">  </w:t>
            </w:r>
            <w:r>
              <w:rPr>
                <w:rFonts w:hint="eastAsia" w:ascii="Times New Roman" w:hAnsi="Times New Roman" w:cs="Times New Roman"/>
                <w:color w:val="auto"/>
                <w:sz w:val="21"/>
                <w:szCs w:val="21"/>
              </w:rPr>
              <w:t>钢球轧线</w:t>
            </w:r>
            <w:r>
              <w:rPr>
                <w:rFonts w:ascii="Times New Roman" w:hAnsi="Times New Roman" w:cs="Times New Roman"/>
                <w:color w:val="auto"/>
                <w:sz w:val="21"/>
                <w:szCs w:val="21"/>
              </w:rPr>
              <w:t>工艺流程</w:t>
            </w:r>
            <w:r>
              <w:rPr>
                <w:rFonts w:hint="eastAsia" w:cs="Times New Roman"/>
                <w:color w:val="auto"/>
                <w:sz w:val="21"/>
                <w:szCs w:val="21"/>
                <w:lang w:val="en-US" w:eastAsia="zh-CN"/>
              </w:rPr>
              <w:t>及排污节点图</w:t>
            </w:r>
          </w:p>
          <w:p w14:paraId="5F2CB5A6">
            <w:pPr>
              <w:pStyle w:val="41"/>
              <w:rPr>
                <w:rFonts w:hint="eastAsia" w:ascii="Times New Roman" w:hAnsi="Times New Roman" w:cs="Times New Roman"/>
                <w:color w:val="auto"/>
                <w:sz w:val="21"/>
                <w:szCs w:val="21"/>
              </w:rPr>
            </w:pPr>
          </w:p>
          <w:p w14:paraId="52666515">
            <w:pPr>
              <w:pStyle w:val="41"/>
              <w:rPr>
                <w:rFonts w:hint="eastAsia" w:ascii="Times New Roman" w:hAnsi="Times New Roman" w:cs="Times New Roman"/>
                <w:color w:val="auto"/>
                <w:sz w:val="21"/>
                <w:szCs w:val="21"/>
              </w:rPr>
            </w:pPr>
          </w:p>
          <w:p w14:paraId="46BACA73">
            <w:pPr>
              <w:pStyle w:val="41"/>
              <w:rPr>
                <w:rFonts w:hint="eastAsia" w:ascii="Times New Roman" w:hAnsi="Times New Roman" w:cs="Times New Roman"/>
                <w:color w:val="auto"/>
                <w:sz w:val="21"/>
                <w:szCs w:val="21"/>
              </w:rPr>
            </w:pPr>
          </w:p>
          <w:p w14:paraId="3A852A62">
            <w:pPr>
              <w:pStyle w:val="41"/>
              <w:rPr>
                <w:rFonts w:hint="eastAsia" w:ascii="Times New Roman" w:hAnsi="Times New Roman" w:cs="Times New Roman"/>
                <w:color w:val="auto"/>
                <w:sz w:val="21"/>
                <w:szCs w:val="21"/>
              </w:rPr>
            </w:pPr>
          </w:p>
          <w:p w14:paraId="550E6B50">
            <w:pPr>
              <w:pStyle w:val="41"/>
              <w:rPr>
                <w:rFonts w:hint="eastAsia" w:ascii="Times New Roman" w:hAnsi="Times New Roman" w:cs="Times New Roman"/>
                <w:color w:val="auto"/>
                <w:sz w:val="21"/>
                <w:szCs w:val="21"/>
              </w:rPr>
            </w:pPr>
          </w:p>
          <w:p w14:paraId="3C370721">
            <w:pPr>
              <w:spacing w:line="360" w:lineRule="auto"/>
              <w:ind w:firstLine="420" w:firstLineChars="200"/>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object>
                <v:shape id="_x0000_i1026" o:spt="75" type="#_x0000_t75" style="height:614.25pt;width:207pt;" o:ole="t" filled="f" o:preferrelative="t" stroked="f" coordsize="21600,21600">
                  <v:path/>
                  <v:fill on="f" focussize="0,0"/>
                  <v:stroke on="f"/>
                  <v:imagedata r:id="rId14" o:title=""/>
                  <o:lock v:ext="edit" aspectratio="f"/>
                  <w10:wrap type="none"/>
                  <w10:anchorlock/>
                </v:shape>
                <o:OLEObject Type="Embed" ProgID="Visio.Drawing.11" ShapeID="_x0000_i1026" DrawAspect="Content" ObjectID="_1468075726" r:id="rId13">
                  <o:LockedField>false</o:LockedField>
                </o:OLEObject>
              </w:object>
            </w:r>
          </w:p>
          <w:p w14:paraId="4CC3994F">
            <w:pPr>
              <w:spacing w:line="360" w:lineRule="auto"/>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图</w:t>
            </w:r>
            <w:r>
              <w:rPr>
                <w:rFonts w:hint="eastAsia" w:cs="Times New Roman"/>
                <w:color w:val="auto"/>
                <w:sz w:val="21"/>
                <w:szCs w:val="21"/>
                <w:lang w:val="en-US" w:eastAsia="zh-CN"/>
              </w:rPr>
              <w:t>2-</w:t>
            </w:r>
            <w:r>
              <w:rPr>
                <w:rFonts w:hint="eastAsia" w:ascii="Times New Roman" w:hAnsi="Times New Roman" w:cs="Times New Roman"/>
                <w:color w:val="auto"/>
                <w:sz w:val="21"/>
                <w:szCs w:val="21"/>
              </w:rPr>
              <w:t>2</w:t>
            </w:r>
            <w:r>
              <w:rPr>
                <w:rFonts w:hint="eastAsia" w:cs="Times New Roman"/>
                <w:color w:val="auto"/>
                <w:sz w:val="21"/>
                <w:szCs w:val="21"/>
                <w:lang w:val="en-US" w:eastAsia="zh-CN"/>
              </w:rPr>
              <w:t xml:space="preserve">  </w:t>
            </w:r>
            <w:r>
              <w:rPr>
                <w:rFonts w:hint="eastAsia" w:ascii="Times New Roman" w:hAnsi="Times New Roman" w:cs="Times New Roman"/>
                <w:color w:val="auto"/>
                <w:sz w:val="21"/>
                <w:szCs w:val="21"/>
              </w:rPr>
              <w:t>钢球锻线</w:t>
            </w:r>
            <w:r>
              <w:rPr>
                <w:rFonts w:ascii="Times New Roman" w:hAnsi="Times New Roman" w:cs="Times New Roman"/>
                <w:color w:val="auto"/>
                <w:sz w:val="21"/>
                <w:szCs w:val="21"/>
              </w:rPr>
              <w:t>工艺流程</w:t>
            </w:r>
            <w:r>
              <w:rPr>
                <w:rFonts w:hint="eastAsia" w:cs="Times New Roman"/>
                <w:color w:val="auto"/>
                <w:sz w:val="21"/>
                <w:szCs w:val="21"/>
                <w:lang w:val="en-US" w:eastAsia="zh-CN"/>
              </w:rPr>
              <w:t>及排污节点图</w:t>
            </w:r>
          </w:p>
          <w:p w14:paraId="1E079965">
            <w:pPr>
              <w:spacing w:line="360" w:lineRule="auto"/>
              <w:ind w:firstLine="420" w:firstLineChars="200"/>
              <w:jc w:val="both"/>
              <w:rPr>
                <w:rFonts w:hint="eastAsia" w:ascii="Times New Roman" w:hAnsi="Times New Roman" w:cs="Times New Roman"/>
                <w:color w:val="auto"/>
                <w:sz w:val="21"/>
                <w:szCs w:val="21"/>
              </w:rPr>
            </w:pPr>
          </w:p>
          <w:p w14:paraId="0B89CE62">
            <w:pPr>
              <w:spacing w:line="360" w:lineRule="auto"/>
              <w:ind w:firstLine="560" w:firstLineChars="200"/>
              <w:jc w:val="center"/>
              <w:rPr>
                <w:rFonts w:hint="eastAsia" w:ascii="Times New Roman" w:hAnsi="Times New Roman" w:cs="Times New Roman"/>
                <w:color w:val="auto"/>
                <w:sz w:val="28"/>
                <w:szCs w:val="28"/>
              </w:rPr>
            </w:pPr>
            <w:r>
              <w:rPr>
                <w:rFonts w:hint="eastAsia" w:ascii="Times New Roman" w:hAnsi="Times New Roman" w:cs="Times New Roman"/>
                <w:color w:val="auto"/>
                <w:sz w:val="28"/>
                <w:szCs w:val="28"/>
              </w:rPr>
              <w:object>
                <v:shape id="_x0000_i1027" o:spt="75" type="#_x0000_t75" style="height:459.75pt;width:309.75pt;" o:ole="t" filled="f" o:preferrelative="t" stroked="f" coordsize="21600,21600">
                  <v:path/>
                  <v:fill on="f" focussize="0,0"/>
                  <v:stroke on="f"/>
                  <v:imagedata r:id="rId16" o:title=""/>
                  <o:lock v:ext="edit" aspectratio="f"/>
                  <w10:wrap type="none"/>
                  <w10:anchorlock/>
                </v:shape>
                <o:OLEObject Type="Embed" ProgID="Visio.Drawing.11" ShapeID="_x0000_i1027" DrawAspect="Content" ObjectID="_1468075727" r:id="rId15">
                  <o:LockedField>false</o:LockedField>
                </o:OLEObject>
              </w:object>
            </w:r>
          </w:p>
          <w:p w14:paraId="5227EA37">
            <w:pPr>
              <w:tabs>
                <w:tab w:val="left" w:pos="1336"/>
              </w:tabs>
              <w:autoSpaceDE w:val="0"/>
              <w:autoSpaceDN w:val="0"/>
              <w:spacing w:line="360" w:lineRule="auto"/>
              <w:ind w:firstLine="420" w:firstLineChars="20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图</w:t>
            </w:r>
            <w:r>
              <w:rPr>
                <w:rFonts w:hint="eastAsia" w:cs="Times New Roman"/>
                <w:color w:val="auto"/>
                <w:sz w:val="21"/>
                <w:szCs w:val="21"/>
                <w:lang w:val="en-US" w:eastAsia="zh-CN"/>
              </w:rPr>
              <w:t>2-</w:t>
            </w:r>
            <w:r>
              <w:rPr>
                <w:rFonts w:hint="eastAsia" w:ascii="Times New Roman" w:hAnsi="Times New Roman" w:cs="Times New Roman"/>
                <w:color w:val="auto"/>
                <w:sz w:val="21"/>
                <w:szCs w:val="21"/>
              </w:rPr>
              <w:t>3</w:t>
            </w:r>
            <w:r>
              <w:rPr>
                <w:rFonts w:hint="eastAsia" w:cs="Times New Roman"/>
                <w:color w:val="auto"/>
                <w:sz w:val="21"/>
                <w:szCs w:val="21"/>
                <w:lang w:val="en-US" w:eastAsia="zh-CN"/>
              </w:rPr>
              <w:t xml:space="preserve">  </w:t>
            </w:r>
            <w:r>
              <w:rPr>
                <w:rFonts w:ascii="Times New Roman" w:hAnsi="Times New Roman" w:cs="Times New Roman"/>
                <w:color w:val="auto"/>
                <w:sz w:val="21"/>
                <w:szCs w:val="21"/>
              </w:rPr>
              <w:t>自由锻</w:t>
            </w:r>
            <w:r>
              <w:rPr>
                <w:rFonts w:hint="eastAsia" w:ascii="Times New Roman" w:hAnsi="Times New Roman" w:cs="Times New Roman"/>
                <w:color w:val="auto"/>
                <w:sz w:val="21"/>
                <w:szCs w:val="21"/>
              </w:rPr>
              <w:t>生产线工艺流程</w:t>
            </w:r>
            <w:r>
              <w:rPr>
                <w:rFonts w:hint="eastAsia" w:cs="Times New Roman"/>
                <w:color w:val="auto"/>
                <w:sz w:val="21"/>
                <w:szCs w:val="21"/>
                <w:lang w:val="en-US" w:eastAsia="zh-CN"/>
              </w:rPr>
              <w:t>及排污节点图</w:t>
            </w:r>
          </w:p>
          <w:p w14:paraId="43D0A300">
            <w:pPr>
              <w:pStyle w:val="116"/>
              <w:spacing w:beforeLines="50"/>
              <w:ind w:firstLine="420"/>
              <w:rPr>
                <w:color w:val="auto"/>
              </w:rPr>
            </w:pPr>
            <w:r>
              <w:rPr>
                <w:rFonts w:hint="eastAsia"/>
                <w:color w:val="auto"/>
              </w:rPr>
              <w:t>本项目</w:t>
            </w:r>
            <w:r>
              <w:rPr>
                <w:color w:val="auto"/>
              </w:rPr>
              <w:t>生产排污情况及治理设施</w:t>
            </w:r>
            <w:r>
              <w:rPr>
                <w:rFonts w:hint="eastAsia"/>
                <w:color w:val="auto"/>
              </w:rPr>
              <w:t>如</w:t>
            </w:r>
            <w:r>
              <w:rPr>
                <w:color w:val="auto"/>
              </w:rPr>
              <w:t>下表所示。</w:t>
            </w:r>
          </w:p>
          <w:p w14:paraId="3DB6AFFF">
            <w:pPr>
              <w:pStyle w:val="10"/>
              <w:rPr>
                <w:color w:val="auto"/>
                <w:highlight w:val="none"/>
              </w:rPr>
            </w:pPr>
            <w:r>
              <w:rPr>
                <w:rFonts w:hint="eastAsia"/>
                <w:color w:val="auto"/>
                <w:highlight w:val="none"/>
              </w:rPr>
              <w:t>表2</w:t>
            </w:r>
            <w:r>
              <w:rPr>
                <w:rFonts w:hint="eastAsia"/>
                <w:color w:val="auto"/>
                <w:highlight w:val="none"/>
                <w:lang w:eastAsia="zh-CN"/>
              </w:rPr>
              <w:t>-</w:t>
            </w:r>
            <w:r>
              <w:rPr>
                <w:rFonts w:hint="eastAsia"/>
                <w:color w:val="auto"/>
                <w:highlight w:val="none"/>
                <w:lang w:val="en-US" w:eastAsia="zh-CN"/>
              </w:rPr>
              <w:t>11</w:t>
            </w:r>
            <w:r>
              <w:rPr>
                <w:rFonts w:hint="eastAsia"/>
                <w:color w:val="auto"/>
                <w:szCs w:val="21"/>
                <w:highlight w:val="none"/>
              </w:rPr>
              <w:t>本项目</w:t>
            </w:r>
            <w:r>
              <w:rPr>
                <w:color w:val="auto"/>
                <w:szCs w:val="21"/>
                <w:highlight w:val="none"/>
              </w:rPr>
              <w:t>产排污情况及治理设施一览表</w:t>
            </w:r>
          </w:p>
          <w:tbl>
            <w:tblPr>
              <w:tblStyle w:val="33"/>
              <w:tblW w:w="8241"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02"/>
              <w:gridCol w:w="508"/>
              <w:gridCol w:w="1177"/>
              <w:gridCol w:w="1486"/>
              <w:gridCol w:w="3695"/>
              <w:gridCol w:w="773"/>
            </w:tblGrid>
            <w:tr w14:paraId="7ECCD64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2" w:type="dxa"/>
                  <w:noWrap/>
                  <w:vAlign w:val="center"/>
                </w:tcPr>
                <w:p w14:paraId="408AE6DE">
                  <w:pPr>
                    <w:keepNext w:val="0"/>
                    <w:keepLines w:val="0"/>
                    <w:pageBreakBefore w:val="0"/>
                    <w:widowControl w:val="0"/>
                    <w:kinsoku/>
                    <w:wordWrap/>
                    <w:overflowPunct/>
                    <w:topLinePunct w:val="0"/>
                    <w:autoSpaceDE/>
                    <w:autoSpaceDN/>
                    <w:bidi w:val="0"/>
                    <w:spacing w:line="240" w:lineRule="auto"/>
                    <w:jc w:val="center"/>
                    <w:textAlignment w:val="auto"/>
                    <w:rPr>
                      <w:color w:val="auto"/>
                      <w:szCs w:val="21"/>
                      <w:highlight w:val="none"/>
                    </w:rPr>
                  </w:pPr>
                  <w:r>
                    <w:rPr>
                      <w:rFonts w:ascii="Times New Roman" w:hAnsi="Times New Roman" w:eastAsia="宋体" w:cs="Times New Roman"/>
                      <w:color w:val="auto"/>
                      <w:kern w:val="2"/>
                      <w:sz w:val="21"/>
                      <w:szCs w:val="21"/>
                      <w:highlight w:val="none"/>
                      <w:lang w:val="en-US" w:eastAsia="zh-CN" w:bidi="ar-SA"/>
                    </w:rPr>
                    <w:t>类型</w:t>
                  </w:r>
                </w:p>
              </w:tc>
              <w:tc>
                <w:tcPr>
                  <w:tcW w:w="508" w:type="dxa"/>
                  <w:noWrap/>
                  <w:vAlign w:val="center"/>
                </w:tcPr>
                <w:p w14:paraId="7AF925E1">
                  <w:pPr>
                    <w:keepNext w:val="0"/>
                    <w:keepLines w:val="0"/>
                    <w:pageBreakBefore w:val="0"/>
                    <w:widowControl w:val="0"/>
                    <w:kinsoku/>
                    <w:wordWrap/>
                    <w:overflowPunct/>
                    <w:topLinePunct w:val="0"/>
                    <w:autoSpaceDE/>
                    <w:autoSpaceDN/>
                    <w:bidi w:val="0"/>
                    <w:spacing w:line="240" w:lineRule="auto"/>
                    <w:jc w:val="center"/>
                    <w:textAlignment w:val="auto"/>
                    <w:rPr>
                      <w:color w:val="auto"/>
                      <w:szCs w:val="21"/>
                      <w:highlight w:val="none"/>
                    </w:rPr>
                  </w:pPr>
                  <w:r>
                    <w:rPr>
                      <w:rFonts w:ascii="Times New Roman" w:hAnsi="Times New Roman" w:eastAsia="宋体" w:cs="Times New Roman"/>
                      <w:color w:val="auto"/>
                      <w:kern w:val="2"/>
                      <w:sz w:val="21"/>
                      <w:szCs w:val="21"/>
                      <w:highlight w:val="none"/>
                      <w:lang w:val="en-US" w:eastAsia="zh-CN" w:bidi="ar-SA"/>
                    </w:rPr>
                    <w:t>序号</w:t>
                  </w:r>
                </w:p>
              </w:tc>
              <w:tc>
                <w:tcPr>
                  <w:tcW w:w="1177" w:type="dxa"/>
                  <w:noWrap/>
                  <w:vAlign w:val="center"/>
                </w:tcPr>
                <w:p w14:paraId="4D6320BF">
                  <w:pPr>
                    <w:keepNext w:val="0"/>
                    <w:keepLines w:val="0"/>
                    <w:pageBreakBefore w:val="0"/>
                    <w:widowControl w:val="0"/>
                    <w:kinsoku/>
                    <w:wordWrap/>
                    <w:overflowPunct/>
                    <w:topLinePunct w:val="0"/>
                    <w:autoSpaceDE/>
                    <w:autoSpaceDN/>
                    <w:bidi w:val="0"/>
                    <w:spacing w:line="240" w:lineRule="auto"/>
                    <w:jc w:val="center"/>
                    <w:textAlignment w:val="auto"/>
                    <w:rPr>
                      <w:color w:val="auto"/>
                      <w:szCs w:val="21"/>
                      <w:highlight w:val="none"/>
                    </w:rPr>
                  </w:pPr>
                  <w:r>
                    <w:rPr>
                      <w:rFonts w:ascii="Times New Roman" w:hAnsi="Times New Roman" w:eastAsia="宋体" w:cs="Times New Roman"/>
                      <w:color w:val="auto"/>
                      <w:kern w:val="2"/>
                      <w:sz w:val="21"/>
                      <w:szCs w:val="21"/>
                      <w:highlight w:val="none"/>
                      <w:lang w:val="en-US" w:eastAsia="zh-CN" w:bidi="ar-SA"/>
                    </w:rPr>
                    <w:t>排污节点</w:t>
                  </w:r>
                </w:p>
              </w:tc>
              <w:tc>
                <w:tcPr>
                  <w:tcW w:w="1486" w:type="dxa"/>
                  <w:noWrap/>
                  <w:vAlign w:val="center"/>
                </w:tcPr>
                <w:p w14:paraId="1E8A438B">
                  <w:pPr>
                    <w:wordWrap w:val="0"/>
                    <w:jc w:val="center"/>
                    <w:rPr>
                      <w:color w:val="auto"/>
                      <w:szCs w:val="21"/>
                      <w:highlight w:val="none"/>
                    </w:rPr>
                  </w:pPr>
                  <w:r>
                    <w:rPr>
                      <w:color w:val="auto"/>
                      <w:szCs w:val="21"/>
                      <w:highlight w:val="none"/>
                    </w:rPr>
                    <w:t>主要污染因子</w:t>
                  </w:r>
                </w:p>
              </w:tc>
              <w:tc>
                <w:tcPr>
                  <w:tcW w:w="3695" w:type="dxa"/>
                  <w:noWrap/>
                  <w:vAlign w:val="center"/>
                </w:tcPr>
                <w:p w14:paraId="1AE3514F">
                  <w:pPr>
                    <w:wordWrap w:val="0"/>
                    <w:jc w:val="center"/>
                    <w:rPr>
                      <w:color w:val="auto"/>
                      <w:szCs w:val="21"/>
                      <w:highlight w:val="none"/>
                    </w:rPr>
                  </w:pPr>
                  <w:r>
                    <w:rPr>
                      <w:rFonts w:hint="eastAsia"/>
                      <w:color w:val="auto"/>
                      <w:szCs w:val="21"/>
                      <w:highlight w:val="none"/>
                    </w:rPr>
                    <w:t>治理措施</w:t>
                  </w:r>
                </w:p>
              </w:tc>
              <w:tc>
                <w:tcPr>
                  <w:tcW w:w="773" w:type="dxa"/>
                  <w:noWrap/>
                  <w:vAlign w:val="center"/>
                </w:tcPr>
                <w:p w14:paraId="63106DEE">
                  <w:pPr>
                    <w:wordWrap w:val="0"/>
                    <w:jc w:val="center"/>
                    <w:rPr>
                      <w:rFonts w:hint="eastAsia" w:eastAsia="宋体"/>
                      <w:color w:val="auto"/>
                      <w:szCs w:val="21"/>
                      <w:highlight w:val="none"/>
                      <w:lang w:eastAsia="zh-CN"/>
                    </w:rPr>
                  </w:pPr>
                  <w:r>
                    <w:rPr>
                      <w:rFonts w:hint="eastAsia"/>
                      <w:color w:val="auto"/>
                      <w:szCs w:val="21"/>
                      <w:highlight w:val="none"/>
                      <w:lang w:val="en-US" w:eastAsia="zh-CN"/>
                    </w:rPr>
                    <w:t>备注</w:t>
                  </w:r>
                </w:p>
              </w:tc>
            </w:tr>
            <w:tr w14:paraId="3B07414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602" w:type="dxa"/>
                  <w:vMerge w:val="restart"/>
                  <w:noWrap/>
                  <w:vAlign w:val="center"/>
                </w:tcPr>
                <w:p w14:paraId="18AF61B3">
                  <w:pPr>
                    <w:wordWrap w:val="0"/>
                    <w:jc w:val="center"/>
                    <w:rPr>
                      <w:color w:val="auto"/>
                      <w:szCs w:val="21"/>
                      <w:highlight w:val="none"/>
                    </w:rPr>
                  </w:pPr>
                  <w:r>
                    <w:rPr>
                      <w:color w:val="auto"/>
                      <w:szCs w:val="21"/>
                      <w:highlight w:val="none"/>
                    </w:rPr>
                    <w:t>废气</w:t>
                  </w:r>
                </w:p>
              </w:tc>
              <w:tc>
                <w:tcPr>
                  <w:tcW w:w="508" w:type="dxa"/>
                  <w:shd w:val="clear" w:color="auto" w:fill="auto"/>
                  <w:noWrap/>
                  <w:vAlign w:val="center"/>
                </w:tcPr>
                <w:p w14:paraId="4DEEC5FB">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G1</w:t>
                  </w:r>
                </w:p>
              </w:tc>
              <w:tc>
                <w:tcPr>
                  <w:tcW w:w="1177" w:type="dxa"/>
                  <w:noWrap/>
                  <w:vAlign w:val="center"/>
                </w:tcPr>
                <w:p w14:paraId="1E111778">
                  <w:pPr>
                    <w:wordWrap w:val="0"/>
                    <w:jc w:val="center"/>
                    <w:rPr>
                      <w:rFonts w:hint="eastAsia" w:eastAsia="宋体"/>
                      <w:color w:val="auto"/>
                      <w:szCs w:val="21"/>
                      <w:highlight w:val="none"/>
                      <w:lang w:val="en-US" w:eastAsia="zh-CN"/>
                    </w:rPr>
                  </w:pPr>
                  <w:r>
                    <w:rPr>
                      <w:rFonts w:hint="eastAsia" w:ascii="Times New Roman" w:hAnsi="Times New Roman" w:cs="Times New Roman"/>
                      <w:color w:val="auto"/>
                      <w:sz w:val="21"/>
                      <w:szCs w:val="21"/>
                      <w:highlight w:val="none"/>
                      <w:lang w:eastAsia="zh-CN"/>
                    </w:rPr>
                    <w:t>轧线回火炉</w:t>
                  </w:r>
                  <w:r>
                    <w:rPr>
                      <w:rFonts w:hint="eastAsia" w:cs="Times New Roman"/>
                      <w:b w:val="0"/>
                      <w:bCs w:val="0"/>
                      <w:color w:val="auto"/>
                      <w:kern w:val="0"/>
                      <w:sz w:val="21"/>
                      <w:szCs w:val="21"/>
                      <w:highlight w:val="none"/>
                      <w:lang w:val="en-US" w:eastAsia="zh-CN"/>
                    </w:rPr>
                    <w:t>1#</w:t>
                  </w:r>
                </w:p>
              </w:tc>
              <w:tc>
                <w:tcPr>
                  <w:tcW w:w="1486" w:type="dxa"/>
                  <w:noWrap/>
                  <w:vAlign w:val="center"/>
                </w:tcPr>
                <w:p w14:paraId="245FD0A2">
                  <w:pPr>
                    <w:wordWrap w:val="0"/>
                    <w:jc w:val="center"/>
                    <w:rPr>
                      <w:color w:val="auto"/>
                      <w:szCs w:val="21"/>
                      <w:highlight w:val="none"/>
                    </w:rPr>
                  </w:pPr>
                  <w:r>
                    <w:rPr>
                      <w:rFonts w:hint="eastAsia"/>
                      <w:color w:val="auto"/>
                      <w:szCs w:val="21"/>
                      <w:highlight w:val="none"/>
                      <w:lang w:val="en-US" w:eastAsia="zh-CN"/>
                    </w:rPr>
                    <w:t>颗粒物、SO</w:t>
                  </w:r>
                  <w:r>
                    <w:rPr>
                      <w:rFonts w:hint="eastAsia"/>
                      <w:color w:val="auto"/>
                      <w:szCs w:val="21"/>
                      <w:highlight w:val="none"/>
                      <w:vertAlign w:val="subscript"/>
                      <w:lang w:val="en-US" w:eastAsia="zh-CN"/>
                    </w:rPr>
                    <w:t>2</w:t>
                  </w:r>
                  <w:r>
                    <w:rPr>
                      <w:rFonts w:hint="eastAsia"/>
                      <w:color w:val="auto"/>
                      <w:szCs w:val="21"/>
                      <w:highlight w:val="none"/>
                      <w:lang w:val="en-US" w:eastAsia="zh-CN"/>
                    </w:rPr>
                    <w:t>、NOx</w:t>
                  </w:r>
                  <w:r>
                    <w:rPr>
                      <w:rFonts w:hint="eastAsia"/>
                      <w:b w:val="0"/>
                      <w:bCs w:val="0"/>
                      <w:color w:val="auto"/>
                      <w:kern w:val="0"/>
                      <w:sz w:val="21"/>
                      <w:szCs w:val="21"/>
                      <w:highlight w:val="none"/>
                      <w:lang w:val="en-US" w:eastAsia="zh-CN"/>
                    </w:rPr>
                    <w:t>、烟气黑度</w:t>
                  </w:r>
                </w:p>
              </w:tc>
              <w:tc>
                <w:tcPr>
                  <w:tcW w:w="3695" w:type="dxa"/>
                  <w:vMerge w:val="restart"/>
                  <w:noWrap/>
                  <w:vAlign w:val="center"/>
                </w:tcPr>
                <w:p w14:paraId="30F04229">
                  <w:pPr>
                    <w:spacing w:line="240" w:lineRule="auto"/>
                    <w:rPr>
                      <w:rFonts w:hint="eastAsia" w:eastAsia="宋体"/>
                      <w:color w:val="auto"/>
                      <w:szCs w:val="21"/>
                      <w:highlight w:val="none"/>
                      <w:lang w:eastAsia="zh-CN"/>
                    </w:rPr>
                  </w:pPr>
                  <w:r>
                    <w:rPr>
                      <w:rFonts w:hint="default" w:ascii="Times New Roman" w:hAnsi="Times New Roman" w:eastAsia="宋体" w:cs="Times New Roman"/>
                      <w:color w:val="auto"/>
                      <w:spacing w:val="-5"/>
                      <w:sz w:val="21"/>
                      <w:szCs w:val="21"/>
                      <w:highlight w:val="none"/>
                    </w:rPr>
                    <w:t>安装低氮燃烧器</w:t>
                  </w:r>
                  <w:r>
                    <w:rPr>
                      <w:rFonts w:hint="eastAsia" w:cs="Times New Roman"/>
                      <w:color w:val="auto"/>
                      <w:spacing w:val="-5"/>
                      <w:sz w:val="21"/>
                      <w:szCs w:val="21"/>
                      <w:highlight w:val="none"/>
                      <w:lang w:eastAsia="zh-CN"/>
                    </w:rPr>
                    <w:t>，</w:t>
                  </w:r>
                  <w:r>
                    <w:rPr>
                      <w:rFonts w:hint="default" w:ascii="Times New Roman" w:hAnsi="Times New Roman" w:cs="Times New Roman"/>
                      <w:color w:val="auto"/>
                      <w:spacing w:val="-8"/>
                      <w:sz w:val="21"/>
                      <w:szCs w:val="21"/>
                      <w:highlight w:val="none"/>
                      <w:lang w:val="en-US" w:eastAsia="zh-CN"/>
                    </w:rPr>
                    <w:t>经1根27m高排气筒</w:t>
                  </w:r>
                  <w:r>
                    <w:rPr>
                      <w:rFonts w:hint="default" w:ascii="Times New Roman" w:hAnsi="Times New Roman" w:cs="Times New Roman"/>
                      <w:color w:val="auto"/>
                      <w:spacing w:val="-2"/>
                      <w:sz w:val="21"/>
                      <w:szCs w:val="21"/>
                      <w:highlight w:val="none"/>
                      <w:lang w:eastAsia="zh-CN"/>
                    </w:rPr>
                    <w:t>（</w:t>
                  </w:r>
                  <w:r>
                    <w:rPr>
                      <w:rFonts w:hint="default" w:ascii="Times New Roman" w:hAnsi="Times New Roman" w:cs="Times New Roman"/>
                      <w:color w:val="auto"/>
                      <w:spacing w:val="-2"/>
                      <w:sz w:val="21"/>
                      <w:szCs w:val="21"/>
                      <w:highlight w:val="none"/>
                      <w:lang w:val="en-US" w:eastAsia="zh-CN"/>
                    </w:rPr>
                    <w:t>DA005</w:t>
                  </w:r>
                  <w:r>
                    <w:rPr>
                      <w:rFonts w:hint="default" w:ascii="Times New Roman" w:hAnsi="Times New Roman" w:cs="Times New Roman"/>
                      <w:color w:val="auto"/>
                      <w:spacing w:val="-2"/>
                      <w:sz w:val="21"/>
                      <w:szCs w:val="21"/>
                      <w:highlight w:val="none"/>
                      <w:lang w:eastAsia="zh-CN"/>
                    </w:rPr>
                    <w:t>）</w:t>
                  </w:r>
                  <w:r>
                    <w:rPr>
                      <w:rFonts w:hint="default" w:ascii="Times New Roman" w:hAnsi="Times New Roman" w:cs="Times New Roman"/>
                      <w:color w:val="auto"/>
                      <w:spacing w:val="-2"/>
                      <w:sz w:val="21"/>
                      <w:szCs w:val="21"/>
                      <w:highlight w:val="none"/>
                      <w:lang w:val="en-US" w:eastAsia="zh-CN"/>
                    </w:rPr>
                    <w:t>排放</w:t>
                  </w:r>
                </w:p>
              </w:tc>
              <w:tc>
                <w:tcPr>
                  <w:tcW w:w="773" w:type="dxa"/>
                  <w:noWrap/>
                  <w:vAlign w:val="center"/>
                </w:tcPr>
                <w:p w14:paraId="07C47908">
                  <w:pPr>
                    <w:wordWrap w:val="0"/>
                    <w:jc w:val="center"/>
                    <w:rPr>
                      <w:color w:val="auto"/>
                      <w:szCs w:val="21"/>
                      <w:highlight w:val="none"/>
                    </w:rPr>
                  </w:pPr>
                  <w:r>
                    <w:rPr>
                      <w:color w:val="auto"/>
                      <w:szCs w:val="21"/>
                      <w:highlight w:val="none"/>
                    </w:rPr>
                    <w:t>连续</w:t>
                  </w:r>
                </w:p>
              </w:tc>
            </w:tr>
            <w:tr w14:paraId="7B1998C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602" w:type="dxa"/>
                  <w:vMerge w:val="continue"/>
                  <w:noWrap/>
                  <w:vAlign w:val="center"/>
                </w:tcPr>
                <w:p w14:paraId="3F2FB72A">
                  <w:pPr>
                    <w:wordWrap w:val="0"/>
                    <w:jc w:val="center"/>
                    <w:rPr>
                      <w:color w:val="auto"/>
                      <w:highlight w:val="none"/>
                    </w:rPr>
                  </w:pPr>
                </w:p>
              </w:tc>
              <w:tc>
                <w:tcPr>
                  <w:tcW w:w="508" w:type="dxa"/>
                  <w:shd w:val="clear" w:color="auto" w:fill="auto"/>
                  <w:noWrap/>
                  <w:vAlign w:val="center"/>
                </w:tcPr>
                <w:p w14:paraId="332BDF69">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G</w:t>
                  </w:r>
                  <w:r>
                    <w:rPr>
                      <w:rFonts w:hint="eastAsia" w:ascii="Times New Roman" w:hAnsi="Times New Roman" w:eastAsia="宋体" w:cs="Times New Roman"/>
                      <w:color w:val="auto"/>
                      <w:kern w:val="2"/>
                      <w:sz w:val="21"/>
                      <w:szCs w:val="21"/>
                      <w:highlight w:val="none"/>
                      <w:lang w:val="en-US" w:eastAsia="zh-CN" w:bidi="ar-SA"/>
                    </w:rPr>
                    <w:t>2</w:t>
                  </w:r>
                </w:p>
              </w:tc>
              <w:tc>
                <w:tcPr>
                  <w:tcW w:w="1177" w:type="dxa"/>
                  <w:noWrap/>
                  <w:vAlign w:val="center"/>
                </w:tcPr>
                <w:p w14:paraId="316C5E87">
                  <w:pPr>
                    <w:wordWrap w:val="0"/>
                    <w:jc w:val="center"/>
                    <w:rPr>
                      <w:rFonts w:hint="eastAsia"/>
                      <w:color w:val="auto"/>
                      <w:szCs w:val="21"/>
                      <w:highlight w:val="none"/>
                    </w:rPr>
                  </w:pPr>
                  <w:r>
                    <w:rPr>
                      <w:rFonts w:hint="eastAsia" w:ascii="Times New Roman" w:hAnsi="Times New Roman" w:cs="Times New Roman"/>
                      <w:color w:val="auto"/>
                      <w:sz w:val="21"/>
                      <w:szCs w:val="21"/>
                      <w:highlight w:val="none"/>
                    </w:rPr>
                    <w:t>锻线</w:t>
                  </w:r>
                  <w:r>
                    <w:rPr>
                      <w:rFonts w:hint="eastAsia" w:ascii="Times New Roman" w:hAnsi="Times New Roman" w:cs="Times New Roman"/>
                      <w:color w:val="auto"/>
                      <w:sz w:val="21"/>
                      <w:szCs w:val="21"/>
                      <w:highlight w:val="none"/>
                      <w:lang w:val="en-US" w:eastAsia="zh-CN"/>
                    </w:rPr>
                    <w:t>燃气</w:t>
                  </w:r>
                  <w:r>
                    <w:rPr>
                      <w:rFonts w:hint="eastAsia"/>
                      <w:color w:val="auto"/>
                      <w:szCs w:val="21"/>
                      <w:highlight w:val="none"/>
                      <w:lang w:val="en-US" w:eastAsia="zh-CN"/>
                    </w:rPr>
                    <w:t>环形炉</w:t>
                  </w:r>
                </w:p>
              </w:tc>
              <w:tc>
                <w:tcPr>
                  <w:tcW w:w="1486" w:type="dxa"/>
                  <w:noWrap/>
                  <w:vAlign w:val="center"/>
                </w:tcPr>
                <w:p w14:paraId="5E31B3ED">
                  <w:pPr>
                    <w:wordWrap w:val="0"/>
                    <w:jc w:val="center"/>
                    <w:rPr>
                      <w:rFonts w:hint="eastAsia"/>
                      <w:color w:val="auto"/>
                      <w:szCs w:val="21"/>
                      <w:highlight w:val="none"/>
                    </w:rPr>
                  </w:pPr>
                  <w:r>
                    <w:rPr>
                      <w:rFonts w:hint="eastAsia"/>
                      <w:color w:val="auto"/>
                      <w:szCs w:val="21"/>
                      <w:highlight w:val="none"/>
                      <w:lang w:val="en-US" w:eastAsia="zh-CN"/>
                    </w:rPr>
                    <w:t>颗粒物、SO</w:t>
                  </w:r>
                  <w:r>
                    <w:rPr>
                      <w:rFonts w:hint="eastAsia"/>
                      <w:color w:val="auto"/>
                      <w:szCs w:val="21"/>
                      <w:highlight w:val="none"/>
                      <w:vertAlign w:val="subscript"/>
                      <w:lang w:val="en-US" w:eastAsia="zh-CN"/>
                    </w:rPr>
                    <w:t>2</w:t>
                  </w:r>
                  <w:r>
                    <w:rPr>
                      <w:rFonts w:hint="eastAsia"/>
                      <w:color w:val="auto"/>
                      <w:szCs w:val="21"/>
                      <w:highlight w:val="none"/>
                      <w:lang w:val="en-US" w:eastAsia="zh-CN"/>
                    </w:rPr>
                    <w:t>、NOx</w:t>
                  </w:r>
                  <w:r>
                    <w:rPr>
                      <w:rFonts w:hint="eastAsia"/>
                      <w:b w:val="0"/>
                      <w:bCs w:val="0"/>
                      <w:color w:val="auto"/>
                      <w:kern w:val="0"/>
                      <w:sz w:val="21"/>
                      <w:szCs w:val="21"/>
                      <w:highlight w:val="none"/>
                      <w:lang w:val="en-US" w:eastAsia="zh-CN"/>
                    </w:rPr>
                    <w:t>、烟气黑度</w:t>
                  </w:r>
                </w:p>
              </w:tc>
              <w:tc>
                <w:tcPr>
                  <w:tcW w:w="3695" w:type="dxa"/>
                  <w:vMerge w:val="continue"/>
                  <w:noWrap/>
                  <w:vAlign w:val="center"/>
                </w:tcPr>
                <w:p w14:paraId="4252FCA8">
                  <w:pPr>
                    <w:wordWrap w:val="0"/>
                    <w:jc w:val="center"/>
                    <w:rPr>
                      <w:rFonts w:hint="eastAsia"/>
                      <w:color w:val="auto"/>
                      <w:szCs w:val="21"/>
                      <w:highlight w:val="none"/>
                    </w:rPr>
                  </w:pPr>
                </w:p>
              </w:tc>
              <w:tc>
                <w:tcPr>
                  <w:tcW w:w="773" w:type="dxa"/>
                  <w:noWrap/>
                  <w:vAlign w:val="center"/>
                </w:tcPr>
                <w:p w14:paraId="2B7CB190">
                  <w:pPr>
                    <w:wordWrap w:val="0"/>
                    <w:jc w:val="center"/>
                    <w:rPr>
                      <w:rFonts w:hint="eastAsia"/>
                      <w:color w:val="auto"/>
                      <w:szCs w:val="21"/>
                      <w:highlight w:val="none"/>
                    </w:rPr>
                  </w:pPr>
                  <w:r>
                    <w:rPr>
                      <w:color w:val="auto"/>
                      <w:szCs w:val="21"/>
                      <w:highlight w:val="none"/>
                    </w:rPr>
                    <w:t>连续</w:t>
                  </w:r>
                </w:p>
              </w:tc>
            </w:tr>
            <w:tr w14:paraId="78056F5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602" w:type="dxa"/>
                  <w:vMerge w:val="continue"/>
                  <w:noWrap/>
                  <w:vAlign w:val="center"/>
                </w:tcPr>
                <w:p w14:paraId="4835A0A3">
                  <w:pPr>
                    <w:wordWrap w:val="0"/>
                    <w:jc w:val="center"/>
                    <w:rPr>
                      <w:rFonts w:hint="eastAsia"/>
                      <w:color w:val="auto"/>
                      <w:szCs w:val="21"/>
                      <w:highlight w:val="none"/>
                    </w:rPr>
                  </w:pPr>
                </w:p>
              </w:tc>
              <w:tc>
                <w:tcPr>
                  <w:tcW w:w="508" w:type="dxa"/>
                  <w:shd w:val="clear" w:color="auto" w:fill="auto"/>
                  <w:noWrap/>
                  <w:vAlign w:val="center"/>
                </w:tcPr>
                <w:p w14:paraId="7CF570C7">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G</w:t>
                  </w:r>
                  <w:r>
                    <w:rPr>
                      <w:rFonts w:hint="eastAsia" w:ascii="Times New Roman" w:hAnsi="Times New Roman" w:eastAsia="宋体" w:cs="Times New Roman"/>
                      <w:color w:val="auto"/>
                      <w:kern w:val="2"/>
                      <w:sz w:val="21"/>
                      <w:szCs w:val="21"/>
                      <w:highlight w:val="none"/>
                      <w:lang w:val="en-US" w:eastAsia="zh-CN" w:bidi="ar-SA"/>
                    </w:rPr>
                    <w:t>3</w:t>
                  </w:r>
                </w:p>
              </w:tc>
              <w:tc>
                <w:tcPr>
                  <w:tcW w:w="1177" w:type="dxa"/>
                  <w:noWrap/>
                  <w:vAlign w:val="center"/>
                </w:tcPr>
                <w:p w14:paraId="79B6ED79">
                  <w:pPr>
                    <w:wordWrap w:val="0"/>
                    <w:jc w:val="center"/>
                    <w:rPr>
                      <w:rFonts w:hint="default"/>
                      <w:color w:val="auto"/>
                      <w:szCs w:val="21"/>
                      <w:highlight w:val="none"/>
                      <w:lang w:val="en-US"/>
                    </w:rPr>
                  </w:pPr>
                  <w:r>
                    <w:rPr>
                      <w:rFonts w:hint="eastAsia" w:ascii="Times New Roman" w:hAnsi="Times New Roman" w:cs="Times New Roman"/>
                      <w:color w:val="auto"/>
                      <w:sz w:val="21"/>
                      <w:szCs w:val="21"/>
                      <w:highlight w:val="none"/>
                    </w:rPr>
                    <w:t>锻线</w:t>
                  </w:r>
                  <w:r>
                    <w:rPr>
                      <w:rFonts w:hint="eastAsia" w:ascii="Times New Roman" w:hAnsi="Times New Roman" w:cs="Times New Roman"/>
                      <w:color w:val="auto"/>
                      <w:sz w:val="21"/>
                      <w:szCs w:val="21"/>
                      <w:highlight w:val="none"/>
                      <w:lang w:val="en-US" w:eastAsia="zh-CN"/>
                    </w:rPr>
                    <w:t>燃气</w:t>
                  </w:r>
                  <w:r>
                    <w:rPr>
                      <w:rFonts w:hint="eastAsia"/>
                      <w:color w:val="auto"/>
                      <w:szCs w:val="21"/>
                      <w:highlight w:val="none"/>
                      <w:lang w:val="en-US" w:eastAsia="zh-CN"/>
                    </w:rPr>
                    <w:t>回火炉</w:t>
                  </w:r>
                  <w:r>
                    <w:rPr>
                      <w:rFonts w:hint="eastAsia" w:cs="Times New Roman"/>
                      <w:b w:val="0"/>
                      <w:bCs w:val="0"/>
                      <w:color w:val="auto"/>
                      <w:kern w:val="0"/>
                      <w:sz w:val="21"/>
                      <w:szCs w:val="21"/>
                      <w:highlight w:val="none"/>
                      <w:lang w:val="en-US" w:eastAsia="zh-CN"/>
                    </w:rPr>
                    <w:t>2#</w:t>
                  </w:r>
                </w:p>
              </w:tc>
              <w:tc>
                <w:tcPr>
                  <w:tcW w:w="1486" w:type="dxa"/>
                  <w:noWrap/>
                  <w:vAlign w:val="center"/>
                </w:tcPr>
                <w:p w14:paraId="0BEA9F3B">
                  <w:pPr>
                    <w:wordWrap w:val="0"/>
                    <w:jc w:val="center"/>
                    <w:rPr>
                      <w:rFonts w:hint="eastAsia"/>
                      <w:b/>
                      <w:bCs/>
                      <w:color w:val="auto"/>
                      <w:szCs w:val="21"/>
                      <w:highlight w:val="none"/>
                    </w:rPr>
                  </w:pPr>
                  <w:r>
                    <w:rPr>
                      <w:rFonts w:hint="eastAsia"/>
                      <w:color w:val="auto"/>
                      <w:szCs w:val="21"/>
                      <w:highlight w:val="none"/>
                      <w:lang w:val="en-US" w:eastAsia="zh-CN"/>
                    </w:rPr>
                    <w:t>颗粒物、SO</w:t>
                  </w:r>
                  <w:r>
                    <w:rPr>
                      <w:rFonts w:hint="eastAsia"/>
                      <w:color w:val="auto"/>
                      <w:szCs w:val="21"/>
                      <w:highlight w:val="none"/>
                      <w:vertAlign w:val="subscript"/>
                      <w:lang w:val="en-US" w:eastAsia="zh-CN"/>
                    </w:rPr>
                    <w:t>2</w:t>
                  </w:r>
                  <w:r>
                    <w:rPr>
                      <w:rFonts w:hint="eastAsia"/>
                      <w:color w:val="auto"/>
                      <w:szCs w:val="21"/>
                      <w:highlight w:val="none"/>
                      <w:lang w:val="en-US" w:eastAsia="zh-CN"/>
                    </w:rPr>
                    <w:t>、NOx</w:t>
                  </w:r>
                  <w:r>
                    <w:rPr>
                      <w:rFonts w:hint="eastAsia"/>
                      <w:b w:val="0"/>
                      <w:bCs w:val="0"/>
                      <w:color w:val="auto"/>
                      <w:kern w:val="0"/>
                      <w:sz w:val="21"/>
                      <w:szCs w:val="21"/>
                      <w:highlight w:val="none"/>
                      <w:lang w:val="en-US" w:eastAsia="zh-CN"/>
                    </w:rPr>
                    <w:t>、烟气黑度</w:t>
                  </w:r>
                </w:p>
              </w:tc>
              <w:tc>
                <w:tcPr>
                  <w:tcW w:w="3695" w:type="dxa"/>
                  <w:vMerge w:val="continue"/>
                  <w:noWrap/>
                  <w:vAlign w:val="center"/>
                </w:tcPr>
                <w:p w14:paraId="0B21D7D7">
                  <w:pPr>
                    <w:wordWrap w:val="0"/>
                    <w:jc w:val="center"/>
                    <w:rPr>
                      <w:rFonts w:hint="eastAsia"/>
                      <w:color w:val="auto"/>
                      <w:szCs w:val="21"/>
                      <w:highlight w:val="none"/>
                    </w:rPr>
                  </w:pPr>
                </w:p>
              </w:tc>
              <w:tc>
                <w:tcPr>
                  <w:tcW w:w="773" w:type="dxa"/>
                  <w:noWrap/>
                  <w:vAlign w:val="center"/>
                </w:tcPr>
                <w:p w14:paraId="33280610">
                  <w:pPr>
                    <w:wordWrap w:val="0"/>
                    <w:jc w:val="center"/>
                    <w:rPr>
                      <w:rFonts w:hint="eastAsia"/>
                      <w:color w:val="auto"/>
                      <w:szCs w:val="21"/>
                      <w:highlight w:val="none"/>
                    </w:rPr>
                  </w:pPr>
                  <w:r>
                    <w:rPr>
                      <w:color w:val="auto"/>
                      <w:szCs w:val="21"/>
                      <w:highlight w:val="none"/>
                    </w:rPr>
                    <w:t>连续</w:t>
                  </w:r>
                </w:p>
              </w:tc>
            </w:tr>
            <w:tr w14:paraId="624994A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602" w:type="dxa"/>
                  <w:vMerge w:val="continue"/>
                  <w:noWrap/>
                  <w:vAlign w:val="center"/>
                </w:tcPr>
                <w:p w14:paraId="6A6A3884">
                  <w:pPr>
                    <w:wordWrap w:val="0"/>
                    <w:jc w:val="center"/>
                    <w:rPr>
                      <w:rFonts w:hint="eastAsia"/>
                      <w:color w:val="auto"/>
                      <w:szCs w:val="21"/>
                      <w:highlight w:val="none"/>
                    </w:rPr>
                  </w:pPr>
                </w:p>
              </w:tc>
              <w:tc>
                <w:tcPr>
                  <w:tcW w:w="508" w:type="dxa"/>
                  <w:shd w:val="clear" w:color="auto" w:fill="auto"/>
                  <w:noWrap/>
                  <w:vAlign w:val="center"/>
                </w:tcPr>
                <w:p w14:paraId="6E1D1F41">
                  <w:pPr>
                    <w:keepNext w:val="0"/>
                    <w:keepLines w:val="0"/>
                    <w:pageBreakBefore w:val="0"/>
                    <w:widowControl w:val="0"/>
                    <w:kinsoku/>
                    <w:wordWrap/>
                    <w:overflowPunct/>
                    <w:topLinePunct w:val="0"/>
                    <w:autoSpaceDE/>
                    <w:autoSpaceDN/>
                    <w:bidi w:val="0"/>
                    <w:spacing w:line="240" w:lineRule="auto"/>
                    <w:jc w:val="center"/>
                    <w:textAlignment w:val="auto"/>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G</w:t>
                  </w:r>
                  <w:r>
                    <w:rPr>
                      <w:rFonts w:hint="eastAsia" w:ascii="Times New Roman" w:hAnsi="Times New Roman" w:eastAsia="宋体" w:cs="Times New Roman"/>
                      <w:color w:val="auto"/>
                      <w:kern w:val="2"/>
                      <w:sz w:val="21"/>
                      <w:szCs w:val="21"/>
                      <w:highlight w:val="none"/>
                      <w:lang w:val="en-US" w:eastAsia="zh-CN" w:bidi="ar-SA"/>
                    </w:rPr>
                    <w:t>4</w:t>
                  </w:r>
                </w:p>
              </w:tc>
              <w:tc>
                <w:tcPr>
                  <w:tcW w:w="1177" w:type="dxa"/>
                  <w:shd w:val="clear" w:color="auto" w:fill="auto"/>
                  <w:noWrap/>
                  <w:vAlign w:val="center"/>
                </w:tcPr>
                <w:p w14:paraId="05F8573B">
                  <w:pPr>
                    <w:wordWrap w:val="0"/>
                    <w:jc w:val="center"/>
                    <w:rPr>
                      <w:rFonts w:hint="default" w:eastAsia="宋体"/>
                      <w:color w:val="auto"/>
                      <w:szCs w:val="21"/>
                      <w:highlight w:val="none"/>
                      <w:lang w:val="en-US" w:eastAsia="zh-CN"/>
                    </w:rPr>
                  </w:pPr>
                  <w:r>
                    <w:rPr>
                      <w:rFonts w:hint="eastAsia"/>
                      <w:color w:val="auto"/>
                      <w:szCs w:val="21"/>
                      <w:highlight w:val="none"/>
                      <w:lang w:val="en-US" w:eastAsia="zh-CN"/>
                    </w:rPr>
                    <w:t>燃气加热炉（1#、2#、3#）</w:t>
                  </w:r>
                </w:p>
              </w:tc>
              <w:tc>
                <w:tcPr>
                  <w:tcW w:w="1486" w:type="dxa"/>
                  <w:shd w:val="clear" w:color="auto" w:fill="auto"/>
                  <w:noWrap/>
                  <w:vAlign w:val="center"/>
                </w:tcPr>
                <w:p w14:paraId="6CEE900C">
                  <w:pPr>
                    <w:wordWrap w:val="0"/>
                    <w:jc w:val="center"/>
                    <w:rPr>
                      <w:rFonts w:hint="eastAsia"/>
                      <w:b/>
                      <w:bCs/>
                      <w:color w:val="auto"/>
                      <w:szCs w:val="21"/>
                      <w:highlight w:val="none"/>
                    </w:rPr>
                  </w:pPr>
                  <w:r>
                    <w:rPr>
                      <w:rFonts w:hint="eastAsia"/>
                      <w:color w:val="auto"/>
                      <w:szCs w:val="21"/>
                      <w:highlight w:val="none"/>
                      <w:lang w:val="en-US" w:eastAsia="zh-CN"/>
                    </w:rPr>
                    <w:t>颗粒物、SO</w:t>
                  </w:r>
                  <w:r>
                    <w:rPr>
                      <w:rFonts w:hint="eastAsia"/>
                      <w:color w:val="auto"/>
                      <w:szCs w:val="21"/>
                      <w:highlight w:val="none"/>
                      <w:vertAlign w:val="subscript"/>
                      <w:lang w:val="en-US" w:eastAsia="zh-CN"/>
                    </w:rPr>
                    <w:t>2</w:t>
                  </w:r>
                  <w:r>
                    <w:rPr>
                      <w:rFonts w:hint="eastAsia"/>
                      <w:color w:val="auto"/>
                      <w:szCs w:val="21"/>
                      <w:highlight w:val="none"/>
                      <w:lang w:val="en-US" w:eastAsia="zh-CN"/>
                    </w:rPr>
                    <w:t>、NOx</w:t>
                  </w:r>
                  <w:r>
                    <w:rPr>
                      <w:rFonts w:hint="eastAsia"/>
                      <w:b w:val="0"/>
                      <w:bCs w:val="0"/>
                      <w:color w:val="auto"/>
                      <w:kern w:val="0"/>
                      <w:sz w:val="21"/>
                      <w:szCs w:val="21"/>
                      <w:highlight w:val="none"/>
                      <w:lang w:val="en-US" w:eastAsia="zh-CN"/>
                    </w:rPr>
                    <w:t>、烟气黑度</w:t>
                  </w:r>
                </w:p>
              </w:tc>
              <w:tc>
                <w:tcPr>
                  <w:tcW w:w="3695" w:type="dxa"/>
                  <w:shd w:val="clear" w:color="auto" w:fill="auto"/>
                  <w:noWrap/>
                  <w:vAlign w:val="center"/>
                </w:tcPr>
                <w:p w14:paraId="564261E1">
                  <w:pPr>
                    <w:spacing w:line="240" w:lineRule="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5"/>
                      <w:sz w:val="21"/>
                      <w:szCs w:val="21"/>
                      <w:highlight w:val="none"/>
                    </w:rPr>
                    <w:t>安装低氮燃烧器</w:t>
                  </w:r>
                  <w:r>
                    <w:rPr>
                      <w:rFonts w:hint="eastAsia" w:cs="Times New Roman"/>
                      <w:color w:val="auto"/>
                      <w:spacing w:val="-5"/>
                      <w:sz w:val="21"/>
                      <w:szCs w:val="21"/>
                      <w:highlight w:val="none"/>
                      <w:lang w:eastAsia="zh-CN"/>
                    </w:rPr>
                    <w:t>，</w:t>
                  </w:r>
                  <w:r>
                    <w:rPr>
                      <w:rFonts w:hint="default" w:ascii="Times New Roman" w:hAnsi="Times New Roman" w:cs="Times New Roman"/>
                      <w:color w:val="auto"/>
                      <w:spacing w:val="-8"/>
                      <w:sz w:val="21"/>
                      <w:szCs w:val="21"/>
                      <w:highlight w:val="none"/>
                      <w:lang w:val="en-US" w:eastAsia="zh-CN"/>
                    </w:rPr>
                    <w:t>经1根27m高排气筒</w:t>
                  </w:r>
                  <w:r>
                    <w:rPr>
                      <w:rFonts w:hint="default" w:ascii="Times New Roman" w:hAnsi="Times New Roman" w:cs="Times New Roman"/>
                      <w:color w:val="auto"/>
                      <w:spacing w:val="-2"/>
                      <w:sz w:val="21"/>
                      <w:szCs w:val="21"/>
                      <w:highlight w:val="none"/>
                      <w:lang w:eastAsia="zh-CN"/>
                    </w:rPr>
                    <w:t>（</w:t>
                  </w:r>
                  <w:r>
                    <w:rPr>
                      <w:rFonts w:hint="default" w:ascii="Times New Roman" w:hAnsi="Times New Roman" w:cs="Times New Roman"/>
                      <w:color w:val="auto"/>
                      <w:spacing w:val="-2"/>
                      <w:sz w:val="21"/>
                      <w:szCs w:val="21"/>
                      <w:highlight w:val="none"/>
                      <w:lang w:val="en-US" w:eastAsia="zh-CN"/>
                    </w:rPr>
                    <w:t>DA00</w:t>
                  </w:r>
                  <w:r>
                    <w:rPr>
                      <w:rFonts w:hint="eastAsia" w:ascii="Times New Roman" w:hAnsi="Times New Roman" w:cs="Times New Roman"/>
                      <w:color w:val="auto"/>
                      <w:spacing w:val="-2"/>
                      <w:sz w:val="21"/>
                      <w:szCs w:val="21"/>
                      <w:highlight w:val="none"/>
                      <w:lang w:val="en-US" w:eastAsia="zh-CN"/>
                    </w:rPr>
                    <w:t>6</w:t>
                  </w:r>
                  <w:r>
                    <w:rPr>
                      <w:rFonts w:hint="default" w:ascii="Times New Roman" w:hAnsi="Times New Roman" w:cs="Times New Roman"/>
                      <w:color w:val="auto"/>
                      <w:spacing w:val="-2"/>
                      <w:sz w:val="21"/>
                      <w:szCs w:val="21"/>
                      <w:highlight w:val="none"/>
                      <w:lang w:eastAsia="zh-CN"/>
                    </w:rPr>
                    <w:t>）</w:t>
                  </w:r>
                  <w:r>
                    <w:rPr>
                      <w:rFonts w:hint="default" w:ascii="Times New Roman" w:hAnsi="Times New Roman" w:cs="Times New Roman"/>
                      <w:color w:val="auto"/>
                      <w:spacing w:val="-2"/>
                      <w:sz w:val="21"/>
                      <w:szCs w:val="21"/>
                      <w:highlight w:val="none"/>
                      <w:lang w:val="en-US" w:eastAsia="zh-CN"/>
                    </w:rPr>
                    <w:t>排放</w:t>
                  </w:r>
                </w:p>
              </w:tc>
              <w:tc>
                <w:tcPr>
                  <w:tcW w:w="773" w:type="dxa"/>
                  <w:shd w:val="clear" w:color="auto" w:fill="auto"/>
                  <w:noWrap/>
                  <w:vAlign w:val="center"/>
                </w:tcPr>
                <w:p w14:paraId="28A21F96">
                  <w:pPr>
                    <w:pStyle w:val="70"/>
                    <w:spacing w:line="340" w:lineRule="exact"/>
                    <w:rPr>
                      <w:rFonts w:hint="eastAsia" w:ascii="Times New Roman" w:hAnsi="Times New Roman" w:eastAsia="宋体" w:cs="Times New Roman"/>
                      <w:color w:val="auto"/>
                      <w:kern w:val="0"/>
                      <w:sz w:val="21"/>
                      <w:szCs w:val="21"/>
                      <w:highlight w:val="none"/>
                      <w:lang w:val="en-US" w:eastAsia="zh-CN" w:bidi="ar-SA"/>
                    </w:rPr>
                  </w:pPr>
                  <w:r>
                    <w:rPr>
                      <w:rFonts w:hint="eastAsia" w:ascii="宋体" w:hAnsi="宋体" w:eastAsia="宋体" w:cs="宋体"/>
                      <w:color w:val="auto"/>
                      <w:sz w:val="21"/>
                      <w:szCs w:val="21"/>
                      <w:highlight w:val="none"/>
                      <w:lang w:val="en-US" w:eastAsia="zh-CN"/>
                    </w:rPr>
                    <w:t>间歇</w:t>
                  </w:r>
                </w:p>
              </w:tc>
            </w:tr>
            <w:tr w14:paraId="5AA5B66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602" w:type="dxa"/>
                  <w:vMerge w:val="continue"/>
                  <w:noWrap/>
                  <w:vAlign w:val="center"/>
                </w:tcPr>
                <w:p w14:paraId="5458EC43">
                  <w:pPr>
                    <w:wordWrap w:val="0"/>
                    <w:jc w:val="center"/>
                    <w:rPr>
                      <w:rFonts w:hint="eastAsia"/>
                      <w:color w:val="auto"/>
                      <w:szCs w:val="21"/>
                      <w:highlight w:val="none"/>
                    </w:rPr>
                  </w:pPr>
                </w:p>
              </w:tc>
              <w:tc>
                <w:tcPr>
                  <w:tcW w:w="508" w:type="dxa"/>
                  <w:shd w:val="clear" w:color="auto" w:fill="auto"/>
                  <w:noWrap/>
                  <w:vAlign w:val="center"/>
                </w:tcPr>
                <w:p w14:paraId="64B7E47C">
                  <w:pPr>
                    <w:keepNext w:val="0"/>
                    <w:keepLines w:val="0"/>
                    <w:pageBreakBefore w:val="0"/>
                    <w:widowControl w:val="0"/>
                    <w:kinsoku/>
                    <w:wordWrap/>
                    <w:overflowPunct/>
                    <w:topLinePunct w:val="0"/>
                    <w:autoSpaceDE/>
                    <w:autoSpaceDN/>
                    <w:bidi w:val="0"/>
                    <w:spacing w:line="240" w:lineRule="auto"/>
                    <w:jc w:val="center"/>
                    <w:textAlignment w:val="auto"/>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G</w:t>
                  </w:r>
                  <w:r>
                    <w:rPr>
                      <w:rFonts w:hint="eastAsia" w:ascii="Times New Roman" w:hAnsi="Times New Roman" w:eastAsia="宋体" w:cs="Times New Roman"/>
                      <w:color w:val="auto"/>
                      <w:kern w:val="2"/>
                      <w:sz w:val="21"/>
                      <w:szCs w:val="21"/>
                      <w:highlight w:val="none"/>
                      <w:lang w:val="en-US" w:eastAsia="zh-CN" w:bidi="ar-SA"/>
                    </w:rPr>
                    <w:t>5</w:t>
                  </w:r>
                </w:p>
              </w:tc>
              <w:tc>
                <w:tcPr>
                  <w:tcW w:w="1177" w:type="dxa"/>
                  <w:shd w:val="clear" w:color="auto" w:fill="auto"/>
                  <w:noWrap/>
                  <w:vAlign w:val="center"/>
                </w:tcPr>
                <w:p w14:paraId="22721AE4">
                  <w:pPr>
                    <w:wordWrap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自由锻生产线</w:t>
                  </w:r>
                  <w:r>
                    <w:rPr>
                      <w:rFonts w:hint="eastAsia" w:ascii="Times New Roman" w:hAnsi="Times New Roman" w:cs="Times New Roman"/>
                      <w:color w:val="auto"/>
                      <w:sz w:val="21"/>
                      <w:szCs w:val="21"/>
                      <w:highlight w:val="none"/>
                      <w:lang w:val="en-US" w:eastAsia="zh-CN"/>
                    </w:rPr>
                    <w:t>燃气</w:t>
                  </w:r>
                  <w:r>
                    <w:rPr>
                      <w:rFonts w:hint="eastAsia"/>
                      <w:color w:val="auto"/>
                      <w:szCs w:val="21"/>
                      <w:highlight w:val="none"/>
                      <w:lang w:val="en-US" w:eastAsia="zh-CN"/>
                    </w:rPr>
                    <w:t>回火炉</w:t>
                  </w:r>
                  <w:r>
                    <w:rPr>
                      <w:rFonts w:hint="eastAsia" w:cs="Times New Roman"/>
                      <w:b w:val="0"/>
                      <w:bCs w:val="0"/>
                      <w:color w:val="auto"/>
                      <w:kern w:val="0"/>
                      <w:sz w:val="21"/>
                      <w:szCs w:val="21"/>
                      <w:highlight w:val="none"/>
                      <w:lang w:val="en-US" w:eastAsia="zh-CN"/>
                    </w:rPr>
                    <w:t>3#</w:t>
                  </w:r>
                </w:p>
              </w:tc>
              <w:tc>
                <w:tcPr>
                  <w:tcW w:w="1486" w:type="dxa"/>
                  <w:shd w:val="clear" w:color="auto" w:fill="auto"/>
                  <w:noWrap/>
                  <w:vAlign w:val="center"/>
                </w:tcPr>
                <w:p w14:paraId="2648D6F1">
                  <w:pPr>
                    <w:wordWrap w:val="0"/>
                    <w:jc w:val="center"/>
                    <w:rPr>
                      <w:rFonts w:hint="eastAsia" w:ascii="Times New Roman" w:hAnsi="Times New Roman" w:eastAsia="宋体" w:cs="Times New Roman"/>
                      <w:b/>
                      <w:bCs/>
                      <w:color w:val="auto"/>
                      <w:kern w:val="2"/>
                      <w:sz w:val="21"/>
                      <w:szCs w:val="21"/>
                      <w:highlight w:val="none"/>
                      <w:lang w:val="en-US" w:eastAsia="zh-CN" w:bidi="ar-SA"/>
                    </w:rPr>
                  </w:pPr>
                  <w:r>
                    <w:rPr>
                      <w:rFonts w:hint="eastAsia"/>
                      <w:color w:val="auto"/>
                      <w:szCs w:val="21"/>
                      <w:highlight w:val="none"/>
                      <w:lang w:val="en-US" w:eastAsia="zh-CN"/>
                    </w:rPr>
                    <w:t>颗粒物、SO</w:t>
                  </w:r>
                  <w:r>
                    <w:rPr>
                      <w:rFonts w:hint="eastAsia"/>
                      <w:color w:val="auto"/>
                      <w:szCs w:val="21"/>
                      <w:highlight w:val="none"/>
                      <w:vertAlign w:val="subscript"/>
                      <w:lang w:val="en-US" w:eastAsia="zh-CN"/>
                    </w:rPr>
                    <w:t>2</w:t>
                  </w:r>
                  <w:r>
                    <w:rPr>
                      <w:rFonts w:hint="eastAsia"/>
                      <w:color w:val="auto"/>
                      <w:szCs w:val="21"/>
                      <w:highlight w:val="none"/>
                      <w:lang w:val="en-US" w:eastAsia="zh-CN"/>
                    </w:rPr>
                    <w:t>、NOx</w:t>
                  </w:r>
                  <w:r>
                    <w:rPr>
                      <w:rFonts w:hint="eastAsia"/>
                      <w:b w:val="0"/>
                      <w:bCs w:val="0"/>
                      <w:color w:val="auto"/>
                      <w:kern w:val="0"/>
                      <w:sz w:val="21"/>
                      <w:szCs w:val="21"/>
                      <w:highlight w:val="none"/>
                      <w:lang w:val="en-US" w:eastAsia="zh-CN"/>
                    </w:rPr>
                    <w:t>、烟气黑度</w:t>
                  </w:r>
                </w:p>
              </w:tc>
              <w:tc>
                <w:tcPr>
                  <w:tcW w:w="3695" w:type="dxa"/>
                  <w:shd w:val="clear" w:color="auto" w:fill="auto"/>
                  <w:noWrap/>
                  <w:vAlign w:val="center"/>
                </w:tcPr>
                <w:p w14:paraId="044D93FA">
                  <w:pPr>
                    <w:wordWrap w:val="0"/>
                    <w:jc w:val="center"/>
                    <w:rPr>
                      <w:rFonts w:hint="eastAsia"/>
                      <w:color w:val="auto"/>
                      <w:szCs w:val="21"/>
                      <w:highlight w:val="none"/>
                      <w:lang w:val="en-US" w:eastAsia="zh-CN"/>
                    </w:rPr>
                  </w:pPr>
                  <w:r>
                    <w:rPr>
                      <w:rFonts w:hint="default" w:ascii="Times New Roman" w:hAnsi="Times New Roman" w:eastAsia="宋体" w:cs="Times New Roman"/>
                      <w:color w:val="auto"/>
                      <w:spacing w:val="-5"/>
                      <w:sz w:val="21"/>
                      <w:szCs w:val="21"/>
                      <w:highlight w:val="none"/>
                    </w:rPr>
                    <w:t>安装低氮燃烧器</w:t>
                  </w:r>
                  <w:r>
                    <w:rPr>
                      <w:rFonts w:hint="eastAsia" w:cs="Times New Roman"/>
                      <w:color w:val="auto"/>
                      <w:spacing w:val="-5"/>
                      <w:sz w:val="21"/>
                      <w:szCs w:val="21"/>
                      <w:highlight w:val="none"/>
                      <w:lang w:eastAsia="zh-CN"/>
                    </w:rPr>
                    <w:t>，</w:t>
                  </w:r>
                  <w:r>
                    <w:rPr>
                      <w:rFonts w:hint="default" w:ascii="Times New Roman" w:hAnsi="Times New Roman" w:cs="Times New Roman"/>
                      <w:color w:val="auto"/>
                      <w:spacing w:val="-8"/>
                      <w:sz w:val="21"/>
                      <w:szCs w:val="21"/>
                      <w:highlight w:val="none"/>
                      <w:lang w:val="en-US" w:eastAsia="zh-CN"/>
                    </w:rPr>
                    <w:t>经1根27m高排气筒</w:t>
                  </w:r>
                  <w:r>
                    <w:rPr>
                      <w:rFonts w:hint="default" w:ascii="Times New Roman" w:hAnsi="Times New Roman" w:cs="Times New Roman"/>
                      <w:color w:val="auto"/>
                      <w:spacing w:val="-2"/>
                      <w:sz w:val="21"/>
                      <w:szCs w:val="21"/>
                      <w:highlight w:val="none"/>
                      <w:lang w:eastAsia="zh-CN"/>
                    </w:rPr>
                    <w:t>（</w:t>
                  </w:r>
                  <w:r>
                    <w:rPr>
                      <w:rFonts w:hint="default" w:ascii="Times New Roman" w:hAnsi="Times New Roman" w:cs="Times New Roman"/>
                      <w:color w:val="auto"/>
                      <w:spacing w:val="-2"/>
                      <w:sz w:val="21"/>
                      <w:szCs w:val="21"/>
                      <w:highlight w:val="none"/>
                      <w:lang w:val="en-US" w:eastAsia="zh-CN"/>
                    </w:rPr>
                    <w:t>DA00</w:t>
                  </w:r>
                  <w:r>
                    <w:rPr>
                      <w:rFonts w:hint="eastAsia" w:ascii="Times New Roman" w:hAnsi="Times New Roman" w:cs="Times New Roman"/>
                      <w:color w:val="auto"/>
                      <w:spacing w:val="-2"/>
                      <w:sz w:val="21"/>
                      <w:szCs w:val="21"/>
                      <w:highlight w:val="none"/>
                      <w:lang w:val="en-US" w:eastAsia="zh-CN"/>
                    </w:rPr>
                    <w:t>7</w:t>
                  </w:r>
                  <w:r>
                    <w:rPr>
                      <w:rFonts w:hint="default" w:ascii="Times New Roman" w:hAnsi="Times New Roman" w:cs="Times New Roman"/>
                      <w:color w:val="auto"/>
                      <w:spacing w:val="-2"/>
                      <w:sz w:val="21"/>
                      <w:szCs w:val="21"/>
                      <w:highlight w:val="none"/>
                      <w:lang w:eastAsia="zh-CN"/>
                    </w:rPr>
                    <w:t>）</w:t>
                  </w:r>
                  <w:r>
                    <w:rPr>
                      <w:rFonts w:hint="default" w:ascii="Times New Roman" w:hAnsi="Times New Roman" w:cs="Times New Roman"/>
                      <w:color w:val="auto"/>
                      <w:spacing w:val="-2"/>
                      <w:sz w:val="21"/>
                      <w:szCs w:val="21"/>
                      <w:highlight w:val="none"/>
                      <w:lang w:val="en-US" w:eastAsia="zh-CN"/>
                    </w:rPr>
                    <w:t>排放</w:t>
                  </w:r>
                </w:p>
              </w:tc>
              <w:tc>
                <w:tcPr>
                  <w:tcW w:w="773" w:type="dxa"/>
                  <w:shd w:val="clear" w:color="auto" w:fill="auto"/>
                  <w:noWrap/>
                  <w:vAlign w:val="center"/>
                </w:tcPr>
                <w:p w14:paraId="36E00504">
                  <w:pPr>
                    <w:wordWrap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间歇</w:t>
                  </w:r>
                </w:p>
              </w:tc>
            </w:tr>
            <w:tr w14:paraId="36A36A8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602" w:type="dxa"/>
                  <w:vMerge w:val="continue"/>
                  <w:noWrap/>
                  <w:vAlign w:val="center"/>
                </w:tcPr>
                <w:p w14:paraId="22C8FB41">
                  <w:pPr>
                    <w:wordWrap w:val="0"/>
                    <w:jc w:val="center"/>
                    <w:rPr>
                      <w:rFonts w:hint="eastAsia"/>
                      <w:color w:val="auto"/>
                      <w:szCs w:val="21"/>
                      <w:highlight w:val="none"/>
                    </w:rPr>
                  </w:pPr>
                </w:p>
              </w:tc>
              <w:tc>
                <w:tcPr>
                  <w:tcW w:w="508" w:type="dxa"/>
                  <w:shd w:val="clear" w:color="auto" w:fill="auto"/>
                  <w:noWrap/>
                  <w:vAlign w:val="center"/>
                </w:tcPr>
                <w:p w14:paraId="3AC30BD2">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G</w:t>
                  </w:r>
                  <w:r>
                    <w:rPr>
                      <w:rFonts w:hint="eastAsia" w:cs="Times New Roman"/>
                      <w:color w:val="auto"/>
                      <w:kern w:val="2"/>
                      <w:sz w:val="21"/>
                      <w:szCs w:val="21"/>
                      <w:highlight w:val="none"/>
                      <w:lang w:val="en-US" w:eastAsia="zh-CN" w:bidi="ar-SA"/>
                    </w:rPr>
                    <w:t>6</w:t>
                  </w:r>
                </w:p>
              </w:tc>
              <w:tc>
                <w:tcPr>
                  <w:tcW w:w="1177" w:type="dxa"/>
                  <w:shd w:val="clear" w:color="auto" w:fill="auto"/>
                  <w:noWrap/>
                  <w:vAlign w:val="center"/>
                </w:tcPr>
                <w:p w14:paraId="207317DE">
                  <w:pPr>
                    <w:wordWrap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抛丸工序</w:t>
                  </w:r>
                </w:p>
              </w:tc>
              <w:tc>
                <w:tcPr>
                  <w:tcW w:w="1486" w:type="dxa"/>
                  <w:shd w:val="clear" w:color="auto" w:fill="auto"/>
                  <w:noWrap/>
                  <w:vAlign w:val="center"/>
                </w:tcPr>
                <w:p w14:paraId="776E9816">
                  <w:pPr>
                    <w:wordWrap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颗粒物</w:t>
                  </w:r>
                </w:p>
              </w:tc>
              <w:tc>
                <w:tcPr>
                  <w:tcW w:w="3695" w:type="dxa"/>
                  <w:shd w:val="clear" w:color="auto" w:fill="auto"/>
                  <w:noWrap/>
                  <w:vAlign w:val="center"/>
                </w:tcPr>
                <w:p w14:paraId="4F4BB723">
                  <w:pPr>
                    <w:wordWrap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依托现有，</w:t>
                  </w:r>
                  <w:r>
                    <w:rPr>
                      <w:rFonts w:hint="eastAsia"/>
                      <w:color w:val="auto"/>
                      <w:szCs w:val="21"/>
                      <w:highlight w:val="none"/>
                      <w:lang w:eastAsia="zh-CN"/>
                    </w:rPr>
                    <w:t>经1套二级滤筒除尘器处理后，通过1根25m高排气筒（DA004）排放</w:t>
                  </w:r>
                </w:p>
              </w:tc>
              <w:tc>
                <w:tcPr>
                  <w:tcW w:w="773" w:type="dxa"/>
                  <w:shd w:val="clear" w:color="auto" w:fill="auto"/>
                  <w:noWrap/>
                  <w:vAlign w:val="center"/>
                </w:tcPr>
                <w:p w14:paraId="02CD7960">
                  <w:pPr>
                    <w:wordWrap w:val="0"/>
                    <w:jc w:val="center"/>
                    <w:rPr>
                      <w:rFonts w:hint="eastAsia" w:ascii="Times New Roman" w:hAnsi="Times New Roman" w:eastAsia="宋体" w:cs="Times New Roman"/>
                      <w:color w:val="auto"/>
                      <w:kern w:val="2"/>
                      <w:sz w:val="21"/>
                      <w:szCs w:val="21"/>
                      <w:highlight w:val="none"/>
                      <w:lang w:val="en-US" w:eastAsia="zh-CN" w:bidi="ar-SA"/>
                    </w:rPr>
                  </w:pPr>
                  <w:r>
                    <w:rPr>
                      <w:color w:val="auto"/>
                      <w:szCs w:val="21"/>
                      <w:highlight w:val="none"/>
                    </w:rPr>
                    <w:t>连续</w:t>
                  </w:r>
                </w:p>
              </w:tc>
            </w:tr>
            <w:tr w14:paraId="2FA94AB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2" w:type="dxa"/>
                  <w:noWrap/>
                  <w:vAlign w:val="center"/>
                </w:tcPr>
                <w:p w14:paraId="0217116F">
                  <w:pPr>
                    <w:wordWrap w:val="0"/>
                    <w:jc w:val="center"/>
                    <w:rPr>
                      <w:color w:val="auto"/>
                      <w:szCs w:val="21"/>
                      <w:highlight w:val="none"/>
                    </w:rPr>
                  </w:pPr>
                  <w:r>
                    <w:rPr>
                      <w:rFonts w:ascii="Times New Roman" w:hAnsi="Times New Roman"/>
                      <w:color w:val="auto"/>
                      <w:sz w:val="21"/>
                      <w:szCs w:val="21"/>
                      <w:highlight w:val="none"/>
                    </w:rPr>
                    <w:t>废水</w:t>
                  </w:r>
                </w:p>
              </w:tc>
              <w:tc>
                <w:tcPr>
                  <w:tcW w:w="508" w:type="dxa"/>
                  <w:noWrap/>
                  <w:vAlign w:val="center"/>
                </w:tcPr>
                <w:p w14:paraId="5CE58BC4">
                  <w:pPr>
                    <w:wordWrap w:val="0"/>
                    <w:jc w:val="center"/>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W</w:t>
                  </w:r>
                </w:p>
              </w:tc>
              <w:tc>
                <w:tcPr>
                  <w:tcW w:w="1177" w:type="dxa"/>
                  <w:shd w:val="clear" w:color="auto" w:fill="auto"/>
                  <w:noWrap/>
                  <w:vAlign w:val="center"/>
                </w:tcPr>
                <w:p w14:paraId="2571AD7A">
                  <w:pPr>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冷却</w:t>
                  </w:r>
                  <w:r>
                    <w:rPr>
                      <w:rFonts w:hint="eastAsia" w:ascii="Times New Roman" w:hAnsi="Times New Roman" w:cs="Times New Roman"/>
                      <w:color w:val="auto"/>
                      <w:sz w:val="21"/>
                      <w:szCs w:val="21"/>
                      <w:highlight w:val="none"/>
                    </w:rPr>
                    <w:t>废水</w:t>
                  </w:r>
                </w:p>
              </w:tc>
              <w:tc>
                <w:tcPr>
                  <w:tcW w:w="1486" w:type="dxa"/>
                  <w:shd w:val="clear" w:color="auto" w:fill="auto"/>
                  <w:noWrap/>
                  <w:vAlign w:val="center"/>
                </w:tcPr>
                <w:p w14:paraId="6A1AED69">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color w:val="auto"/>
                      <w:sz w:val="21"/>
                      <w:szCs w:val="21"/>
                      <w:highlight w:val="none"/>
                    </w:rPr>
                    <w:t>COD、</w:t>
                  </w:r>
                  <w:r>
                    <w:rPr>
                      <w:rFonts w:hint="eastAsia"/>
                      <w:color w:val="auto"/>
                      <w:sz w:val="21"/>
                      <w:szCs w:val="21"/>
                      <w:highlight w:val="none"/>
                      <w:lang w:val="en-US" w:eastAsia="zh-CN"/>
                    </w:rPr>
                    <w:t>SS</w:t>
                  </w:r>
                </w:p>
              </w:tc>
              <w:tc>
                <w:tcPr>
                  <w:tcW w:w="3695" w:type="dxa"/>
                  <w:shd w:val="clear" w:color="auto" w:fill="auto"/>
                  <w:noWrap/>
                  <w:vAlign w:val="center"/>
                </w:tcPr>
                <w:p w14:paraId="6E7E8433">
                  <w:pPr>
                    <w:spacing w:line="240" w:lineRule="auto"/>
                    <w:jc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color w:val="auto"/>
                      <w:sz w:val="21"/>
                      <w:szCs w:val="21"/>
                      <w:highlight w:val="none"/>
                    </w:rPr>
                    <w:t>循环使用不外排</w:t>
                  </w:r>
                </w:p>
              </w:tc>
              <w:tc>
                <w:tcPr>
                  <w:tcW w:w="773" w:type="dxa"/>
                  <w:shd w:val="clear" w:color="auto" w:fill="auto"/>
                  <w:noWrap/>
                  <w:vAlign w:val="center"/>
                </w:tcPr>
                <w:p w14:paraId="77A35E9B">
                  <w:pPr>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连续</w:t>
                  </w:r>
                </w:p>
              </w:tc>
            </w:tr>
            <w:tr w14:paraId="395B0BF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2" w:type="dxa"/>
                  <w:noWrap/>
                  <w:vAlign w:val="center"/>
                </w:tcPr>
                <w:p w14:paraId="60D16325">
                  <w:pPr>
                    <w:wordWrap w:val="0"/>
                    <w:jc w:val="center"/>
                    <w:rPr>
                      <w:color w:val="auto"/>
                      <w:szCs w:val="21"/>
                      <w:highlight w:val="none"/>
                    </w:rPr>
                  </w:pPr>
                  <w:r>
                    <w:rPr>
                      <w:color w:val="auto"/>
                      <w:szCs w:val="21"/>
                      <w:highlight w:val="none"/>
                    </w:rPr>
                    <w:t>噪声</w:t>
                  </w:r>
                </w:p>
              </w:tc>
              <w:tc>
                <w:tcPr>
                  <w:tcW w:w="508" w:type="dxa"/>
                  <w:noWrap/>
                  <w:vAlign w:val="center"/>
                </w:tcPr>
                <w:p w14:paraId="3D945A2C">
                  <w:pPr>
                    <w:wordWrap w:val="0"/>
                    <w:jc w:val="center"/>
                    <w:rPr>
                      <w:rFonts w:hint="eastAsia"/>
                      <w:color w:val="auto"/>
                      <w:kern w:val="0"/>
                      <w:szCs w:val="21"/>
                      <w:highlight w:val="none"/>
                    </w:rPr>
                  </w:pPr>
                  <w:r>
                    <w:rPr>
                      <w:rFonts w:ascii="Times New Roman" w:hAnsi="Times New Roman"/>
                      <w:color w:val="auto"/>
                      <w:sz w:val="21"/>
                      <w:szCs w:val="21"/>
                      <w:highlight w:val="none"/>
                    </w:rPr>
                    <w:t>N</w:t>
                  </w:r>
                </w:p>
              </w:tc>
              <w:tc>
                <w:tcPr>
                  <w:tcW w:w="1177" w:type="dxa"/>
                  <w:noWrap/>
                  <w:vAlign w:val="center"/>
                </w:tcPr>
                <w:p w14:paraId="78FAB53F">
                  <w:pPr>
                    <w:wordWrap w:val="0"/>
                    <w:jc w:val="center"/>
                    <w:rPr>
                      <w:color w:val="auto"/>
                      <w:kern w:val="0"/>
                      <w:szCs w:val="21"/>
                      <w:highlight w:val="none"/>
                    </w:rPr>
                  </w:pPr>
                  <w:r>
                    <w:rPr>
                      <w:rFonts w:hint="eastAsia"/>
                      <w:color w:val="auto"/>
                      <w:kern w:val="0"/>
                      <w:szCs w:val="21"/>
                      <w:highlight w:val="none"/>
                    </w:rPr>
                    <w:t>生产设备</w:t>
                  </w:r>
                </w:p>
              </w:tc>
              <w:tc>
                <w:tcPr>
                  <w:tcW w:w="1486" w:type="dxa"/>
                  <w:noWrap/>
                  <w:vAlign w:val="center"/>
                </w:tcPr>
                <w:p w14:paraId="043339A4">
                  <w:pPr>
                    <w:pStyle w:val="112"/>
                    <w:spacing w:line="240" w:lineRule="auto"/>
                    <w:ind w:left="-105" w:leftChars="-50" w:right="-105" w:rightChars="-50" w:firstLine="0"/>
                    <w:jc w:val="center"/>
                    <w:rPr>
                      <w:color w:val="auto"/>
                      <w:szCs w:val="21"/>
                      <w:highlight w:val="none"/>
                    </w:rPr>
                  </w:pPr>
                  <w:r>
                    <w:rPr>
                      <w:rStyle w:val="58"/>
                      <w:color w:val="auto"/>
                      <w:sz w:val="21"/>
                      <w:szCs w:val="21"/>
                      <w:highlight w:val="none"/>
                    </w:rPr>
                    <w:t>等效连续A声级</w:t>
                  </w:r>
                </w:p>
              </w:tc>
              <w:tc>
                <w:tcPr>
                  <w:tcW w:w="3695" w:type="dxa"/>
                  <w:noWrap/>
                  <w:vAlign w:val="center"/>
                </w:tcPr>
                <w:p w14:paraId="430D4E18">
                  <w:pPr>
                    <w:wordWrap w:val="0"/>
                    <w:jc w:val="center"/>
                    <w:rPr>
                      <w:color w:val="auto"/>
                      <w:szCs w:val="21"/>
                      <w:highlight w:val="none"/>
                    </w:rPr>
                  </w:pPr>
                  <w:r>
                    <w:rPr>
                      <w:color w:val="auto"/>
                      <w:szCs w:val="21"/>
                      <w:highlight w:val="none"/>
                    </w:rPr>
                    <w:t>设备</w:t>
                  </w:r>
                  <w:r>
                    <w:rPr>
                      <w:rFonts w:hint="eastAsia"/>
                      <w:snapToGrid w:val="0"/>
                      <w:color w:val="auto"/>
                      <w:szCs w:val="21"/>
                      <w:highlight w:val="none"/>
                    </w:rPr>
                    <w:t>置于</w:t>
                  </w:r>
                  <w:r>
                    <w:rPr>
                      <w:snapToGrid w:val="0"/>
                      <w:color w:val="auto"/>
                      <w:szCs w:val="21"/>
                      <w:highlight w:val="none"/>
                    </w:rPr>
                    <w:t>全封闭车间内</w:t>
                  </w:r>
                  <w:r>
                    <w:rPr>
                      <w:color w:val="auto"/>
                      <w:szCs w:val="21"/>
                      <w:highlight w:val="none"/>
                    </w:rPr>
                    <w:t>，采取低噪声设备，设备安装基础减震，建筑隔声等措施</w:t>
                  </w:r>
                </w:p>
              </w:tc>
              <w:tc>
                <w:tcPr>
                  <w:tcW w:w="773" w:type="dxa"/>
                  <w:noWrap/>
                  <w:vAlign w:val="center"/>
                </w:tcPr>
                <w:p w14:paraId="6DB4106F">
                  <w:pPr>
                    <w:spacing w:line="340" w:lineRule="exact"/>
                    <w:jc w:val="center"/>
                    <w:rPr>
                      <w:rFonts w:ascii="Times New Roman" w:hAnsi="Times New Roman"/>
                      <w:color w:val="auto"/>
                      <w:sz w:val="21"/>
                      <w:szCs w:val="21"/>
                      <w:highlight w:val="none"/>
                    </w:rPr>
                  </w:pPr>
                  <w:r>
                    <w:rPr>
                      <w:rFonts w:hint="eastAsia" w:ascii="宋体" w:hAnsi="宋体" w:eastAsia="宋体" w:cs="宋体"/>
                      <w:color w:val="auto"/>
                      <w:sz w:val="21"/>
                      <w:szCs w:val="21"/>
                      <w:highlight w:val="none"/>
                      <w:lang w:val="en-US" w:eastAsia="zh-CN"/>
                    </w:rPr>
                    <w:t>间歇</w:t>
                  </w:r>
                </w:p>
              </w:tc>
            </w:tr>
            <w:tr w14:paraId="320600E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602" w:type="dxa"/>
                  <w:vMerge w:val="restart"/>
                  <w:noWrap/>
                  <w:vAlign w:val="center"/>
                </w:tcPr>
                <w:p w14:paraId="3228EB22">
                  <w:pPr>
                    <w:wordWrap w:val="0"/>
                    <w:jc w:val="center"/>
                    <w:rPr>
                      <w:color w:val="auto"/>
                      <w:szCs w:val="21"/>
                      <w:highlight w:val="none"/>
                    </w:rPr>
                  </w:pPr>
                  <w:r>
                    <w:rPr>
                      <w:color w:val="auto"/>
                      <w:szCs w:val="21"/>
                      <w:highlight w:val="none"/>
                    </w:rPr>
                    <w:t>固废</w:t>
                  </w:r>
                </w:p>
              </w:tc>
              <w:tc>
                <w:tcPr>
                  <w:tcW w:w="508" w:type="dxa"/>
                  <w:noWrap/>
                  <w:vAlign w:val="center"/>
                </w:tcPr>
                <w:p w14:paraId="2559AD2F">
                  <w:pPr>
                    <w:pStyle w:val="112"/>
                    <w:spacing w:line="240" w:lineRule="auto"/>
                    <w:ind w:left="-105" w:leftChars="-50" w:right="-105" w:rightChars="-50" w:firstLine="0"/>
                    <w:jc w:val="center"/>
                    <w:rPr>
                      <w:rFonts w:hint="default" w:eastAsia="宋体"/>
                      <w:color w:val="auto"/>
                      <w:szCs w:val="21"/>
                      <w:highlight w:val="none"/>
                      <w:lang w:val="en-US" w:eastAsia="zh-CN"/>
                    </w:rPr>
                  </w:pPr>
                  <w:r>
                    <w:rPr>
                      <w:rFonts w:hint="eastAsia"/>
                      <w:color w:val="auto"/>
                      <w:szCs w:val="21"/>
                      <w:highlight w:val="none"/>
                      <w:lang w:val="en-US" w:eastAsia="zh-CN"/>
                    </w:rPr>
                    <w:t>S1</w:t>
                  </w:r>
                </w:p>
              </w:tc>
              <w:tc>
                <w:tcPr>
                  <w:tcW w:w="1177" w:type="dxa"/>
                  <w:noWrap/>
                  <w:vAlign w:val="center"/>
                </w:tcPr>
                <w:p w14:paraId="55AA1BDD">
                  <w:pPr>
                    <w:pStyle w:val="112"/>
                    <w:spacing w:line="240" w:lineRule="auto"/>
                    <w:ind w:left="-105" w:leftChars="-50" w:right="-105" w:rightChars="-50" w:firstLine="0"/>
                    <w:jc w:val="center"/>
                    <w:rPr>
                      <w:rFonts w:hint="eastAsia" w:eastAsia="宋体"/>
                      <w:color w:val="auto"/>
                      <w:szCs w:val="21"/>
                      <w:highlight w:val="none"/>
                      <w:lang w:val="en-US" w:eastAsia="zh-CN"/>
                    </w:rPr>
                  </w:pPr>
                  <w:r>
                    <w:rPr>
                      <w:rFonts w:hint="eastAsia"/>
                      <w:color w:val="auto"/>
                      <w:szCs w:val="21"/>
                      <w:highlight w:val="none"/>
                      <w:lang w:val="en-US" w:eastAsia="zh-CN"/>
                    </w:rPr>
                    <w:t>生产过程</w:t>
                  </w:r>
                </w:p>
              </w:tc>
              <w:tc>
                <w:tcPr>
                  <w:tcW w:w="1486" w:type="dxa"/>
                  <w:noWrap/>
                  <w:vAlign w:val="center"/>
                </w:tcPr>
                <w:p w14:paraId="3CFD5554">
                  <w:pPr>
                    <w:pStyle w:val="112"/>
                    <w:spacing w:line="240" w:lineRule="auto"/>
                    <w:ind w:left="-105" w:leftChars="-50" w:right="-105" w:rightChars="-50" w:firstLine="0"/>
                    <w:jc w:val="center"/>
                    <w:rPr>
                      <w:rStyle w:val="58"/>
                      <w:rFonts w:hint="default"/>
                      <w:color w:val="auto"/>
                      <w:sz w:val="21"/>
                      <w:szCs w:val="21"/>
                      <w:highlight w:val="none"/>
                      <w:lang w:val="en-US"/>
                    </w:rPr>
                  </w:pPr>
                  <w:r>
                    <w:rPr>
                      <w:rStyle w:val="58"/>
                      <w:rFonts w:hint="eastAsia"/>
                      <w:color w:val="auto"/>
                      <w:sz w:val="21"/>
                      <w:szCs w:val="21"/>
                      <w:highlight w:val="none"/>
                      <w:lang w:val="en-US"/>
                    </w:rPr>
                    <w:t>不合格品</w:t>
                  </w:r>
                </w:p>
              </w:tc>
              <w:tc>
                <w:tcPr>
                  <w:tcW w:w="3695" w:type="dxa"/>
                  <w:shd w:val="clear" w:color="auto" w:fill="auto"/>
                  <w:noWrap/>
                  <w:vAlign w:val="center"/>
                </w:tcPr>
                <w:p w14:paraId="486BA70A">
                  <w:pPr>
                    <w:pStyle w:val="112"/>
                    <w:spacing w:line="240" w:lineRule="auto"/>
                    <w:ind w:left="-105" w:leftChars="-50" w:right="-105" w:rightChars="-50" w:firstLine="0" w:firstLineChars="0"/>
                    <w:jc w:val="center"/>
                    <w:rPr>
                      <w:rFonts w:ascii="Times New Roman" w:hAnsi="Times New Roman" w:eastAsia="宋体" w:cs="Times New Roman"/>
                      <w:color w:val="auto"/>
                      <w:kern w:val="2"/>
                      <w:sz w:val="21"/>
                      <w:szCs w:val="21"/>
                      <w:highlight w:val="none"/>
                      <w:lang w:val="en-US" w:eastAsia="zh-CN" w:bidi="ar-SA"/>
                    </w:rPr>
                  </w:pPr>
                  <w:r>
                    <w:rPr>
                      <w:rStyle w:val="58"/>
                      <w:color w:val="auto"/>
                      <w:sz w:val="21"/>
                      <w:szCs w:val="21"/>
                      <w:highlight w:val="none"/>
                    </w:rPr>
                    <w:t>收集后外售</w:t>
                  </w:r>
                </w:p>
              </w:tc>
              <w:tc>
                <w:tcPr>
                  <w:tcW w:w="773" w:type="dxa"/>
                  <w:shd w:val="clear" w:color="auto" w:fill="auto"/>
                  <w:noWrap/>
                  <w:vAlign w:val="center"/>
                </w:tcPr>
                <w:p w14:paraId="410A28BF">
                  <w:pPr>
                    <w:wordWrap w:val="0"/>
                    <w:jc w:val="center"/>
                    <w:rPr>
                      <w:rFonts w:ascii="Times New Roman" w:hAnsi="Times New Roman" w:eastAsia="宋体" w:cs="Times New Roman"/>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间歇</w:t>
                  </w:r>
                </w:p>
              </w:tc>
            </w:tr>
            <w:tr w14:paraId="73D4765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602" w:type="dxa"/>
                  <w:vMerge w:val="continue"/>
                  <w:noWrap/>
                  <w:vAlign w:val="center"/>
                </w:tcPr>
                <w:p w14:paraId="506014A7">
                  <w:pPr>
                    <w:wordWrap w:val="0"/>
                    <w:jc w:val="center"/>
                    <w:rPr>
                      <w:color w:val="auto"/>
                      <w:szCs w:val="21"/>
                      <w:highlight w:val="none"/>
                    </w:rPr>
                  </w:pPr>
                </w:p>
              </w:tc>
              <w:tc>
                <w:tcPr>
                  <w:tcW w:w="508" w:type="dxa"/>
                  <w:vMerge w:val="restart"/>
                  <w:noWrap/>
                  <w:vAlign w:val="center"/>
                </w:tcPr>
                <w:p w14:paraId="4632AAA4">
                  <w:pPr>
                    <w:pStyle w:val="112"/>
                    <w:spacing w:line="240" w:lineRule="auto"/>
                    <w:ind w:left="-105" w:leftChars="-50" w:right="-105" w:rightChars="-50" w:firstLine="0"/>
                    <w:jc w:val="center"/>
                    <w:rPr>
                      <w:rFonts w:hint="eastAsia"/>
                      <w:color w:val="auto"/>
                      <w:szCs w:val="21"/>
                      <w:highlight w:val="none"/>
                      <w:lang w:val="en-US" w:eastAsia="zh-CN"/>
                    </w:rPr>
                  </w:pPr>
                  <w:r>
                    <w:rPr>
                      <w:rFonts w:hint="eastAsia"/>
                      <w:color w:val="auto"/>
                      <w:szCs w:val="21"/>
                      <w:highlight w:val="none"/>
                      <w:lang w:val="en-US" w:eastAsia="zh-CN"/>
                    </w:rPr>
                    <w:t>S2</w:t>
                  </w:r>
                </w:p>
              </w:tc>
              <w:tc>
                <w:tcPr>
                  <w:tcW w:w="1177" w:type="dxa"/>
                  <w:noWrap/>
                  <w:vAlign w:val="center"/>
                </w:tcPr>
                <w:p w14:paraId="747EFD2E">
                  <w:pPr>
                    <w:pStyle w:val="112"/>
                    <w:spacing w:line="240" w:lineRule="auto"/>
                    <w:ind w:left="-105" w:leftChars="-50" w:right="-105" w:rightChars="-50" w:firstLine="0"/>
                    <w:jc w:val="center"/>
                    <w:rPr>
                      <w:rFonts w:hint="default"/>
                      <w:color w:val="auto"/>
                      <w:szCs w:val="21"/>
                      <w:highlight w:val="none"/>
                      <w:lang w:val="en-US" w:eastAsia="zh-CN"/>
                    </w:rPr>
                  </w:pPr>
                  <w:r>
                    <w:rPr>
                      <w:rFonts w:hint="eastAsia"/>
                      <w:color w:val="auto"/>
                      <w:szCs w:val="21"/>
                      <w:highlight w:val="none"/>
                      <w:lang w:val="en-US" w:eastAsia="zh-CN"/>
                    </w:rPr>
                    <w:t>下料工序</w:t>
                  </w:r>
                </w:p>
              </w:tc>
              <w:tc>
                <w:tcPr>
                  <w:tcW w:w="1486" w:type="dxa"/>
                  <w:shd w:val="clear" w:color="auto" w:fill="auto"/>
                  <w:noWrap/>
                  <w:vAlign w:val="center"/>
                </w:tcPr>
                <w:p w14:paraId="553648B0">
                  <w:pPr>
                    <w:pStyle w:val="112"/>
                    <w:spacing w:line="240" w:lineRule="auto"/>
                    <w:ind w:left="-105" w:leftChars="-50" w:right="-105" w:rightChars="-5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Style w:val="58"/>
                      <w:rFonts w:hint="eastAsia"/>
                      <w:color w:val="auto"/>
                      <w:sz w:val="21"/>
                      <w:szCs w:val="21"/>
                      <w:highlight w:val="none"/>
                    </w:rPr>
                    <w:t>氧化铁屑</w:t>
                  </w:r>
                </w:p>
              </w:tc>
              <w:tc>
                <w:tcPr>
                  <w:tcW w:w="3695" w:type="dxa"/>
                  <w:shd w:val="clear" w:color="auto" w:fill="auto"/>
                  <w:noWrap/>
                  <w:vAlign w:val="center"/>
                </w:tcPr>
                <w:p w14:paraId="787D33E9">
                  <w:pPr>
                    <w:pStyle w:val="112"/>
                    <w:spacing w:line="240" w:lineRule="auto"/>
                    <w:ind w:left="-105" w:leftChars="-50" w:right="-105" w:rightChars="-50" w:firstLine="0" w:firstLineChars="0"/>
                    <w:jc w:val="center"/>
                    <w:rPr>
                      <w:rFonts w:ascii="Times New Roman" w:hAnsi="Times New Roman" w:eastAsia="宋体" w:cs="Times New Roman"/>
                      <w:color w:val="auto"/>
                      <w:kern w:val="2"/>
                      <w:sz w:val="21"/>
                      <w:szCs w:val="21"/>
                      <w:highlight w:val="none"/>
                      <w:lang w:val="en-US" w:eastAsia="zh-CN" w:bidi="ar-SA"/>
                    </w:rPr>
                  </w:pPr>
                  <w:r>
                    <w:rPr>
                      <w:rStyle w:val="58"/>
                      <w:color w:val="auto"/>
                      <w:sz w:val="21"/>
                      <w:szCs w:val="21"/>
                      <w:highlight w:val="none"/>
                    </w:rPr>
                    <w:t>收集后外售</w:t>
                  </w:r>
                </w:p>
              </w:tc>
              <w:tc>
                <w:tcPr>
                  <w:tcW w:w="773" w:type="dxa"/>
                  <w:shd w:val="clear" w:color="auto" w:fill="auto"/>
                  <w:noWrap/>
                  <w:vAlign w:val="center"/>
                </w:tcPr>
                <w:p w14:paraId="555C6B25">
                  <w:pPr>
                    <w:wordWrap w:val="0"/>
                    <w:jc w:val="center"/>
                    <w:rPr>
                      <w:rFonts w:ascii="Times New Roman" w:hAnsi="Times New Roman" w:eastAsia="宋体" w:cs="Times New Roman"/>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间歇</w:t>
                  </w:r>
                </w:p>
              </w:tc>
            </w:tr>
            <w:tr w14:paraId="3095339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602" w:type="dxa"/>
                  <w:vMerge w:val="continue"/>
                  <w:noWrap/>
                  <w:vAlign w:val="center"/>
                </w:tcPr>
                <w:p w14:paraId="71E969D5">
                  <w:pPr>
                    <w:wordWrap w:val="0"/>
                    <w:jc w:val="center"/>
                    <w:rPr>
                      <w:color w:val="auto"/>
                      <w:szCs w:val="21"/>
                      <w:highlight w:val="none"/>
                    </w:rPr>
                  </w:pPr>
                </w:p>
              </w:tc>
              <w:tc>
                <w:tcPr>
                  <w:tcW w:w="508" w:type="dxa"/>
                  <w:vMerge w:val="continue"/>
                  <w:noWrap/>
                  <w:vAlign w:val="center"/>
                </w:tcPr>
                <w:p w14:paraId="59740C89">
                  <w:pPr>
                    <w:pStyle w:val="112"/>
                    <w:spacing w:line="240" w:lineRule="auto"/>
                    <w:ind w:left="-105" w:leftChars="-50" w:right="-105" w:rightChars="-50" w:firstLine="0"/>
                    <w:jc w:val="center"/>
                    <w:rPr>
                      <w:rFonts w:hint="eastAsia"/>
                      <w:color w:val="auto"/>
                      <w:szCs w:val="21"/>
                      <w:highlight w:val="none"/>
                      <w:lang w:val="en-US" w:eastAsia="zh-CN"/>
                    </w:rPr>
                  </w:pPr>
                </w:p>
              </w:tc>
              <w:tc>
                <w:tcPr>
                  <w:tcW w:w="1177" w:type="dxa"/>
                  <w:noWrap/>
                  <w:vAlign w:val="center"/>
                </w:tcPr>
                <w:p w14:paraId="32B2B56E">
                  <w:pPr>
                    <w:pStyle w:val="112"/>
                    <w:spacing w:line="240" w:lineRule="auto"/>
                    <w:ind w:left="-105" w:leftChars="-50" w:right="-105" w:rightChars="-50" w:firstLine="0"/>
                    <w:jc w:val="center"/>
                    <w:rPr>
                      <w:rFonts w:hint="default" w:eastAsia="宋体"/>
                      <w:color w:val="auto"/>
                      <w:szCs w:val="21"/>
                      <w:highlight w:val="none"/>
                      <w:lang w:val="en-US" w:eastAsia="zh-CN"/>
                    </w:rPr>
                  </w:pPr>
                  <w:r>
                    <w:rPr>
                      <w:rFonts w:hint="eastAsia"/>
                      <w:color w:val="auto"/>
                      <w:szCs w:val="21"/>
                      <w:highlight w:val="none"/>
                      <w:lang w:val="en-US" w:eastAsia="zh-CN"/>
                    </w:rPr>
                    <w:t>打磨工序</w:t>
                  </w:r>
                </w:p>
              </w:tc>
              <w:tc>
                <w:tcPr>
                  <w:tcW w:w="1486" w:type="dxa"/>
                  <w:shd w:val="clear" w:color="auto" w:fill="auto"/>
                  <w:noWrap/>
                  <w:vAlign w:val="center"/>
                </w:tcPr>
                <w:p w14:paraId="70782D39">
                  <w:pPr>
                    <w:pStyle w:val="112"/>
                    <w:spacing w:line="240" w:lineRule="auto"/>
                    <w:ind w:left="-105" w:leftChars="-50" w:right="-105" w:rightChars="-5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Style w:val="58"/>
                      <w:rFonts w:hint="eastAsia"/>
                      <w:color w:val="auto"/>
                      <w:sz w:val="21"/>
                      <w:szCs w:val="21"/>
                      <w:highlight w:val="none"/>
                    </w:rPr>
                    <w:t>氧化铁屑</w:t>
                  </w:r>
                </w:p>
              </w:tc>
              <w:tc>
                <w:tcPr>
                  <w:tcW w:w="3695" w:type="dxa"/>
                  <w:shd w:val="clear" w:color="auto" w:fill="auto"/>
                  <w:noWrap/>
                  <w:vAlign w:val="center"/>
                </w:tcPr>
                <w:p w14:paraId="592EC76A">
                  <w:pPr>
                    <w:pStyle w:val="112"/>
                    <w:spacing w:line="240" w:lineRule="auto"/>
                    <w:ind w:left="-105" w:leftChars="-50" w:right="-105" w:rightChars="-50" w:firstLine="0" w:firstLineChars="0"/>
                    <w:jc w:val="center"/>
                    <w:rPr>
                      <w:rFonts w:ascii="Times New Roman" w:hAnsi="Times New Roman" w:eastAsia="宋体" w:cs="Times New Roman"/>
                      <w:color w:val="auto"/>
                      <w:kern w:val="2"/>
                      <w:sz w:val="21"/>
                      <w:szCs w:val="21"/>
                      <w:highlight w:val="none"/>
                      <w:lang w:val="en-US" w:eastAsia="zh-CN" w:bidi="ar-SA"/>
                    </w:rPr>
                  </w:pPr>
                  <w:r>
                    <w:rPr>
                      <w:rStyle w:val="58"/>
                      <w:color w:val="auto"/>
                      <w:sz w:val="21"/>
                      <w:szCs w:val="21"/>
                      <w:highlight w:val="none"/>
                    </w:rPr>
                    <w:t>收集后外售</w:t>
                  </w:r>
                </w:p>
              </w:tc>
              <w:tc>
                <w:tcPr>
                  <w:tcW w:w="773" w:type="dxa"/>
                  <w:shd w:val="clear" w:color="auto" w:fill="auto"/>
                  <w:noWrap/>
                  <w:vAlign w:val="center"/>
                </w:tcPr>
                <w:p w14:paraId="52B4DB9E">
                  <w:pPr>
                    <w:wordWrap w:val="0"/>
                    <w:jc w:val="center"/>
                    <w:rPr>
                      <w:rFonts w:ascii="Times New Roman" w:hAnsi="Times New Roman" w:eastAsia="宋体" w:cs="Times New Roman"/>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间歇</w:t>
                  </w:r>
                </w:p>
              </w:tc>
            </w:tr>
            <w:tr w14:paraId="662E000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602" w:type="dxa"/>
                  <w:vMerge w:val="continue"/>
                  <w:noWrap/>
                  <w:vAlign w:val="center"/>
                </w:tcPr>
                <w:p w14:paraId="3238A8BD">
                  <w:pPr>
                    <w:wordWrap w:val="0"/>
                    <w:jc w:val="center"/>
                    <w:rPr>
                      <w:color w:val="auto"/>
                      <w:szCs w:val="21"/>
                      <w:highlight w:val="none"/>
                    </w:rPr>
                  </w:pPr>
                </w:p>
              </w:tc>
              <w:tc>
                <w:tcPr>
                  <w:tcW w:w="508" w:type="dxa"/>
                  <w:vMerge w:val="continue"/>
                  <w:noWrap/>
                  <w:vAlign w:val="center"/>
                </w:tcPr>
                <w:p w14:paraId="0A9F948D">
                  <w:pPr>
                    <w:pStyle w:val="112"/>
                    <w:spacing w:line="240" w:lineRule="auto"/>
                    <w:ind w:left="-105" w:leftChars="-50" w:right="-105" w:rightChars="-50" w:firstLine="0"/>
                    <w:jc w:val="center"/>
                    <w:rPr>
                      <w:rFonts w:hint="default" w:eastAsia="宋体"/>
                      <w:color w:val="auto"/>
                      <w:szCs w:val="21"/>
                      <w:highlight w:val="none"/>
                      <w:lang w:val="en-US" w:eastAsia="zh-CN"/>
                    </w:rPr>
                  </w:pPr>
                </w:p>
              </w:tc>
              <w:tc>
                <w:tcPr>
                  <w:tcW w:w="1177" w:type="dxa"/>
                  <w:vMerge w:val="restart"/>
                  <w:noWrap/>
                  <w:vAlign w:val="center"/>
                </w:tcPr>
                <w:p w14:paraId="17A6BB8A">
                  <w:pPr>
                    <w:pStyle w:val="112"/>
                    <w:spacing w:line="240" w:lineRule="auto"/>
                    <w:ind w:left="-105" w:leftChars="-50" w:right="-105" w:rightChars="-50" w:firstLine="0"/>
                    <w:jc w:val="center"/>
                    <w:rPr>
                      <w:rStyle w:val="58"/>
                      <w:color w:val="auto"/>
                      <w:sz w:val="21"/>
                      <w:szCs w:val="21"/>
                      <w:highlight w:val="none"/>
                    </w:rPr>
                  </w:pPr>
                  <w:r>
                    <w:rPr>
                      <w:rFonts w:hint="eastAsia"/>
                      <w:color w:val="auto"/>
                      <w:szCs w:val="21"/>
                      <w:highlight w:val="none"/>
                    </w:rPr>
                    <w:t>抛丸工序</w:t>
                  </w:r>
                </w:p>
              </w:tc>
              <w:tc>
                <w:tcPr>
                  <w:tcW w:w="1486" w:type="dxa"/>
                  <w:noWrap/>
                  <w:vAlign w:val="center"/>
                </w:tcPr>
                <w:p w14:paraId="6255A522">
                  <w:pPr>
                    <w:pStyle w:val="112"/>
                    <w:spacing w:line="240" w:lineRule="auto"/>
                    <w:ind w:left="-105" w:leftChars="-50" w:right="-105" w:rightChars="-50" w:firstLine="0"/>
                    <w:jc w:val="center"/>
                    <w:rPr>
                      <w:rStyle w:val="58"/>
                      <w:color w:val="auto"/>
                      <w:sz w:val="21"/>
                      <w:szCs w:val="21"/>
                      <w:highlight w:val="none"/>
                    </w:rPr>
                  </w:pPr>
                  <w:r>
                    <w:rPr>
                      <w:rStyle w:val="58"/>
                      <w:rFonts w:hint="eastAsia"/>
                      <w:color w:val="auto"/>
                      <w:sz w:val="21"/>
                      <w:szCs w:val="21"/>
                      <w:highlight w:val="none"/>
                    </w:rPr>
                    <w:t>氧化铁屑</w:t>
                  </w:r>
                </w:p>
              </w:tc>
              <w:tc>
                <w:tcPr>
                  <w:tcW w:w="3695" w:type="dxa"/>
                  <w:noWrap/>
                  <w:vAlign w:val="center"/>
                </w:tcPr>
                <w:p w14:paraId="3BD6682A">
                  <w:pPr>
                    <w:pStyle w:val="112"/>
                    <w:spacing w:line="240" w:lineRule="auto"/>
                    <w:ind w:left="-105" w:leftChars="-50" w:right="-105" w:rightChars="-50" w:firstLine="0"/>
                    <w:jc w:val="center"/>
                    <w:rPr>
                      <w:rStyle w:val="58"/>
                      <w:color w:val="auto"/>
                      <w:sz w:val="21"/>
                      <w:szCs w:val="21"/>
                      <w:highlight w:val="none"/>
                    </w:rPr>
                  </w:pPr>
                  <w:r>
                    <w:rPr>
                      <w:rStyle w:val="58"/>
                      <w:color w:val="auto"/>
                      <w:sz w:val="21"/>
                      <w:szCs w:val="21"/>
                      <w:highlight w:val="none"/>
                    </w:rPr>
                    <w:t>收集后外售</w:t>
                  </w:r>
                </w:p>
              </w:tc>
              <w:tc>
                <w:tcPr>
                  <w:tcW w:w="773" w:type="dxa"/>
                  <w:noWrap/>
                  <w:vAlign w:val="center"/>
                </w:tcPr>
                <w:p w14:paraId="4B6484B2">
                  <w:pPr>
                    <w:wordWrap w:val="0"/>
                    <w:jc w:val="center"/>
                    <w:rPr>
                      <w:color w:val="auto"/>
                      <w:szCs w:val="21"/>
                      <w:highlight w:val="none"/>
                    </w:rPr>
                  </w:pPr>
                  <w:r>
                    <w:rPr>
                      <w:rFonts w:hint="eastAsia" w:ascii="宋体" w:hAnsi="宋体" w:eastAsia="宋体" w:cs="宋体"/>
                      <w:color w:val="auto"/>
                      <w:sz w:val="21"/>
                      <w:szCs w:val="21"/>
                      <w:highlight w:val="none"/>
                      <w:lang w:val="en-US" w:eastAsia="zh-CN"/>
                    </w:rPr>
                    <w:t>间歇</w:t>
                  </w:r>
                </w:p>
              </w:tc>
            </w:tr>
            <w:tr w14:paraId="695FBE7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602" w:type="dxa"/>
                  <w:vMerge w:val="continue"/>
                  <w:noWrap/>
                  <w:vAlign w:val="center"/>
                </w:tcPr>
                <w:p w14:paraId="3FB19572">
                  <w:pPr>
                    <w:wordWrap w:val="0"/>
                    <w:jc w:val="center"/>
                    <w:rPr>
                      <w:color w:val="auto"/>
                      <w:szCs w:val="21"/>
                      <w:highlight w:val="none"/>
                    </w:rPr>
                  </w:pPr>
                </w:p>
              </w:tc>
              <w:tc>
                <w:tcPr>
                  <w:tcW w:w="508" w:type="dxa"/>
                  <w:noWrap/>
                  <w:vAlign w:val="center"/>
                </w:tcPr>
                <w:p w14:paraId="58DB5E01">
                  <w:pPr>
                    <w:pStyle w:val="112"/>
                    <w:spacing w:line="240" w:lineRule="auto"/>
                    <w:ind w:left="-105" w:leftChars="-50" w:right="-105" w:rightChars="-50" w:firstLine="0"/>
                    <w:jc w:val="center"/>
                    <w:rPr>
                      <w:rFonts w:hint="default" w:eastAsia="宋体"/>
                      <w:color w:val="auto"/>
                      <w:szCs w:val="21"/>
                      <w:highlight w:val="none"/>
                      <w:lang w:val="en-US" w:eastAsia="zh-CN"/>
                    </w:rPr>
                  </w:pPr>
                  <w:r>
                    <w:rPr>
                      <w:rFonts w:hint="eastAsia"/>
                      <w:color w:val="auto"/>
                      <w:szCs w:val="21"/>
                      <w:highlight w:val="none"/>
                      <w:lang w:val="en-US" w:eastAsia="zh-CN"/>
                    </w:rPr>
                    <w:t>S3</w:t>
                  </w:r>
                </w:p>
              </w:tc>
              <w:tc>
                <w:tcPr>
                  <w:tcW w:w="1177" w:type="dxa"/>
                  <w:vMerge w:val="continue"/>
                  <w:noWrap/>
                  <w:vAlign w:val="center"/>
                </w:tcPr>
                <w:p w14:paraId="063AE024">
                  <w:pPr>
                    <w:pStyle w:val="112"/>
                    <w:spacing w:line="240" w:lineRule="auto"/>
                    <w:ind w:left="-105" w:leftChars="-50" w:right="-105" w:rightChars="-50" w:firstLine="0"/>
                    <w:jc w:val="center"/>
                    <w:rPr>
                      <w:color w:val="auto"/>
                      <w:szCs w:val="21"/>
                      <w:highlight w:val="none"/>
                    </w:rPr>
                  </w:pPr>
                </w:p>
              </w:tc>
              <w:tc>
                <w:tcPr>
                  <w:tcW w:w="1486" w:type="dxa"/>
                  <w:noWrap/>
                  <w:vAlign w:val="center"/>
                </w:tcPr>
                <w:p w14:paraId="38CBA6BA">
                  <w:pPr>
                    <w:pStyle w:val="112"/>
                    <w:spacing w:line="240" w:lineRule="auto"/>
                    <w:ind w:left="-105" w:leftChars="-50" w:right="-105" w:rightChars="-50" w:firstLine="0"/>
                    <w:jc w:val="center"/>
                    <w:rPr>
                      <w:rStyle w:val="58"/>
                      <w:color w:val="auto"/>
                      <w:sz w:val="21"/>
                      <w:szCs w:val="21"/>
                      <w:highlight w:val="none"/>
                    </w:rPr>
                  </w:pPr>
                  <w:r>
                    <w:rPr>
                      <w:rStyle w:val="58"/>
                      <w:rFonts w:hint="eastAsia"/>
                      <w:color w:val="auto"/>
                      <w:sz w:val="21"/>
                      <w:szCs w:val="21"/>
                      <w:highlight w:val="none"/>
                    </w:rPr>
                    <w:t>废钢丸</w:t>
                  </w:r>
                </w:p>
              </w:tc>
              <w:tc>
                <w:tcPr>
                  <w:tcW w:w="3695" w:type="dxa"/>
                  <w:noWrap/>
                  <w:vAlign w:val="center"/>
                </w:tcPr>
                <w:p w14:paraId="3F157F6B">
                  <w:pPr>
                    <w:pStyle w:val="112"/>
                    <w:spacing w:line="240" w:lineRule="auto"/>
                    <w:ind w:left="-105" w:leftChars="-50" w:right="-105" w:rightChars="-50" w:firstLine="0"/>
                    <w:jc w:val="center"/>
                    <w:rPr>
                      <w:rStyle w:val="58"/>
                      <w:color w:val="auto"/>
                      <w:sz w:val="21"/>
                      <w:szCs w:val="21"/>
                      <w:highlight w:val="none"/>
                    </w:rPr>
                  </w:pPr>
                  <w:r>
                    <w:rPr>
                      <w:rStyle w:val="58"/>
                      <w:color w:val="auto"/>
                      <w:sz w:val="21"/>
                      <w:szCs w:val="21"/>
                      <w:highlight w:val="none"/>
                    </w:rPr>
                    <w:t>收集后外售</w:t>
                  </w:r>
                </w:p>
              </w:tc>
              <w:tc>
                <w:tcPr>
                  <w:tcW w:w="773" w:type="dxa"/>
                  <w:noWrap/>
                  <w:vAlign w:val="center"/>
                </w:tcPr>
                <w:p w14:paraId="55C0EE5E">
                  <w:pPr>
                    <w:wordWrap w:val="0"/>
                    <w:jc w:val="center"/>
                    <w:rPr>
                      <w:color w:val="auto"/>
                      <w:szCs w:val="21"/>
                      <w:highlight w:val="none"/>
                    </w:rPr>
                  </w:pPr>
                  <w:r>
                    <w:rPr>
                      <w:rFonts w:hint="eastAsia" w:ascii="宋体" w:hAnsi="宋体" w:eastAsia="宋体" w:cs="宋体"/>
                      <w:color w:val="auto"/>
                      <w:sz w:val="21"/>
                      <w:szCs w:val="21"/>
                      <w:highlight w:val="none"/>
                      <w:lang w:val="en-US" w:eastAsia="zh-CN"/>
                    </w:rPr>
                    <w:t>间歇</w:t>
                  </w:r>
                </w:p>
              </w:tc>
            </w:tr>
            <w:tr w14:paraId="0BBA847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602" w:type="dxa"/>
                  <w:vMerge w:val="continue"/>
                  <w:noWrap/>
                  <w:vAlign w:val="center"/>
                </w:tcPr>
                <w:p w14:paraId="72C605FC">
                  <w:pPr>
                    <w:wordWrap w:val="0"/>
                    <w:jc w:val="center"/>
                    <w:rPr>
                      <w:color w:val="auto"/>
                      <w:szCs w:val="21"/>
                      <w:highlight w:val="none"/>
                    </w:rPr>
                  </w:pPr>
                </w:p>
              </w:tc>
              <w:tc>
                <w:tcPr>
                  <w:tcW w:w="508" w:type="dxa"/>
                  <w:shd w:val="clear" w:color="auto" w:fill="auto"/>
                  <w:noWrap/>
                  <w:vAlign w:val="center"/>
                </w:tcPr>
                <w:p w14:paraId="3AE5A721">
                  <w:pPr>
                    <w:widowControl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olor w:val="auto"/>
                      <w:sz w:val="21"/>
                      <w:szCs w:val="21"/>
                      <w:highlight w:val="none"/>
                      <w:lang w:val="en-US" w:eastAsia="zh-CN"/>
                    </w:rPr>
                    <w:t>S4</w:t>
                  </w:r>
                </w:p>
              </w:tc>
              <w:tc>
                <w:tcPr>
                  <w:tcW w:w="1177" w:type="dxa"/>
                  <w:vMerge w:val="restart"/>
                  <w:noWrap/>
                  <w:vAlign w:val="center"/>
                </w:tcPr>
                <w:p w14:paraId="55710CF7">
                  <w:pPr>
                    <w:wordWrap w:val="0"/>
                    <w:jc w:val="center"/>
                    <w:rPr>
                      <w:color w:val="auto"/>
                      <w:szCs w:val="21"/>
                      <w:highlight w:val="none"/>
                    </w:rPr>
                  </w:pPr>
                  <w:r>
                    <w:rPr>
                      <w:rFonts w:hint="eastAsia" w:ascii="Times New Roman" w:hAnsi="Times New Roman" w:eastAsia="宋体" w:cs="Times New Roman"/>
                      <w:color w:val="auto"/>
                      <w:kern w:val="2"/>
                      <w:sz w:val="21"/>
                      <w:szCs w:val="21"/>
                      <w:highlight w:val="none"/>
                      <w:lang w:val="en-US" w:eastAsia="zh-CN" w:bidi="ar-SA"/>
                    </w:rPr>
                    <w:t>设备维修</w:t>
                  </w:r>
                </w:p>
              </w:tc>
              <w:tc>
                <w:tcPr>
                  <w:tcW w:w="1486" w:type="dxa"/>
                  <w:noWrap/>
                  <w:vAlign w:val="center"/>
                </w:tcPr>
                <w:p w14:paraId="4DA9D317">
                  <w:pPr>
                    <w:wordWrap w:val="0"/>
                    <w:jc w:val="center"/>
                    <w:rPr>
                      <w:color w:val="auto"/>
                      <w:szCs w:val="21"/>
                      <w:highlight w:val="none"/>
                    </w:rPr>
                  </w:pPr>
                  <w:r>
                    <w:rPr>
                      <w:rFonts w:hint="eastAsia"/>
                      <w:color w:val="auto"/>
                      <w:szCs w:val="21"/>
                      <w:highlight w:val="none"/>
                    </w:rPr>
                    <w:t>废润滑油</w:t>
                  </w:r>
                </w:p>
              </w:tc>
              <w:tc>
                <w:tcPr>
                  <w:tcW w:w="3695" w:type="dxa"/>
                  <w:vMerge w:val="restart"/>
                  <w:noWrap/>
                  <w:vAlign w:val="center"/>
                </w:tcPr>
                <w:p w14:paraId="4729CBD2">
                  <w:pPr>
                    <w:wordWrap w:val="0"/>
                    <w:jc w:val="center"/>
                    <w:rPr>
                      <w:color w:val="auto"/>
                      <w:szCs w:val="21"/>
                      <w:highlight w:val="none"/>
                    </w:rPr>
                  </w:pPr>
                  <w:r>
                    <w:rPr>
                      <w:rFonts w:hint="eastAsia"/>
                      <w:color w:val="auto"/>
                      <w:szCs w:val="21"/>
                      <w:highlight w:val="none"/>
                    </w:rPr>
                    <w:t>采用专用密闭容器收集，暂存于危废间，定期交由有资质单位处置</w:t>
                  </w:r>
                </w:p>
              </w:tc>
              <w:tc>
                <w:tcPr>
                  <w:tcW w:w="773" w:type="dxa"/>
                  <w:noWrap/>
                  <w:vAlign w:val="center"/>
                </w:tcPr>
                <w:p w14:paraId="3D890014">
                  <w:pPr>
                    <w:wordWrap w:val="0"/>
                    <w:jc w:val="center"/>
                    <w:rPr>
                      <w:color w:val="auto"/>
                      <w:szCs w:val="21"/>
                      <w:highlight w:val="none"/>
                    </w:rPr>
                  </w:pPr>
                  <w:r>
                    <w:rPr>
                      <w:rFonts w:hint="eastAsia" w:ascii="宋体" w:hAnsi="宋体" w:eastAsia="宋体" w:cs="宋体"/>
                      <w:color w:val="auto"/>
                      <w:sz w:val="21"/>
                      <w:szCs w:val="21"/>
                      <w:highlight w:val="none"/>
                      <w:lang w:val="en-US" w:eastAsia="zh-CN"/>
                    </w:rPr>
                    <w:t>间歇</w:t>
                  </w:r>
                </w:p>
              </w:tc>
            </w:tr>
            <w:tr w14:paraId="3AEB55D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602" w:type="dxa"/>
                  <w:vMerge w:val="continue"/>
                  <w:noWrap/>
                  <w:vAlign w:val="center"/>
                </w:tcPr>
                <w:p w14:paraId="7EDBDE42">
                  <w:pPr>
                    <w:wordWrap w:val="0"/>
                    <w:jc w:val="center"/>
                    <w:rPr>
                      <w:color w:val="auto"/>
                      <w:szCs w:val="21"/>
                      <w:highlight w:val="none"/>
                    </w:rPr>
                  </w:pPr>
                </w:p>
              </w:tc>
              <w:tc>
                <w:tcPr>
                  <w:tcW w:w="508" w:type="dxa"/>
                  <w:shd w:val="clear" w:color="auto" w:fill="auto"/>
                  <w:noWrap/>
                  <w:vAlign w:val="center"/>
                </w:tcPr>
                <w:p w14:paraId="56E9EF57">
                  <w:pPr>
                    <w:widowControl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S</w:t>
                  </w:r>
                  <w:r>
                    <w:rPr>
                      <w:rFonts w:hint="eastAsia" w:ascii="Times New Roman" w:hAnsi="Times New Roman" w:cs="Times New Roman"/>
                      <w:color w:val="auto"/>
                      <w:sz w:val="21"/>
                      <w:szCs w:val="21"/>
                      <w:highlight w:val="none"/>
                      <w:vertAlign w:val="baseline"/>
                      <w:lang w:val="en-US" w:eastAsia="zh-CN"/>
                    </w:rPr>
                    <w:t>5</w:t>
                  </w:r>
                </w:p>
              </w:tc>
              <w:tc>
                <w:tcPr>
                  <w:tcW w:w="1177" w:type="dxa"/>
                  <w:vMerge w:val="continue"/>
                  <w:noWrap/>
                  <w:vAlign w:val="center"/>
                </w:tcPr>
                <w:p w14:paraId="203CC116">
                  <w:pPr>
                    <w:wordWrap w:val="0"/>
                    <w:jc w:val="center"/>
                    <w:rPr>
                      <w:rStyle w:val="58"/>
                      <w:color w:val="auto"/>
                      <w:sz w:val="21"/>
                      <w:szCs w:val="21"/>
                      <w:highlight w:val="none"/>
                    </w:rPr>
                  </w:pPr>
                </w:p>
              </w:tc>
              <w:tc>
                <w:tcPr>
                  <w:tcW w:w="1486" w:type="dxa"/>
                  <w:noWrap/>
                  <w:vAlign w:val="center"/>
                </w:tcPr>
                <w:p w14:paraId="3A4E51B0">
                  <w:pPr>
                    <w:wordWrap w:val="0"/>
                    <w:jc w:val="center"/>
                    <w:rPr>
                      <w:rFonts w:hint="eastAsia" w:eastAsia="宋体"/>
                      <w:color w:val="auto"/>
                      <w:szCs w:val="21"/>
                      <w:highlight w:val="none"/>
                      <w:lang w:val="en-US" w:eastAsia="zh-CN"/>
                    </w:rPr>
                  </w:pPr>
                  <w:r>
                    <w:rPr>
                      <w:rFonts w:hint="eastAsia"/>
                      <w:color w:val="auto"/>
                      <w:szCs w:val="21"/>
                      <w:highlight w:val="none"/>
                      <w:lang w:val="en-US" w:eastAsia="zh-CN"/>
                    </w:rPr>
                    <w:t>废液压油</w:t>
                  </w:r>
                </w:p>
              </w:tc>
              <w:tc>
                <w:tcPr>
                  <w:tcW w:w="3695" w:type="dxa"/>
                  <w:vMerge w:val="continue"/>
                  <w:noWrap/>
                  <w:vAlign w:val="center"/>
                </w:tcPr>
                <w:p w14:paraId="61D771C1">
                  <w:pPr>
                    <w:wordWrap w:val="0"/>
                    <w:jc w:val="center"/>
                    <w:rPr>
                      <w:rFonts w:hint="eastAsia"/>
                      <w:color w:val="auto"/>
                      <w:szCs w:val="21"/>
                      <w:highlight w:val="none"/>
                    </w:rPr>
                  </w:pPr>
                </w:p>
              </w:tc>
              <w:tc>
                <w:tcPr>
                  <w:tcW w:w="773" w:type="dxa"/>
                  <w:noWrap/>
                  <w:vAlign w:val="center"/>
                </w:tcPr>
                <w:p w14:paraId="38296C49">
                  <w:pPr>
                    <w:wordWrap w:val="0"/>
                    <w:jc w:val="center"/>
                    <w:rPr>
                      <w:color w:val="auto"/>
                      <w:szCs w:val="21"/>
                      <w:highlight w:val="none"/>
                    </w:rPr>
                  </w:pPr>
                  <w:r>
                    <w:rPr>
                      <w:rFonts w:hint="eastAsia" w:ascii="宋体" w:hAnsi="宋体" w:eastAsia="宋体" w:cs="宋体"/>
                      <w:color w:val="auto"/>
                      <w:sz w:val="21"/>
                      <w:szCs w:val="21"/>
                      <w:highlight w:val="none"/>
                      <w:lang w:val="en-US" w:eastAsia="zh-CN"/>
                    </w:rPr>
                    <w:t>间歇</w:t>
                  </w:r>
                </w:p>
              </w:tc>
            </w:tr>
            <w:tr w14:paraId="16F3763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602" w:type="dxa"/>
                  <w:vMerge w:val="continue"/>
                  <w:noWrap/>
                  <w:vAlign w:val="center"/>
                </w:tcPr>
                <w:p w14:paraId="733E3A49">
                  <w:pPr>
                    <w:wordWrap w:val="0"/>
                    <w:jc w:val="center"/>
                    <w:rPr>
                      <w:color w:val="auto"/>
                      <w:szCs w:val="21"/>
                      <w:highlight w:val="none"/>
                    </w:rPr>
                  </w:pPr>
                </w:p>
              </w:tc>
              <w:tc>
                <w:tcPr>
                  <w:tcW w:w="508" w:type="dxa"/>
                  <w:shd w:val="clear" w:color="auto" w:fill="auto"/>
                  <w:noWrap/>
                  <w:vAlign w:val="center"/>
                </w:tcPr>
                <w:p w14:paraId="0102E76B">
                  <w:pPr>
                    <w:widowControl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S6</w:t>
                  </w:r>
                </w:p>
              </w:tc>
              <w:tc>
                <w:tcPr>
                  <w:tcW w:w="1177" w:type="dxa"/>
                  <w:vMerge w:val="continue"/>
                  <w:noWrap/>
                  <w:vAlign w:val="center"/>
                </w:tcPr>
                <w:p w14:paraId="61624B28">
                  <w:pPr>
                    <w:wordWrap w:val="0"/>
                    <w:jc w:val="center"/>
                    <w:rPr>
                      <w:rStyle w:val="58"/>
                      <w:color w:val="auto"/>
                      <w:sz w:val="21"/>
                      <w:szCs w:val="21"/>
                      <w:highlight w:val="none"/>
                    </w:rPr>
                  </w:pPr>
                </w:p>
              </w:tc>
              <w:tc>
                <w:tcPr>
                  <w:tcW w:w="1486" w:type="dxa"/>
                  <w:noWrap/>
                  <w:vAlign w:val="center"/>
                </w:tcPr>
                <w:p w14:paraId="6CA12FAB">
                  <w:pPr>
                    <w:wordWrap w:val="0"/>
                    <w:jc w:val="center"/>
                    <w:rPr>
                      <w:rStyle w:val="58"/>
                      <w:color w:val="auto"/>
                      <w:sz w:val="21"/>
                      <w:szCs w:val="21"/>
                      <w:highlight w:val="none"/>
                    </w:rPr>
                  </w:pPr>
                  <w:r>
                    <w:rPr>
                      <w:rFonts w:hint="eastAsia"/>
                      <w:color w:val="auto"/>
                      <w:szCs w:val="21"/>
                      <w:highlight w:val="none"/>
                    </w:rPr>
                    <w:t>废油桶</w:t>
                  </w:r>
                </w:p>
              </w:tc>
              <w:tc>
                <w:tcPr>
                  <w:tcW w:w="3695" w:type="dxa"/>
                  <w:noWrap/>
                  <w:vAlign w:val="center"/>
                </w:tcPr>
                <w:p w14:paraId="23B71492">
                  <w:pPr>
                    <w:wordWrap w:val="0"/>
                    <w:jc w:val="center"/>
                    <w:rPr>
                      <w:rStyle w:val="58"/>
                      <w:color w:val="auto"/>
                      <w:sz w:val="21"/>
                      <w:szCs w:val="21"/>
                      <w:highlight w:val="none"/>
                    </w:rPr>
                  </w:pPr>
                  <w:r>
                    <w:rPr>
                      <w:rFonts w:hint="eastAsia"/>
                      <w:color w:val="auto"/>
                      <w:szCs w:val="21"/>
                      <w:highlight w:val="none"/>
                    </w:rPr>
                    <w:t>原盖封存，暂存于危废间，交由有资质单位处置</w:t>
                  </w:r>
                </w:p>
              </w:tc>
              <w:tc>
                <w:tcPr>
                  <w:tcW w:w="773" w:type="dxa"/>
                  <w:noWrap/>
                  <w:vAlign w:val="center"/>
                </w:tcPr>
                <w:p w14:paraId="37B67808">
                  <w:pPr>
                    <w:wordWrap w:val="0"/>
                    <w:jc w:val="center"/>
                    <w:rPr>
                      <w:color w:val="auto"/>
                      <w:szCs w:val="21"/>
                      <w:highlight w:val="none"/>
                    </w:rPr>
                  </w:pPr>
                  <w:r>
                    <w:rPr>
                      <w:rFonts w:hint="eastAsia" w:ascii="宋体" w:hAnsi="宋体" w:eastAsia="宋体" w:cs="宋体"/>
                      <w:color w:val="auto"/>
                      <w:sz w:val="21"/>
                      <w:szCs w:val="21"/>
                      <w:highlight w:val="none"/>
                      <w:lang w:val="en-US" w:eastAsia="zh-CN"/>
                    </w:rPr>
                    <w:t>间歇</w:t>
                  </w:r>
                </w:p>
              </w:tc>
            </w:tr>
            <w:tr w14:paraId="60BE702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602" w:type="dxa"/>
                  <w:vMerge w:val="continue"/>
                  <w:noWrap/>
                  <w:vAlign w:val="center"/>
                </w:tcPr>
                <w:p w14:paraId="315D7F94">
                  <w:pPr>
                    <w:wordWrap w:val="0"/>
                    <w:jc w:val="center"/>
                    <w:rPr>
                      <w:color w:val="auto"/>
                      <w:szCs w:val="21"/>
                      <w:highlight w:val="none"/>
                    </w:rPr>
                  </w:pPr>
                </w:p>
              </w:tc>
              <w:tc>
                <w:tcPr>
                  <w:tcW w:w="508" w:type="dxa"/>
                  <w:shd w:val="clear" w:color="auto" w:fill="auto"/>
                  <w:noWrap/>
                  <w:vAlign w:val="center"/>
                </w:tcPr>
                <w:p w14:paraId="16102D15">
                  <w:pPr>
                    <w:widowControl w:val="0"/>
                    <w:spacing w:line="240" w:lineRule="auto"/>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rPr>
                    <w:t>S</w:t>
                  </w:r>
                  <w:r>
                    <w:rPr>
                      <w:rFonts w:hint="eastAsia" w:ascii="Times New Roman" w:hAnsi="Times New Roman" w:cs="Times New Roman"/>
                      <w:color w:val="auto"/>
                      <w:sz w:val="21"/>
                      <w:szCs w:val="21"/>
                      <w:highlight w:val="none"/>
                      <w:vertAlign w:val="baseline"/>
                      <w:lang w:val="en-US" w:eastAsia="zh-CN"/>
                    </w:rPr>
                    <w:t>7</w:t>
                  </w:r>
                </w:p>
              </w:tc>
              <w:tc>
                <w:tcPr>
                  <w:tcW w:w="1177" w:type="dxa"/>
                  <w:vMerge w:val="continue"/>
                  <w:noWrap/>
                  <w:vAlign w:val="center"/>
                </w:tcPr>
                <w:p w14:paraId="1AEDA473">
                  <w:pPr>
                    <w:wordWrap w:val="0"/>
                    <w:jc w:val="center"/>
                    <w:rPr>
                      <w:rStyle w:val="58"/>
                      <w:color w:val="auto"/>
                      <w:sz w:val="21"/>
                      <w:szCs w:val="21"/>
                      <w:highlight w:val="none"/>
                    </w:rPr>
                  </w:pPr>
                </w:p>
              </w:tc>
              <w:tc>
                <w:tcPr>
                  <w:tcW w:w="1486" w:type="dxa"/>
                  <w:noWrap/>
                  <w:vAlign w:val="center"/>
                </w:tcPr>
                <w:p w14:paraId="06F6F5D2">
                  <w:pPr>
                    <w:wordWrap w:val="0"/>
                    <w:jc w:val="center"/>
                    <w:rPr>
                      <w:rFonts w:hint="eastAsia"/>
                      <w:color w:val="auto"/>
                      <w:szCs w:val="21"/>
                      <w:highlight w:val="none"/>
                    </w:rPr>
                  </w:pPr>
                  <w:r>
                    <w:rPr>
                      <w:color w:val="auto"/>
                      <w:szCs w:val="21"/>
                    </w:rPr>
                    <w:t>废含油抹布</w:t>
                  </w:r>
                </w:p>
              </w:tc>
              <w:tc>
                <w:tcPr>
                  <w:tcW w:w="3695" w:type="dxa"/>
                  <w:noWrap/>
                  <w:vAlign w:val="center"/>
                </w:tcPr>
                <w:p w14:paraId="45A92190">
                  <w:pPr>
                    <w:wordWrap w:val="0"/>
                    <w:jc w:val="center"/>
                    <w:rPr>
                      <w:rFonts w:hint="eastAsia"/>
                      <w:color w:val="auto"/>
                      <w:szCs w:val="21"/>
                      <w:highlight w:val="none"/>
                    </w:rPr>
                  </w:pPr>
                  <w:r>
                    <w:rPr>
                      <w:rFonts w:hint="eastAsia"/>
                      <w:color w:val="auto"/>
                      <w:szCs w:val="21"/>
                      <w:highlight w:val="none"/>
                    </w:rPr>
                    <w:t>暂存于危废间，定期交由有资质单位处置</w:t>
                  </w:r>
                </w:p>
              </w:tc>
              <w:tc>
                <w:tcPr>
                  <w:tcW w:w="773" w:type="dxa"/>
                  <w:noWrap/>
                  <w:vAlign w:val="center"/>
                </w:tcPr>
                <w:p w14:paraId="4D6D2557">
                  <w:pPr>
                    <w:wordWrap w:val="0"/>
                    <w:jc w:val="center"/>
                    <w:rPr>
                      <w:color w:val="auto"/>
                      <w:szCs w:val="21"/>
                      <w:highlight w:val="none"/>
                    </w:rPr>
                  </w:pPr>
                  <w:r>
                    <w:rPr>
                      <w:rFonts w:hint="eastAsia" w:ascii="宋体" w:hAnsi="宋体" w:eastAsia="宋体" w:cs="宋体"/>
                      <w:color w:val="auto"/>
                      <w:sz w:val="21"/>
                      <w:szCs w:val="21"/>
                      <w:highlight w:val="none"/>
                      <w:lang w:val="en-US" w:eastAsia="zh-CN"/>
                    </w:rPr>
                    <w:t>间歇</w:t>
                  </w:r>
                </w:p>
              </w:tc>
            </w:tr>
            <w:tr w14:paraId="7C99990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2" w:type="dxa"/>
                  <w:vMerge w:val="continue"/>
                  <w:noWrap/>
                  <w:vAlign w:val="center"/>
                </w:tcPr>
                <w:p w14:paraId="510FAE91">
                  <w:pPr>
                    <w:wordWrap w:val="0"/>
                    <w:jc w:val="center"/>
                    <w:rPr>
                      <w:color w:val="auto"/>
                      <w:szCs w:val="21"/>
                      <w:highlight w:val="none"/>
                    </w:rPr>
                  </w:pPr>
                </w:p>
              </w:tc>
              <w:tc>
                <w:tcPr>
                  <w:tcW w:w="508" w:type="dxa"/>
                  <w:shd w:val="clear" w:color="auto" w:fill="auto"/>
                  <w:noWrap/>
                  <w:vAlign w:val="center"/>
                </w:tcPr>
                <w:p w14:paraId="19999823">
                  <w:pPr>
                    <w:widowControl w:val="0"/>
                    <w:spacing w:line="240" w:lineRule="auto"/>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rPr>
                    <w:t>S</w:t>
                  </w:r>
                  <w:r>
                    <w:rPr>
                      <w:rFonts w:hint="eastAsia" w:ascii="Times New Roman" w:hAnsi="Times New Roman" w:cs="Times New Roman"/>
                      <w:color w:val="auto"/>
                      <w:sz w:val="21"/>
                      <w:szCs w:val="21"/>
                      <w:highlight w:val="none"/>
                      <w:vertAlign w:val="baseline"/>
                      <w:lang w:val="en-US" w:eastAsia="zh-CN"/>
                    </w:rPr>
                    <w:t>8</w:t>
                  </w:r>
                </w:p>
              </w:tc>
              <w:tc>
                <w:tcPr>
                  <w:tcW w:w="1177" w:type="dxa"/>
                  <w:vMerge w:val="restart"/>
                  <w:noWrap/>
                  <w:vAlign w:val="center"/>
                </w:tcPr>
                <w:p w14:paraId="0AEF3AAE">
                  <w:pPr>
                    <w:adjustRightInd w:val="0"/>
                    <w:snapToGrid w:val="0"/>
                    <w:jc w:val="center"/>
                    <w:rPr>
                      <w:color w:val="auto"/>
                      <w:szCs w:val="21"/>
                      <w:highlight w:val="none"/>
                    </w:rPr>
                  </w:pPr>
                  <w:r>
                    <w:rPr>
                      <w:rFonts w:hint="eastAsia" w:cs="宋体"/>
                      <w:bCs/>
                      <w:color w:val="auto"/>
                      <w:spacing w:val="-10"/>
                      <w:szCs w:val="21"/>
                      <w:highlight w:val="none"/>
                    </w:rPr>
                    <w:t>滤筒除尘器</w:t>
                  </w:r>
                </w:p>
              </w:tc>
              <w:tc>
                <w:tcPr>
                  <w:tcW w:w="1486" w:type="dxa"/>
                  <w:shd w:val="clear" w:color="auto" w:fill="auto"/>
                  <w:noWrap/>
                  <w:vAlign w:val="center"/>
                </w:tcPr>
                <w:p w14:paraId="112A00D6">
                  <w:pPr>
                    <w:adjustRightInd w:val="0"/>
                    <w:snapToGrid w:val="0"/>
                    <w:jc w:val="center"/>
                    <w:rPr>
                      <w:rFonts w:ascii="Times New Roman" w:hAnsi="Times New Roman" w:eastAsia="宋体" w:cs="Times New Roman"/>
                      <w:color w:val="auto"/>
                      <w:kern w:val="2"/>
                      <w:sz w:val="21"/>
                      <w:szCs w:val="21"/>
                      <w:highlight w:val="none"/>
                      <w:lang w:val="en-US" w:eastAsia="zh-CN" w:bidi="ar-SA"/>
                    </w:rPr>
                  </w:pPr>
                  <w:r>
                    <w:rPr>
                      <w:rFonts w:hint="eastAsia" w:cs="宋体"/>
                      <w:color w:val="auto"/>
                      <w:highlight w:val="none"/>
                    </w:rPr>
                    <w:t>除尘灰</w:t>
                  </w:r>
                </w:p>
              </w:tc>
              <w:tc>
                <w:tcPr>
                  <w:tcW w:w="3695" w:type="dxa"/>
                  <w:shd w:val="clear" w:color="auto" w:fill="auto"/>
                  <w:noWrap/>
                  <w:vAlign w:val="center"/>
                </w:tcPr>
                <w:p w14:paraId="55588DE8">
                  <w:pPr>
                    <w:pStyle w:val="112"/>
                    <w:spacing w:line="240" w:lineRule="auto"/>
                    <w:ind w:left="-105" w:leftChars="-50" w:right="-105" w:rightChars="-50" w:firstLine="0" w:firstLineChars="0"/>
                    <w:jc w:val="center"/>
                    <w:rPr>
                      <w:rFonts w:ascii="Times New Roman" w:hAnsi="Times New Roman" w:eastAsia="宋体" w:cs="Times New Roman"/>
                      <w:color w:val="auto"/>
                      <w:kern w:val="2"/>
                      <w:sz w:val="21"/>
                      <w:szCs w:val="21"/>
                      <w:highlight w:val="none"/>
                      <w:lang w:val="en-US" w:eastAsia="zh-CN" w:bidi="ar-SA"/>
                    </w:rPr>
                  </w:pPr>
                  <w:r>
                    <w:rPr>
                      <w:rStyle w:val="58"/>
                      <w:rFonts w:hint="eastAsia"/>
                      <w:color w:val="auto"/>
                      <w:sz w:val="21"/>
                      <w:szCs w:val="21"/>
                      <w:highlight w:val="none"/>
                    </w:rPr>
                    <w:t>收集后外售</w:t>
                  </w:r>
                </w:p>
              </w:tc>
              <w:tc>
                <w:tcPr>
                  <w:tcW w:w="773" w:type="dxa"/>
                  <w:shd w:val="clear" w:color="auto" w:fill="auto"/>
                  <w:noWrap/>
                  <w:vAlign w:val="center"/>
                </w:tcPr>
                <w:p w14:paraId="41514796">
                  <w:pPr>
                    <w:wordWrap w:val="0"/>
                    <w:jc w:val="center"/>
                    <w:rPr>
                      <w:rFonts w:ascii="Times New Roman" w:hAnsi="Times New Roman" w:eastAsia="宋体" w:cs="Times New Roman"/>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间歇</w:t>
                  </w:r>
                </w:p>
              </w:tc>
            </w:tr>
            <w:tr w14:paraId="406D033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2" w:type="dxa"/>
                  <w:vMerge w:val="continue"/>
                  <w:noWrap/>
                  <w:vAlign w:val="center"/>
                </w:tcPr>
                <w:p w14:paraId="0FD7B054">
                  <w:pPr>
                    <w:wordWrap w:val="0"/>
                    <w:jc w:val="center"/>
                    <w:rPr>
                      <w:color w:val="auto"/>
                      <w:szCs w:val="21"/>
                      <w:highlight w:val="none"/>
                    </w:rPr>
                  </w:pPr>
                </w:p>
              </w:tc>
              <w:tc>
                <w:tcPr>
                  <w:tcW w:w="508" w:type="dxa"/>
                  <w:shd w:val="clear" w:color="auto" w:fill="auto"/>
                  <w:noWrap/>
                  <w:vAlign w:val="center"/>
                </w:tcPr>
                <w:p w14:paraId="099B7494">
                  <w:pPr>
                    <w:widowControl w:val="0"/>
                    <w:spacing w:line="240" w:lineRule="auto"/>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rPr>
                    <w:t>S</w:t>
                  </w:r>
                  <w:r>
                    <w:rPr>
                      <w:rFonts w:hint="eastAsia" w:ascii="Times New Roman" w:hAnsi="Times New Roman" w:cs="Times New Roman"/>
                      <w:color w:val="auto"/>
                      <w:sz w:val="21"/>
                      <w:szCs w:val="21"/>
                      <w:highlight w:val="none"/>
                      <w:vertAlign w:val="baseline"/>
                      <w:lang w:val="en-US" w:eastAsia="zh-CN"/>
                    </w:rPr>
                    <w:t>9</w:t>
                  </w:r>
                </w:p>
              </w:tc>
              <w:tc>
                <w:tcPr>
                  <w:tcW w:w="1177" w:type="dxa"/>
                  <w:vMerge w:val="continue"/>
                  <w:noWrap/>
                  <w:vAlign w:val="center"/>
                </w:tcPr>
                <w:p w14:paraId="61BB4BAE">
                  <w:pPr>
                    <w:adjustRightInd w:val="0"/>
                    <w:snapToGrid w:val="0"/>
                    <w:jc w:val="center"/>
                    <w:rPr>
                      <w:color w:val="auto"/>
                      <w:szCs w:val="21"/>
                      <w:highlight w:val="none"/>
                    </w:rPr>
                  </w:pPr>
                </w:p>
              </w:tc>
              <w:tc>
                <w:tcPr>
                  <w:tcW w:w="1486" w:type="dxa"/>
                  <w:shd w:val="clear" w:color="auto" w:fill="auto"/>
                  <w:noWrap/>
                  <w:vAlign w:val="center"/>
                </w:tcPr>
                <w:p w14:paraId="24518DC5">
                  <w:pPr>
                    <w:adjustRightInd w:val="0"/>
                    <w:snapToGrid w:val="0"/>
                    <w:jc w:val="center"/>
                    <w:rPr>
                      <w:rFonts w:ascii="Times New Roman" w:hAnsi="Times New Roman" w:eastAsia="宋体" w:cs="Times New Roman"/>
                      <w:color w:val="auto"/>
                      <w:kern w:val="2"/>
                      <w:sz w:val="21"/>
                      <w:szCs w:val="21"/>
                      <w:highlight w:val="none"/>
                      <w:lang w:val="en-US" w:eastAsia="zh-CN" w:bidi="ar-SA"/>
                    </w:rPr>
                  </w:pPr>
                  <w:r>
                    <w:rPr>
                      <w:rFonts w:hint="eastAsia" w:cs="宋体"/>
                      <w:bCs/>
                      <w:color w:val="auto"/>
                      <w:spacing w:val="-10"/>
                      <w:szCs w:val="21"/>
                      <w:highlight w:val="none"/>
                    </w:rPr>
                    <w:t>废滤筒</w:t>
                  </w:r>
                </w:p>
              </w:tc>
              <w:tc>
                <w:tcPr>
                  <w:tcW w:w="3695" w:type="dxa"/>
                  <w:shd w:val="clear" w:color="auto" w:fill="auto"/>
                  <w:noWrap/>
                  <w:vAlign w:val="center"/>
                </w:tcPr>
                <w:p w14:paraId="2B46CC6A">
                  <w:pPr>
                    <w:pStyle w:val="112"/>
                    <w:spacing w:line="240" w:lineRule="auto"/>
                    <w:ind w:left="-105" w:leftChars="-50" w:right="-105" w:rightChars="-50" w:firstLine="0" w:firstLineChars="0"/>
                    <w:jc w:val="center"/>
                    <w:rPr>
                      <w:rFonts w:ascii="Times New Roman" w:hAnsi="Times New Roman" w:eastAsia="宋体" w:cs="Times New Roman"/>
                      <w:color w:val="auto"/>
                      <w:kern w:val="2"/>
                      <w:sz w:val="21"/>
                      <w:szCs w:val="21"/>
                      <w:highlight w:val="none"/>
                      <w:lang w:val="en-US" w:eastAsia="zh-CN" w:bidi="ar-SA"/>
                    </w:rPr>
                  </w:pPr>
                  <w:r>
                    <w:rPr>
                      <w:rStyle w:val="58"/>
                      <w:color w:val="auto"/>
                      <w:sz w:val="21"/>
                      <w:szCs w:val="21"/>
                      <w:highlight w:val="none"/>
                    </w:rPr>
                    <w:t>收集后外售</w:t>
                  </w:r>
                </w:p>
              </w:tc>
              <w:tc>
                <w:tcPr>
                  <w:tcW w:w="773" w:type="dxa"/>
                  <w:shd w:val="clear" w:color="auto" w:fill="auto"/>
                  <w:noWrap/>
                  <w:vAlign w:val="center"/>
                </w:tcPr>
                <w:p w14:paraId="00E5E969">
                  <w:pPr>
                    <w:wordWrap w:val="0"/>
                    <w:jc w:val="center"/>
                    <w:rPr>
                      <w:rFonts w:ascii="Times New Roman" w:hAnsi="Times New Roman" w:eastAsia="宋体" w:cs="Times New Roman"/>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间歇</w:t>
                  </w:r>
                </w:p>
              </w:tc>
            </w:tr>
          </w:tbl>
          <w:p w14:paraId="1207B080">
            <w:pPr>
              <w:pStyle w:val="10"/>
              <w:rPr>
                <w:rFonts w:hint="eastAsia"/>
                <w:color w:val="auto"/>
                <w:highlight w:val="none"/>
              </w:rPr>
            </w:pPr>
          </w:p>
          <w:p w14:paraId="451DF1FA">
            <w:pPr>
              <w:pStyle w:val="75"/>
              <w:adjustRightInd w:val="0"/>
              <w:snapToGrid w:val="0"/>
              <w:spacing w:line="480" w:lineRule="exact"/>
              <w:ind w:firstLine="0" w:firstLineChars="0"/>
              <w:rPr>
                <w:color w:val="auto"/>
                <w:sz w:val="21"/>
                <w:szCs w:val="21"/>
              </w:rPr>
            </w:pPr>
          </w:p>
          <w:p w14:paraId="5EDEE5D6">
            <w:pPr>
              <w:pStyle w:val="75"/>
              <w:adjustRightInd w:val="0"/>
              <w:snapToGrid w:val="0"/>
              <w:spacing w:line="480" w:lineRule="exact"/>
              <w:ind w:firstLine="0" w:firstLineChars="0"/>
              <w:rPr>
                <w:color w:val="auto"/>
                <w:sz w:val="21"/>
                <w:szCs w:val="21"/>
              </w:rPr>
            </w:pPr>
          </w:p>
        </w:tc>
      </w:tr>
      <w:tr w14:paraId="0B6EB1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659" w:type="dxa"/>
            <w:shd w:val="clear" w:color="auto" w:fill="auto"/>
            <w:noWrap/>
            <w:vAlign w:val="center"/>
          </w:tcPr>
          <w:p w14:paraId="5875611E">
            <w:pPr>
              <w:pStyle w:val="30"/>
              <w:adjustRightInd w:val="0"/>
              <w:snapToGrid w:val="0"/>
              <w:spacing w:before="0" w:beforeAutospacing="0" w:after="0" w:afterAutospacing="0"/>
              <w:jc w:val="center"/>
              <w:rPr>
                <w:rFonts w:ascii="Times New Roman" w:hAnsi="Times New Roman"/>
                <w:color w:val="auto"/>
                <w:sz w:val="21"/>
                <w:szCs w:val="21"/>
              </w:rPr>
            </w:pPr>
            <w:r>
              <w:rPr>
                <w:rFonts w:ascii="Times New Roman" w:hAnsi="Times New Roman"/>
                <w:bCs/>
                <w:color w:val="auto"/>
                <w:kern w:val="2"/>
                <w:sz w:val="21"/>
                <w:szCs w:val="21"/>
              </w:rPr>
              <w:t>与项目有关的原有环境污染问题</w:t>
            </w:r>
          </w:p>
        </w:tc>
        <w:tc>
          <w:tcPr>
            <w:tcW w:w="8515" w:type="dxa"/>
            <w:shd w:val="clear" w:color="auto" w:fill="auto"/>
            <w:noWrap/>
          </w:tcPr>
          <w:p w14:paraId="3646FE66">
            <w:pPr>
              <w:pStyle w:val="122"/>
              <w:rPr>
                <w:color w:val="auto"/>
              </w:rPr>
            </w:pPr>
            <w:r>
              <w:rPr>
                <w:color w:val="auto"/>
              </w:rPr>
              <w:t>1、企业环保手续履行情况</w:t>
            </w:r>
          </w:p>
          <w:p w14:paraId="0A9175EF">
            <w:pPr>
              <w:pStyle w:val="116"/>
              <w:ind w:firstLine="420"/>
              <w:rPr>
                <w:color w:val="auto"/>
              </w:rPr>
            </w:pPr>
            <w:r>
              <w:rPr>
                <w:color w:val="auto"/>
              </w:rPr>
              <w:t>中冶重工（唐山）有限公司成立于</w:t>
            </w:r>
            <w:r>
              <w:rPr>
                <w:rFonts w:hint="eastAsia"/>
                <w:color w:val="auto"/>
              </w:rPr>
              <w:t>2009年9月4日，曾用名中冶京唐（唐山）精密锻造有限公司、二十二冶集团精密锻造有限公司。</w:t>
            </w:r>
          </w:p>
          <w:p w14:paraId="7B35521E">
            <w:pPr>
              <w:pStyle w:val="116"/>
              <w:ind w:firstLine="420"/>
              <w:rPr>
                <w:color w:val="auto"/>
              </w:rPr>
            </w:pPr>
            <w:r>
              <w:rPr>
                <w:rFonts w:hint="eastAsia"/>
                <w:color w:val="auto"/>
              </w:rPr>
              <w:t>2009年，企业委托河北省环境科学研究院编制完成了《中冶京唐（唐山）精密锻造有限公司大型多向模锻件及重型装备自主化产业基地建设项目》环境影响报告表，并于2010年2月6日取得了河北省环境保护厅批复，批准文号为冀环表[2010]8号。在建设过程中，根据市场需求，取消了退火、油淬火冷却工序，仅保留了水淬火冷却工序，将天然气加热炉和天然气热处理炉变更为电加热炉和电热处理炉，增加了抛丸工序，并于2016年8月编制完成《二十二冶集团精密锻造有限公司（原中冶京唐（唐山）精密锻造有限公司）大型多向模锻件及重型装备自主化产业基地建设项目》环境影响补充评价，并于2017年1月9日取得了唐山高新技术产业开发区环境保护局的验收意见，文号为唐高环验[2017]1号。</w:t>
            </w:r>
          </w:p>
          <w:p w14:paraId="00FF02C1">
            <w:pPr>
              <w:pStyle w:val="116"/>
              <w:ind w:firstLine="420"/>
              <w:rPr>
                <w:color w:val="auto"/>
              </w:rPr>
            </w:pPr>
            <w:r>
              <w:rPr>
                <w:rFonts w:hint="eastAsia"/>
                <w:color w:val="auto"/>
              </w:rPr>
              <w:t>2023年，企业对原工程中的10000t/a大型模锻件和重型装备增加喷涂、固化等表面处理，委托河北璟润环境科技有限公司编制了《</w:t>
            </w:r>
            <w:r>
              <w:rPr>
                <w:rFonts w:hint="eastAsia"/>
                <w:color w:val="auto"/>
                <w:lang w:eastAsia="zh-CN"/>
              </w:rPr>
              <w:t>中冶重工（唐山）有限公司大型多向模锻产能提升项目</w:t>
            </w:r>
            <w:r>
              <w:rPr>
                <w:rFonts w:hint="eastAsia"/>
                <w:color w:val="auto"/>
              </w:rPr>
              <w:t>环境影响报告表》，并于2023年6月19日取得了唐山高新技术产业开发区行政审批局的审批意见，批准文号为唐高行审环表</w:t>
            </w:r>
            <w:r>
              <w:rPr>
                <w:color w:val="auto"/>
              </w:rPr>
              <w:t>[</w:t>
            </w:r>
            <w:r>
              <w:rPr>
                <w:rFonts w:hint="eastAsia"/>
                <w:color w:val="auto"/>
              </w:rPr>
              <w:t>2023</w:t>
            </w:r>
            <w:r>
              <w:rPr>
                <w:color w:val="auto"/>
              </w:rPr>
              <w:t>]</w:t>
            </w:r>
            <w:r>
              <w:rPr>
                <w:rFonts w:hint="eastAsia"/>
                <w:color w:val="auto"/>
              </w:rPr>
              <w:t>11号，于2024年12月24日通过了自主验收。</w:t>
            </w:r>
            <w:r>
              <w:rPr>
                <w:rFonts w:hint="eastAsia"/>
                <w:color w:val="auto"/>
                <w:lang w:val="en-US" w:eastAsia="zh-CN"/>
              </w:rPr>
              <w:t>2025年，企业</w:t>
            </w:r>
            <w:r>
              <w:rPr>
                <w:rFonts w:hint="eastAsia"/>
                <w:color w:val="auto"/>
                <w:highlight w:val="none"/>
              </w:rPr>
              <w:t>对</w:t>
            </w:r>
            <w:r>
              <w:rPr>
                <w:color w:val="auto"/>
                <w:highlight w:val="none"/>
              </w:rPr>
              <w:t>现有</w:t>
            </w:r>
            <w:r>
              <w:rPr>
                <w:rFonts w:hint="eastAsia"/>
                <w:color w:val="auto"/>
                <w:highlight w:val="none"/>
              </w:rPr>
              <w:t>10000t/a需喷涂固化处理的大型模锻件和重型装备生产线</w:t>
            </w:r>
            <w:r>
              <w:rPr>
                <w:color w:val="auto"/>
                <w:highlight w:val="none"/>
              </w:rPr>
              <w:t>再次进行技改升级</w:t>
            </w:r>
            <w:r>
              <w:rPr>
                <w:rFonts w:hint="eastAsia"/>
                <w:color w:val="auto"/>
                <w:highlight w:val="none"/>
              </w:rPr>
              <w:t>，在重型车间增加1台通过式抛丸机，对需喷涂的装备进行表面处理，以提高涂料附着性，</w:t>
            </w:r>
            <w:r>
              <w:rPr>
                <w:rFonts w:hint="eastAsia"/>
                <w:color w:val="auto"/>
              </w:rPr>
              <w:t>委托河北汇铭环境科技有限公司编制了《</w:t>
            </w:r>
            <w:r>
              <w:rPr>
                <w:rFonts w:hint="eastAsia"/>
                <w:color w:val="auto"/>
                <w:lang w:eastAsia="zh-CN"/>
              </w:rPr>
              <w:t>大型多向模锻件及重型装备自主化产业基地建设项目技改升级项目</w:t>
            </w:r>
            <w:r>
              <w:rPr>
                <w:rFonts w:hint="eastAsia"/>
                <w:color w:val="auto"/>
              </w:rPr>
              <w:t>环境影响报告表》，并于202</w:t>
            </w:r>
            <w:r>
              <w:rPr>
                <w:rFonts w:hint="eastAsia"/>
                <w:color w:val="auto"/>
                <w:lang w:val="en-US" w:eastAsia="zh-CN"/>
              </w:rPr>
              <w:t>5</w:t>
            </w:r>
            <w:r>
              <w:rPr>
                <w:rFonts w:hint="eastAsia"/>
                <w:color w:val="auto"/>
              </w:rPr>
              <w:t>年</w:t>
            </w:r>
            <w:r>
              <w:rPr>
                <w:rFonts w:hint="eastAsia"/>
                <w:color w:val="auto"/>
                <w:lang w:val="en-US" w:eastAsia="zh-CN"/>
              </w:rPr>
              <w:t>8</w:t>
            </w:r>
            <w:r>
              <w:rPr>
                <w:rFonts w:hint="eastAsia"/>
                <w:color w:val="auto"/>
              </w:rPr>
              <w:t>月1</w:t>
            </w:r>
            <w:r>
              <w:rPr>
                <w:rFonts w:hint="eastAsia"/>
                <w:color w:val="auto"/>
                <w:lang w:val="en-US" w:eastAsia="zh-CN"/>
              </w:rPr>
              <w:t>1</w:t>
            </w:r>
            <w:r>
              <w:rPr>
                <w:rFonts w:hint="eastAsia"/>
                <w:color w:val="auto"/>
              </w:rPr>
              <w:t>日取得了唐山高新技术产业开发区行政审批局</w:t>
            </w:r>
            <w:r>
              <w:rPr>
                <w:rFonts w:hint="eastAsia"/>
                <w:color w:val="auto"/>
                <w:highlight w:val="none"/>
              </w:rPr>
              <w:t>的审批意见，批准文号为唐高行审环表</w:t>
            </w:r>
            <w:r>
              <w:rPr>
                <w:color w:val="auto"/>
                <w:highlight w:val="none"/>
              </w:rPr>
              <w:t>[</w:t>
            </w:r>
            <w:r>
              <w:rPr>
                <w:rFonts w:hint="eastAsia"/>
                <w:color w:val="auto"/>
                <w:highlight w:val="none"/>
              </w:rPr>
              <w:t>202</w:t>
            </w:r>
            <w:r>
              <w:rPr>
                <w:rFonts w:hint="eastAsia"/>
                <w:color w:val="auto"/>
                <w:highlight w:val="none"/>
                <w:lang w:val="en-US" w:eastAsia="zh-CN"/>
              </w:rPr>
              <w:t>5</w:t>
            </w:r>
            <w:r>
              <w:rPr>
                <w:color w:val="auto"/>
                <w:highlight w:val="none"/>
              </w:rPr>
              <w:t>]</w:t>
            </w:r>
            <w:r>
              <w:rPr>
                <w:rFonts w:hint="eastAsia"/>
                <w:color w:val="auto"/>
                <w:highlight w:val="none"/>
                <w:lang w:val="en-US" w:eastAsia="zh-CN"/>
              </w:rPr>
              <w:t>6</w:t>
            </w:r>
            <w:r>
              <w:rPr>
                <w:rFonts w:hint="eastAsia"/>
                <w:color w:val="auto"/>
                <w:highlight w:val="none"/>
              </w:rPr>
              <w:t>号，于202</w:t>
            </w:r>
            <w:r>
              <w:rPr>
                <w:rFonts w:hint="eastAsia"/>
                <w:color w:val="auto"/>
                <w:highlight w:val="none"/>
                <w:lang w:val="en-US" w:eastAsia="zh-CN"/>
              </w:rPr>
              <w:t>5</w:t>
            </w:r>
            <w:r>
              <w:rPr>
                <w:rFonts w:hint="eastAsia"/>
                <w:color w:val="auto"/>
                <w:highlight w:val="none"/>
              </w:rPr>
              <w:t>年1</w:t>
            </w:r>
            <w:r>
              <w:rPr>
                <w:rFonts w:hint="eastAsia"/>
                <w:color w:val="auto"/>
                <w:highlight w:val="none"/>
                <w:lang w:val="en-US" w:eastAsia="zh-CN"/>
              </w:rPr>
              <w:t>0</w:t>
            </w:r>
            <w:r>
              <w:rPr>
                <w:rFonts w:hint="eastAsia"/>
                <w:color w:val="auto"/>
                <w:highlight w:val="none"/>
              </w:rPr>
              <w:t>月2</w:t>
            </w:r>
            <w:r>
              <w:rPr>
                <w:rFonts w:hint="eastAsia"/>
                <w:color w:val="auto"/>
                <w:highlight w:val="none"/>
                <w:lang w:val="en-US" w:eastAsia="zh-CN"/>
              </w:rPr>
              <w:t>2</w:t>
            </w:r>
            <w:r>
              <w:rPr>
                <w:rFonts w:hint="eastAsia"/>
                <w:color w:val="auto"/>
                <w:highlight w:val="none"/>
              </w:rPr>
              <w:t>日通过了自主验收。</w:t>
            </w:r>
          </w:p>
          <w:p w14:paraId="3FA840DB">
            <w:pPr>
              <w:pStyle w:val="116"/>
              <w:ind w:firstLine="420"/>
              <w:rPr>
                <w:color w:val="auto"/>
                <w:highlight w:val="none"/>
              </w:rPr>
            </w:pPr>
            <w:r>
              <w:rPr>
                <w:rFonts w:hint="eastAsia"/>
                <w:color w:val="auto"/>
                <w:highlight w:val="none"/>
              </w:rPr>
              <w:t>企业于2020年8月12日申领排污许可证，证书编号：9113029369465696XU001X，目前已对许可证进行了延续，有效期限：自2023年08月12日至2028年08月11日止。</w:t>
            </w:r>
          </w:p>
          <w:p w14:paraId="6BCEE24A">
            <w:pPr>
              <w:pStyle w:val="116"/>
              <w:ind w:firstLine="420"/>
              <w:rPr>
                <w:color w:val="auto"/>
              </w:rPr>
            </w:pPr>
            <w:r>
              <w:rPr>
                <w:color w:val="auto"/>
              </w:rPr>
              <w:t>现有工程环保手续及“三同时”执行情况具体见</w:t>
            </w:r>
            <w:r>
              <w:rPr>
                <w:rFonts w:hint="eastAsia"/>
                <w:color w:val="auto"/>
              </w:rPr>
              <w:t>下表</w:t>
            </w:r>
            <w:r>
              <w:rPr>
                <w:color w:val="auto"/>
              </w:rPr>
              <w:t>。</w:t>
            </w:r>
          </w:p>
          <w:p w14:paraId="4939B98F">
            <w:pPr>
              <w:pStyle w:val="10"/>
              <w:rPr>
                <w:color w:val="auto"/>
              </w:rPr>
            </w:pPr>
            <w:r>
              <w:rPr>
                <w:rFonts w:hint="eastAsia"/>
                <w:color w:val="auto"/>
              </w:rPr>
              <w:t>表2</w:t>
            </w:r>
            <w:r>
              <w:rPr>
                <w:rFonts w:hint="eastAsia"/>
                <w:color w:val="auto"/>
                <w:lang w:eastAsia="zh-CN"/>
              </w:rPr>
              <w:t>-</w:t>
            </w:r>
            <w:r>
              <w:rPr>
                <w:rFonts w:hint="eastAsia"/>
                <w:color w:val="auto"/>
                <w:lang w:val="en-US" w:eastAsia="zh-CN"/>
              </w:rPr>
              <w:t>12</w:t>
            </w:r>
            <w:r>
              <w:rPr>
                <w:color w:val="auto"/>
                <w:szCs w:val="21"/>
              </w:rPr>
              <w:t>现有工程环保手续及“三同时”执行表</w:t>
            </w:r>
          </w:p>
          <w:tbl>
            <w:tblPr>
              <w:tblStyle w:val="33"/>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80"/>
              <w:gridCol w:w="1297"/>
              <w:gridCol w:w="1274"/>
              <w:gridCol w:w="1577"/>
              <w:gridCol w:w="1871"/>
            </w:tblGrid>
            <w:tr w14:paraId="70B474E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3" w:type="pct"/>
                  <w:noWrap/>
                  <w:vAlign w:val="center"/>
                </w:tcPr>
                <w:p w14:paraId="7ADF45E7">
                  <w:pPr>
                    <w:spacing w:line="360" w:lineRule="exact"/>
                    <w:jc w:val="center"/>
                    <w:rPr>
                      <w:bCs/>
                      <w:color w:val="auto"/>
                      <w:szCs w:val="21"/>
                    </w:rPr>
                  </w:pPr>
                  <w:r>
                    <w:rPr>
                      <w:bCs/>
                      <w:color w:val="auto"/>
                      <w:szCs w:val="21"/>
                    </w:rPr>
                    <w:t>项目名称</w:t>
                  </w:r>
                </w:p>
              </w:tc>
              <w:tc>
                <w:tcPr>
                  <w:tcW w:w="781" w:type="pct"/>
                  <w:noWrap/>
                  <w:vAlign w:val="center"/>
                </w:tcPr>
                <w:p w14:paraId="380902D4">
                  <w:pPr>
                    <w:spacing w:line="360" w:lineRule="exact"/>
                    <w:jc w:val="center"/>
                    <w:rPr>
                      <w:bCs/>
                      <w:color w:val="auto"/>
                      <w:szCs w:val="21"/>
                    </w:rPr>
                  </w:pPr>
                  <w:r>
                    <w:rPr>
                      <w:bCs/>
                      <w:color w:val="auto"/>
                      <w:szCs w:val="21"/>
                    </w:rPr>
                    <w:t>环评类别</w:t>
                  </w:r>
                </w:p>
              </w:tc>
              <w:tc>
                <w:tcPr>
                  <w:tcW w:w="767" w:type="pct"/>
                  <w:noWrap/>
                  <w:vAlign w:val="center"/>
                </w:tcPr>
                <w:p w14:paraId="67CA5110">
                  <w:pPr>
                    <w:spacing w:line="360" w:lineRule="exact"/>
                    <w:jc w:val="center"/>
                    <w:rPr>
                      <w:bCs/>
                      <w:color w:val="auto"/>
                      <w:szCs w:val="21"/>
                    </w:rPr>
                  </w:pPr>
                  <w:r>
                    <w:rPr>
                      <w:bCs/>
                      <w:color w:val="auto"/>
                      <w:szCs w:val="21"/>
                    </w:rPr>
                    <w:t>批复部门</w:t>
                  </w:r>
                </w:p>
              </w:tc>
              <w:tc>
                <w:tcPr>
                  <w:tcW w:w="950" w:type="pct"/>
                  <w:noWrap/>
                  <w:vAlign w:val="center"/>
                </w:tcPr>
                <w:p w14:paraId="6E347E2C">
                  <w:pPr>
                    <w:spacing w:line="360" w:lineRule="exact"/>
                    <w:jc w:val="center"/>
                    <w:rPr>
                      <w:bCs/>
                      <w:color w:val="auto"/>
                      <w:szCs w:val="21"/>
                    </w:rPr>
                  </w:pPr>
                  <w:r>
                    <w:rPr>
                      <w:bCs/>
                      <w:color w:val="auto"/>
                      <w:szCs w:val="21"/>
                    </w:rPr>
                    <w:t>批复时间及文号</w:t>
                  </w:r>
                </w:p>
              </w:tc>
              <w:tc>
                <w:tcPr>
                  <w:tcW w:w="1127" w:type="pct"/>
                  <w:noWrap/>
                  <w:vAlign w:val="center"/>
                </w:tcPr>
                <w:p w14:paraId="0B442A82">
                  <w:pPr>
                    <w:spacing w:line="360" w:lineRule="exact"/>
                    <w:jc w:val="center"/>
                    <w:rPr>
                      <w:bCs/>
                      <w:color w:val="auto"/>
                      <w:szCs w:val="21"/>
                    </w:rPr>
                  </w:pPr>
                  <w:r>
                    <w:rPr>
                      <w:bCs/>
                      <w:color w:val="auto"/>
                      <w:szCs w:val="21"/>
                    </w:rPr>
                    <w:t>验收时间及文号</w:t>
                  </w:r>
                </w:p>
              </w:tc>
            </w:tr>
            <w:tr w14:paraId="43EE8B7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73" w:type="pct"/>
                  <w:noWrap/>
                  <w:vAlign w:val="center"/>
                </w:tcPr>
                <w:p w14:paraId="4AB9F7D1">
                  <w:pPr>
                    <w:jc w:val="center"/>
                    <w:rPr>
                      <w:bCs/>
                      <w:color w:val="auto"/>
                      <w:szCs w:val="21"/>
                    </w:rPr>
                  </w:pPr>
                  <w:r>
                    <w:rPr>
                      <w:rFonts w:hint="eastAsia"/>
                      <w:color w:val="auto"/>
                      <w:szCs w:val="21"/>
                    </w:rPr>
                    <w:t>大型多向模锻件及重型装备自主化产业基地建设项目</w:t>
                  </w:r>
                </w:p>
              </w:tc>
              <w:tc>
                <w:tcPr>
                  <w:tcW w:w="781" w:type="pct"/>
                  <w:noWrap/>
                  <w:vAlign w:val="center"/>
                </w:tcPr>
                <w:p w14:paraId="020F1267">
                  <w:pPr>
                    <w:jc w:val="center"/>
                    <w:rPr>
                      <w:bCs/>
                      <w:color w:val="auto"/>
                      <w:szCs w:val="21"/>
                    </w:rPr>
                  </w:pPr>
                  <w:r>
                    <w:rPr>
                      <w:bCs/>
                      <w:color w:val="auto"/>
                      <w:szCs w:val="21"/>
                    </w:rPr>
                    <w:t>环境影响评价报告</w:t>
                  </w:r>
                  <w:r>
                    <w:rPr>
                      <w:rFonts w:hint="eastAsia"/>
                      <w:bCs/>
                      <w:color w:val="auto"/>
                      <w:szCs w:val="21"/>
                    </w:rPr>
                    <w:t>表</w:t>
                  </w:r>
                </w:p>
              </w:tc>
              <w:tc>
                <w:tcPr>
                  <w:tcW w:w="767" w:type="pct"/>
                  <w:noWrap/>
                  <w:vAlign w:val="center"/>
                </w:tcPr>
                <w:p w14:paraId="00C43346">
                  <w:pPr>
                    <w:jc w:val="center"/>
                    <w:rPr>
                      <w:bCs/>
                      <w:color w:val="auto"/>
                      <w:szCs w:val="21"/>
                    </w:rPr>
                  </w:pPr>
                  <w:r>
                    <w:rPr>
                      <w:bCs/>
                      <w:color w:val="auto"/>
                      <w:szCs w:val="21"/>
                    </w:rPr>
                    <w:t>原</w:t>
                  </w:r>
                  <w:r>
                    <w:rPr>
                      <w:rFonts w:hint="eastAsia"/>
                      <w:color w:val="auto"/>
                      <w:szCs w:val="21"/>
                    </w:rPr>
                    <w:t>河北省环境保护厅</w:t>
                  </w:r>
                </w:p>
              </w:tc>
              <w:tc>
                <w:tcPr>
                  <w:tcW w:w="950" w:type="pct"/>
                  <w:noWrap/>
                  <w:vAlign w:val="center"/>
                </w:tcPr>
                <w:p w14:paraId="6DCB64AA">
                  <w:pPr>
                    <w:jc w:val="center"/>
                    <w:rPr>
                      <w:bCs/>
                      <w:color w:val="auto"/>
                      <w:szCs w:val="21"/>
                    </w:rPr>
                  </w:pPr>
                  <w:r>
                    <w:rPr>
                      <w:bCs/>
                      <w:color w:val="auto"/>
                      <w:szCs w:val="21"/>
                    </w:rPr>
                    <w:t>201</w:t>
                  </w:r>
                  <w:r>
                    <w:rPr>
                      <w:rFonts w:hint="eastAsia"/>
                      <w:bCs/>
                      <w:color w:val="auto"/>
                      <w:szCs w:val="21"/>
                    </w:rPr>
                    <w:t>0</w:t>
                  </w:r>
                  <w:r>
                    <w:rPr>
                      <w:bCs/>
                      <w:color w:val="auto"/>
                      <w:szCs w:val="21"/>
                    </w:rPr>
                    <w:t>年</w:t>
                  </w:r>
                  <w:r>
                    <w:rPr>
                      <w:rFonts w:hint="eastAsia"/>
                      <w:bCs/>
                      <w:color w:val="auto"/>
                      <w:szCs w:val="21"/>
                    </w:rPr>
                    <w:t>2</w:t>
                  </w:r>
                  <w:r>
                    <w:rPr>
                      <w:bCs/>
                      <w:color w:val="auto"/>
                      <w:szCs w:val="21"/>
                    </w:rPr>
                    <w:t>月</w:t>
                  </w:r>
                  <w:r>
                    <w:rPr>
                      <w:rFonts w:hint="eastAsia"/>
                      <w:bCs/>
                      <w:color w:val="auto"/>
                      <w:szCs w:val="21"/>
                    </w:rPr>
                    <w:t>6</w:t>
                  </w:r>
                  <w:r>
                    <w:rPr>
                      <w:bCs/>
                      <w:color w:val="auto"/>
                      <w:szCs w:val="21"/>
                    </w:rPr>
                    <w:t>日</w:t>
                  </w:r>
                  <w:r>
                    <w:rPr>
                      <w:rFonts w:hint="eastAsia"/>
                      <w:color w:val="auto"/>
                      <w:szCs w:val="21"/>
                    </w:rPr>
                    <w:t>冀环表[2010]8号</w:t>
                  </w:r>
                </w:p>
              </w:tc>
              <w:tc>
                <w:tcPr>
                  <w:tcW w:w="1127" w:type="pct"/>
                  <w:vMerge w:val="restart"/>
                  <w:noWrap/>
                  <w:vAlign w:val="center"/>
                </w:tcPr>
                <w:p w14:paraId="710466FA">
                  <w:pPr>
                    <w:jc w:val="center"/>
                    <w:rPr>
                      <w:bCs/>
                      <w:color w:val="auto"/>
                      <w:szCs w:val="21"/>
                    </w:rPr>
                  </w:pPr>
                  <w:r>
                    <w:rPr>
                      <w:bCs/>
                      <w:color w:val="auto"/>
                      <w:szCs w:val="21"/>
                    </w:rPr>
                    <w:t>原</w:t>
                  </w:r>
                  <w:r>
                    <w:rPr>
                      <w:rFonts w:hint="eastAsia"/>
                      <w:color w:val="auto"/>
                      <w:szCs w:val="21"/>
                    </w:rPr>
                    <w:t>唐山高新技术产业开发区环境保护局</w:t>
                  </w:r>
                  <w:r>
                    <w:rPr>
                      <w:color w:val="auto"/>
                      <w:szCs w:val="21"/>
                    </w:rPr>
                    <w:t>201</w:t>
                  </w:r>
                  <w:r>
                    <w:rPr>
                      <w:rFonts w:hint="eastAsia"/>
                      <w:color w:val="auto"/>
                      <w:szCs w:val="21"/>
                    </w:rPr>
                    <w:t>7</w:t>
                  </w:r>
                  <w:r>
                    <w:rPr>
                      <w:color w:val="auto"/>
                      <w:szCs w:val="21"/>
                    </w:rPr>
                    <w:t>年1月9日</w:t>
                  </w:r>
                  <w:r>
                    <w:rPr>
                      <w:rFonts w:hint="eastAsia"/>
                      <w:color w:val="auto"/>
                      <w:szCs w:val="21"/>
                    </w:rPr>
                    <w:t>唐高环验[2017]1号</w:t>
                  </w:r>
                </w:p>
              </w:tc>
            </w:tr>
            <w:tr w14:paraId="0652744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73" w:type="pct"/>
                  <w:noWrap/>
                  <w:vAlign w:val="center"/>
                </w:tcPr>
                <w:p w14:paraId="15F19CE1">
                  <w:pPr>
                    <w:jc w:val="center"/>
                    <w:rPr>
                      <w:color w:val="auto"/>
                      <w:szCs w:val="21"/>
                    </w:rPr>
                  </w:pPr>
                  <w:r>
                    <w:rPr>
                      <w:rFonts w:hint="eastAsia"/>
                      <w:color w:val="auto"/>
                      <w:szCs w:val="21"/>
                    </w:rPr>
                    <w:t>大型多向模锻件及重型装备自主化产业基地建设项目</w:t>
                  </w:r>
                </w:p>
              </w:tc>
              <w:tc>
                <w:tcPr>
                  <w:tcW w:w="781" w:type="pct"/>
                  <w:noWrap/>
                  <w:vAlign w:val="center"/>
                </w:tcPr>
                <w:p w14:paraId="2D96ED2C">
                  <w:pPr>
                    <w:jc w:val="center"/>
                    <w:rPr>
                      <w:bCs/>
                      <w:color w:val="auto"/>
                      <w:szCs w:val="21"/>
                    </w:rPr>
                  </w:pPr>
                  <w:r>
                    <w:rPr>
                      <w:bCs/>
                      <w:color w:val="auto"/>
                      <w:szCs w:val="21"/>
                    </w:rPr>
                    <w:t>环境影响</w:t>
                  </w:r>
                  <w:r>
                    <w:rPr>
                      <w:rFonts w:hint="eastAsia"/>
                      <w:bCs/>
                      <w:color w:val="auto"/>
                      <w:szCs w:val="21"/>
                    </w:rPr>
                    <w:t>补充评价</w:t>
                  </w:r>
                </w:p>
              </w:tc>
              <w:tc>
                <w:tcPr>
                  <w:tcW w:w="767" w:type="pct"/>
                  <w:noWrap/>
                  <w:vAlign w:val="center"/>
                </w:tcPr>
                <w:p w14:paraId="0931F0FD">
                  <w:pPr>
                    <w:jc w:val="center"/>
                    <w:rPr>
                      <w:color w:val="auto"/>
                      <w:szCs w:val="21"/>
                    </w:rPr>
                  </w:pPr>
                  <w:r>
                    <w:rPr>
                      <w:rFonts w:hint="eastAsia"/>
                      <w:bCs/>
                      <w:color w:val="auto"/>
                      <w:szCs w:val="21"/>
                    </w:rPr>
                    <w:t>原高新区环保局</w:t>
                  </w:r>
                </w:p>
              </w:tc>
              <w:tc>
                <w:tcPr>
                  <w:tcW w:w="950" w:type="pct"/>
                  <w:noWrap/>
                  <w:vAlign w:val="center"/>
                </w:tcPr>
                <w:p w14:paraId="33B078FB">
                  <w:pPr>
                    <w:jc w:val="center"/>
                    <w:rPr>
                      <w:color w:val="auto"/>
                      <w:szCs w:val="21"/>
                    </w:rPr>
                  </w:pPr>
                  <w:r>
                    <w:rPr>
                      <w:rFonts w:hint="eastAsia"/>
                      <w:bCs/>
                      <w:color w:val="auto"/>
                      <w:szCs w:val="21"/>
                    </w:rPr>
                    <w:t>唐</w:t>
                  </w:r>
                  <w:r>
                    <w:rPr>
                      <w:bCs/>
                      <w:color w:val="auto"/>
                      <w:szCs w:val="21"/>
                    </w:rPr>
                    <w:t>高环评表</w:t>
                  </w:r>
                  <w:r>
                    <w:rPr>
                      <w:rFonts w:hint="eastAsia"/>
                      <w:color w:val="auto"/>
                      <w:szCs w:val="21"/>
                    </w:rPr>
                    <w:t>[2016]</w:t>
                  </w:r>
                  <w:r>
                    <w:rPr>
                      <w:rFonts w:hint="eastAsia"/>
                      <w:color w:val="auto"/>
                      <w:szCs w:val="21"/>
                      <w:lang w:val="en-US" w:eastAsia="zh-CN"/>
                    </w:rPr>
                    <w:t>9</w:t>
                  </w:r>
                  <w:r>
                    <w:rPr>
                      <w:rFonts w:hint="eastAsia"/>
                      <w:color w:val="auto"/>
                      <w:szCs w:val="21"/>
                    </w:rPr>
                    <w:t>号</w:t>
                  </w:r>
                </w:p>
              </w:tc>
              <w:tc>
                <w:tcPr>
                  <w:tcW w:w="1127" w:type="pct"/>
                  <w:vMerge w:val="continue"/>
                  <w:noWrap/>
                  <w:vAlign w:val="center"/>
                </w:tcPr>
                <w:p w14:paraId="7BC0D5E2">
                  <w:pPr>
                    <w:jc w:val="center"/>
                    <w:rPr>
                      <w:bCs/>
                      <w:color w:val="auto"/>
                      <w:szCs w:val="21"/>
                    </w:rPr>
                  </w:pPr>
                </w:p>
              </w:tc>
            </w:tr>
            <w:tr w14:paraId="7E55AE2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73" w:type="pct"/>
                  <w:noWrap/>
                  <w:vAlign w:val="center"/>
                </w:tcPr>
                <w:p w14:paraId="77E462D0">
                  <w:pPr>
                    <w:jc w:val="center"/>
                    <w:rPr>
                      <w:rFonts w:hint="eastAsia" w:eastAsia="宋体"/>
                      <w:color w:val="auto"/>
                      <w:szCs w:val="21"/>
                      <w:lang w:eastAsia="zh-CN"/>
                    </w:rPr>
                  </w:pPr>
                  <w:r>
                    <w:rPr>
                      <w:rFonts w:hint="eastAsia"/>
                      <w:color w:val="auto"/>
                      <w:szCs w:val="21"/>
                      <w:lang w:eastAsia="zh-CN"/>
                    </w:rPr>
                    <w:t>中冶重工（唐山）有限公司大型多向模锻产能提升项目</w:t>
                  </w:r>
                </w:p>
              </w:tc>
              <w:tc>
                <w:tcPr>
                  <w:tcW w:w="781" w:type="pct"/>
                  <w:noWrap/>
                  <w:vAlign w:val="center"/>
                </w:tcPr>
                <w:p w14:paraId="4060C558">
                  <w:pPr>
                    <w:jc w:val="center"/>
                    <w:rPr>
                      <w:bCs/>
                      <w:color w:val="auto"/>
                      <w:szCs w:val="21"/>
                    </w:rPr>
                  </w:pPr>
                  <w:r>
                    <w:rPr>
                      <w:bCs/>
                      <w:color w:val="auto"/>
                      <w:szCs w:val="21"/>
                    </w:rPr>
                    <w:t>环境影响评价报告</w:t>
                  </w:r>
                  <w:r>
                    <w:rPr>
                      <w:rFonts w:hint="eastAsia"/>
                      <w:bCs/>
                      <w:color w:val="auto"/>
                      <w:szCs w:val="21"/>
                    </w:rPr>
                    <w:t>表</w:t>
                  </w:r>
                </w:p>
              </w:tc>
              <w:tc>
                <w:tcPr>
                  <w:tcW w:w="767" w:type="pct"/>
                  <w:noWrap/>
                  <w:vAlign w:val="center"/>
                </w:tcPr>
                <w:p w14:paraId="6A109A55">
                  <w:pPr>
                    <w:jc w:val="center"/>
                    <w:rPr>
                      <w:color w:val="auto"/>
                      <w:szCs w:val="21"/>
                    </w:rPr>
                  </w:pPr>
                  <w:r>
                    <w:rPr>
                      <w:rFonts w:hint="eastAsia"/>
                      <w:color w:val="auto"/>
                      <w:szCs w:val="21"/>
                    </w:rPr>
                    <w:t>唐山高新技术产业开发区行政审批局</w:t>
                  </w:r>
                </w:p>
              </w:tc>
              <w:tc>
                <w:tcPr>
                  <w:tcW w:w="950" w:type="pct"/>
                  <w:noWrap/>
                  <w:vAlign w:val="center"/>
                </w:tcPr>
                <w:p w14:paraId="522CE03D">
                  <w:pPr>
                    <w:jc w:val="center"/>
                    <w:rPr>
                      <w:color w:val="auto"/>
                      <w:szCs w:val="21"/>
                    </w:rPr>
                  </w:pPr>
                  <w:r>
                    <w:rPr>
                      <w:rFonts w:hint="eastAsia"/>
                      <w:color w:val="auto"/>
                      <w:szCs w:val="21"/>
                    </w:rPr>
                    <w:t>唐高行审环表</w:t>
                  </w:r>
                  <w:r>
                    <w:rPr>
                      <w:color w:val="auto"/>
                      <w:szCs w:val="21"/>
                    </w:rPr>
                    <w:t>[</w:t>
                  </w:r>
                  <w:r>
                    <w:rPr>
                      <w:rFonts w:hint="eastAsia"/>
                      <w:color w:val="auto"/>
                      <w:szCs w:val="21"/>
                    </w:rPr>
                    <w:t>2023</w:t>
                  </w:r>
                  <w:r>
                    <w:rPr>
                      <w:color w:val="auto"/>
                      <w:szCs w:val="21"/>
                    </w:rPr>
                    <w:t>]</w:t>
                  </w:r>
                  <w:r>
                    <w:rPr>
                      <w:rFonts w:hint="eastAsia"/>
                      <w:color w:val="auto"/>
                      <w:szCs w:val="21"/>
                    </w:rPr>
                    <w:t>11号</w:t>
                  </w:r>
                </w:p>
              </w:tc>
              <w:tc>
                <w:tcPr>
                  <w:tcW w:w="1127" w:type="pct"/>
                  <w:noWrap/>
                  <w:vAlign w:val="center"/>
                </w:tcPr>
                <w:p w14:paraId="0CA2F88B">
                  <w:pPr>
                    <w:jc w:val="center"/>
                    <w:rPr>
                      <w:bCs/>
                      <w:color w:val="auto"/>
                      <w:szCs w:val="21"/>
                    </w:rPr>
                  </w:pPr>
                  <w:r>
                    <w:rPr>
                      <w:bCs/>
                      <w:color w:val="auto"/>
                      <w:szCs w:val="21"/>
                    </w:rPr>
                    <w:t>自主验收</w:t>
                  </w:r>
                  <w:r>
                    <w:rPr>
                      <w:rFonts w:hint="eastAsia"/>
                      <w:bCs/>
                      <w:color w:val="auto"/>
                      <w:szCs w:val="21"/>
                    </w:rPr>
                    <w:t>（2024年12月24日）</w:t>
                  </w:r>
                </w:p>
              </w:tc>
            </w:tr>
            <w:tr w14:paraId="4D6D893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73" w:type="pct"/>
                  <w:noWrap/>
                  <w:vAlign w:val="center"/>
                </w:tcPr>
                <w:p w14:paraId="7CD000D2">
                  <w:pPr>
                    <w:jc w:val="center"/>
                    <w:rPr>
                      <w:rFonts w:hint="eastAsia"/>
                      <w:color w:val="auto"/>
                      <w:szCs w:val="21"/>
                      <w:lang w:eastAsia="zh-CN"/>
                    </w:rPr>
                  </w:pPr>
                  <w:bookmarkStart w:id="6" w:name="_Toc4943"/>
                  <w:bookmarkStart w:id="7" w:name="_Toc3879"/>
                  <w:r>
                    <w:rPr>
                      <w:rFonts w:hint="eastAsia" w:cs="宋体"/>
                      <w:color w:val="auto"/>
                      <w:szCs w:val="21"/>
                    </w:rPr>
                    <w:t>大型多向模锻件及重型装备自主化产业基地建设项目技改升级项目</w:t>
                  </w:r>
                </w:p>
              </w:tc>
              <w:tc>
                <w:tcPr>
                  <w:tcW w:w="781" w:type="pct"/>
                  <w:noWrap/>
                  <w:vAlign w:val="center"/>
                </w:tcPr>
                <w:p w14:paraId="19CD8367">
                  <w:pPr>
                    <w:jc w:val="center"/>
                    <w:rPr>
                      <w:bCs/>
                      <w:color w:val="auto"/>
                      <w:szCs w:val="21"/>
                    </w:rPr>
                  </w:pPr>
                  <w:r>
                    <w:rPr>
                      <w:bCs/>
                      <w:color w:val="auto"/>
                      <w:szCs w:val="21"/>
                    </w:rPr>
                    <w:t>环境影响评价报告</w:t>
                  </w:r>
                  <w:r>
                    <w:rPr>
                      <w:rFonts w:hint="eastAsia"/>
                      <w:bCs/>
                      <w:color w:val="auto"/>
                      <w:szCs w:val="21"/>
                    </w:rPr>
                    <w:t>表</w:t>
                  </w:r>
                </w:p>
              </w:tc>
              <w:tc>
                <w:tcPr>
                  <w:tcW w:w="767" w:type="pct"/>
                  <w:noWrap/>
                  <w:vAlign w:val="center"/>
                </w:tcPr>
                <w:p w14:paraId="16D58601">
                  <w:pPr>
                    <w:jc w:val="center"/>
                    <w:rPr>
                      <w:rFonts w:hint="eastAsia"/>
                      <w:color w:val="auto"/>
                      <w:szCs w:val="21"/>
                    </w:rPr>
                  </w:pPr>
                  <w:r>
                    <w:rPr>
                      <w:rFonts w:hint="eastAsia"/>
                      <w:color w:val="auto"/>
                      <w:szCs w:val="21"/>
                    </w:rPr>
                    <w:t>唐山高新技术产业开发区行政审批局</w:t>
                  </w:r>
                </w:p>
              </w:tc>
              <w:tc>
                <w:tcPr>
                  <w:tcW w:w="950" w:type="pct"/>
                  <w:noWrap/>
                  <w:vAlign w:val="center"/>
                </w:tcPr>
                <w:p w14:paraId="06FB5B27">
                  <w:pPr>
                    <w:jc w:val="center"/>
                    <w:rPr>
                      <w:rFonts w:hint="eastAsia"/>
                      <w:color w:val="auto"/>
                      <w:szCs w:val="21"/>
                    </w:rPr>
                  </w:pPr>
                  <w:r>
                    <w:rPr>
                      <w:rFonts w:hint="eastAsia"/>
                      <w:color w:val="auto"/>
                      <w:szCs w:val="21"/>
                    </w:rPr>
                    <w:t>唐高行审环表</w:t>
                  </w:r>
                  <w:r>
                    <w:rPr>
                      <w:color w:val="auto"/>
                      <w:szCs w:val="21"/>
                    </w:rPr>
                    <w:t>[</w:t>
                  </w:r>
                  <w:r>
                    <w:rPr>
                      <w:rFonts w:hint="eastAsia"/>
                      <w:color w:val="auto"/>
                      <w:szCs w:val="21"/>
                    </w:rPr>
                    <w:t>202</w:t>
                  </w:r>
                  <w:r>
                    <w:rPr>
                      <w:rFonts w:hint="eastAsia"/>
                      <w:color w:val="auto"/>
                      <w:szCs w:val="21"/>
                      <w:lang w:val="en-US" w:eastAsia="zh-CN"/>
                    </w:rPr>
                    <w:t>5</w:t>
                  </w:r>
                  <w:r>
                    <w:rPr>
                      <w:color w:val="auto"/>
                      <w:szCs w:val="21"/>
                    </w:rPr>
                    <w:t>]</w:t>
                  </w:r>
                  <w:r>
                    <w:rPr>
                      <w:rFonts w:hint="eastAsia"/>
                      <w:color w:val="auto"/>
                      <w:szCs w:val="21"/>
                      <w:lang w:val="en-US" w:eastAsia="zh-CN"/>
                    </w:rPr>
                    <w:t>6</w:t>
                  </w:r>
                  <w:r>
                    <w:rPr>
                      <w:rFonts w:hint="eastAsia"/>
                      <w:color w:val="auto"/>
                      <w:szCs w:val="21"/>
                    </w:rPr>
                    <w:t>号</w:t>
                  </w:r>
                </w:p>
              </w:tc>
              <w:tc>
                <w:tcPr>
                  <w:tcW w:w="1127" w:type="pct"/>
                  <w:noWrap/>
                  <w:vAlign w:val="center"/>
                </w:tcPr>
                <w:p w14:paraId="1E8AC61F">
                  <w:pPr>
                    <w:jc w:val="center"/>
                    <w:rPr>
                      <w:bCs/>
                      <w:color w:val="auto"/>
                      <w:szCs w:val="21"/>
                    </w:rPr>
                  </w:pPr>
                  <w:r>
                    <w:rPr>
                      <w:bCs/>
                      <w:color w:val="auto"/>
                      <w:szCs w:val="21"/>
                    </w:rPr>
                    <w:t>自主验收</w:t>
                  </w:r>
                  <w:r>
                    <w:rPr>
                      <w:rFonts w:hint="eastAsia"/>
                      <w:bCs/>
                      <w:color w:val="auto"/>
                      <w:szCs w:val="21"/>
                    </w:rPr>
                    <w:t>（202</w:t>
                  </w:r>
                  <w:r>
                    <w:rPr>
                      <w:rFonts w:hint="eastAsia"/>
                      <w:bCs/>
                      <w:color w:val="auto"/>
                      <w:szCs w:val="21"/>
                      <w:lang w:val="en-US" w:eastAsia="zh-CN"/>
                    </w:rPr>
                    <w:t>5</w:t>
                  </w:r>
                  <w:r>
                    <w:rPr>
                      <w:rFonts w:hint="eastAsia"/>
                      <w:bCs/>
                      <w:color w:val="auto"/>
                      <w:szCs w:val="21"/>
                    </w:rPr>
                    <w:t>年1</w:t>
                  </w:r>
                  <w:r>
                    <w:rPr>
                      <w:rFonts w:hint="eastAsia"/>
                      <w:bCs/>
                      <w:color w:val="auto"/>
                      <w:szCs w:val="21"/>
                      <w:lang w:val="en-US" w:eastAsia="zh-CN"/>
                    </w:rPr>
                    <w:t>0</w:t>
                  </w:r>
                  <w:r>
                    <w:rPr>
                      <w:rFonts w:hint="eastAsia"/>
                      <w:bCs/>
                      <w:color w:val="auto"/>
                      <w:szCs w:val="21"/>
                    </w:rPr>
                    <w:t>月</w:t>
                  </w:r>
                  <w:r>
                    <w:rPr>
                      <w:rFonts w:hint="eastAsia"/>
                      <w:bCs/>
                      <w:color w:val="auto"/>
                      <w:szCs w:val="21"/>
                      <w:lang w:val="en-US" w:eastAsia="zh-CN"/>
                    </w:rPr>
                    <w:t>22</w:t>
                  </w:r>
                  <w:r>
                    <w:rPr>
                      <w:rFonts w:hint="eastAsia"/>
                      <w:bCs/>
                      <w:color w:val="auto"/>
                      <w:szCs w:val="21"/>
                    </w:rPr>
                    <w:t>日）</w:t>
                  </w:r>
                </w:p>
              </w:tc>
            </w:tr>
          </w:tbl>
          <w:p w14:paraId="1F59ECF2">
            <w:pPr>
              <w:pStyle w:val="122"/>
              <w:rPr>
                <w:color w:val="auto"/>
              </w:rPr>
            </w:pPr>
            <w:r>
              <w:rPr>
                <w:color w:val="auto"/>
              </w:rPr>
              <w:t>2</w:t>
            </w:r>
            <w:r>
              <w:rPr>
                <w:rFonts w:hint="eastAsia"/>
                <w:color w:val="auto"/>
              </w:rPr>
              <w:t>、</w:t>
            </w:r>
            <w:r>
              <w:rPr>
                <w:color w:val="auto"/>
              </w:rPr>
              <w:t>现有工程基本情况</w:t>
            </w:r>
            <w:bookmarkEnd w:id="6"/>
          </w:p>
          <w:p w14:paraId="3F64DD0F">
            <w:pPr>
              <w:pStyle w:val="119"/>
              <w:rPr>
                <w:color w:val="auto"/>
              </w:rPr>
            </w:pPr>
            <w:r>
              <w:rPr>
                <w:color w:val="auto"/>
              </w:rPr>
              <w:t>2.1产品方案及规模</w:t>
            </w:r>
          </w:p>
          <w:p w14:paraId="390DD2A3">
            <w:pPr>
              <w:adjustRightInd w:val="0"/>
              <w:snapToGrid w:val="0"/>
              <w:spacing w:line="360" w:lineRule="auto"/>
              <w:ind w:firstLine="420" w:firstLineChars="200"/>
              <w:rPr>
                <w:color w:val="auto"/>
                <w:spacing w:val="5"/>
                <w:szCs w:val="21"/>
                <w:lang w:bidi="en-US"/>
              </w:rPr>
            </w:pPr>
            <w:r>
              <w:rPr>
                <w:rFonts w:hint="eastAsia"/>
                <w:color w:val="auto"/>
                <w:szCs w:val="21"/>
              </w:rPr>
              <w:t>年产大型模锻件和重型装备63000t，其中大型模锻件55000t（含喷涂模锻件8000t/a）、重型装备8000t（含喷涂装备2000t/a）</w:t>
            </w:r>
            <w:r>
              <w:rPr>
                <w:rFonts w:hint="eastAsia"/>
                <w:color w:val="auto"/>
                <w:spacing w:val="5"/>
                <w:szCs w:val="21"/>
              </w:rPr>
              <w:t>。</w:t>
            </w:r>
          </w:p>
          <w:p w14:paraId="21C9B8DB">
            <w:pPr>
              <w:pStyle w:val="119"/>
              <w:rPr>
                <w:color w:val="auto"/>
              </w:rPr>
            </w:pPr>
            <w:r>
              <w:rPr>
                <w:color w:val="auto"/>
              </w:rPr>
              <w:t>2.2工程基本组成</w:t>
            </w:r>
          </w:p>
          <w:p w14:paraId="127CBE84">
            <w:pPr>
              <w:pStyle w:val="10"/>
              <w:rPr>
                <w:color w:val="auto"/>
              </w:rPr>
            </w:pPr>
            <w:r>
              <w:rPr>
                <w:rFonts w:hint="eastAsia"/>
                <w:color w:val="auto"/>
              </w:rPr>
              <w:t>表2</w:t>
            </w:r>
            <w:r>
              <w:rPr>
                <w:rFonts w:hint="eastAsia"/>
                <w:color w:val="auto"/>
                <w:lang w:eastAsia="zh-CN"/>
              </w:rPr>
              <w:t>-</w:t>
            </w:r>
            <w:r>
              <w:rPr>
                <w:rFonts w:hint="eastAsia"/>
                <w:color w:val="auto"/>
                <w:lang w:val="en-US" w:eastAsia="zh-CN"/>
              </w:rPr>
              <w:t>13</w:t>
            </w:r>
            <w:r>
              <w:rPr>
                <w:rFonts w:hint="eastAsia"/>
                <w:color w:val="auto"/>
                <w:spacing w:val="5"/>
                <w:szCs w:val="21"/>
              </w:rPr>
              <w:t>现有</w:t>
            </w:r>
            <w:r>
              <w:rPr>
                <w:color w:val="auto"/>
                <w:spacing w:val="5"/>
                <w:szCs w:val="21"/>
              </w:rPr>
              <w:t>工程基本组成一览表</w:t>
            </w:r>
          </w:p>
          <w:bookmarkEnd w:id="7"/>
          <w:tbl>
            <w:tblPr>
              <w:tblStyle w:val="33"/>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1"/>
              <w:gridCol w:w="1124"/>
              <w:gridCol w:w="1697"/>
              <w:gridCol w:w="4827"/>
            </w:tblGrid>
            <w:tr w14:paraId="1DA7333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2" w:type="pct"/>
                  <w:vAlign w:val="center"/>
                </w:tcPr>
                <w:p w14:paraId="74858FB8">
                  <w:pPr>
                    <w:jc w:val="center"/>
                    <w:rPr>
                      <w:color w:val="auto"/>
                    </w:rPr>
                  </w:pPr>
                  <w:bookmarkStart w:id="8" w:name="_Toc28013"/>
                  <w:r>
                    <w:rPr>
                      <w:color w:val="auto"/>
                    </w:rPr>
                    <w:t>工程分类</w:t>
                  </w:r>
                </w:p>
              </w:tc>
              <w:tc>
                <w:tcPr>
                  <w:tcW w:w="677" w:type="pct"/>
                  <w:vAlign w:val="center"/>
                </w:tcPr>
                <w:p w14:paraId="46010349">
                  <w:pPr>
                    <w:jc w:val="center"/>
                    <w:rPr>
                      <w:color w:val="auto"/>
                    </w:rPr>
                  </w:pPr>
                  <w:r>
                    <w:rPr>
                      <w:color w:val="auto"/>
                    </w:rPr>
                    <w:t>项目名称</w:t>
                  </w:r>
                </w:p>
              </w:tc>
              <w:tc>
                <w:tcPr>
                  <w:tcW w:w="3930" w:type="pct"/>
                  <w:gridSpan w:val="2"/>
                  <w:vAlign w:val="center"/>
                </w:tcPr>
                <w:p w14:paraId="2B3F925E">
                  <w:pPr>
                    <w:jc w:val="center"/>
                    <w:rPr>
                      <w:color w:val="auto"/>
                    </w:rPr>
                  </w:pPr>
                  <w:r>
                    <w:rPr>
                      <w:color w:val="auto"/>
                    </w:rPr>
                    <w:t>建设内容</w:t>
                  </w:r>
                </w:p>
              </w:tc>
            </w:tr>
            <w:tr w14:paraId="2A0D591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392" w:type="pct"/>
                  <w:vMerge w:val="restart"/>
                  <w:vAlign w:val="center"/>
                </w:tcPr>
                <w:p w14:paraId="0F07F770">
                  <w:pPr>
                    <w:jc w:val="center"/>
                    <w:rPr>
                      <w:color w:val="auto"/>
                    </w:rPr>
                  </w:pPr>
                  <w:r>
                    <w:rPr>
                      <w:color w:val="auto"/>
                    </w:rPr>
                    <w:t>主体工程</w:t>
                  </w:r>
                </w:p>
              </w:tc>
              <w:tc>
                <w:tcPr>
                  <w:tcW w:w="677" w:type="pct"/>
                  <w:vAlign w:val="center"/>
                </w:tcPr>
                <w:p w14:paraId="5A446EAC">
                  <w:pPr>
                    <w:jc w:val="center"/>
                    <w:rPr>
                      <w:color w:val="auto"/>
                    </w:rPr>
                  </w:pPr>
                  <w:r>
                    <w:rPr>
                      <w:rFonts w:hint="eastAsia"/>
                      <w:color w:val="auto"/>
                    </w:rPr>
                    <w:t>精锻</w:t>
                  </w:r>
                  <w:r>
                    <w:rPr>
                      <w:color w:val="auto"/>
                    </w:rPr>
                    <w:t>车间</w:t>
                  </w:r>
                </w:p>
              </w:tc>
              <w:tc>
                <w:tcPr>
                  <w:tcW w:w="3930" w:type="pct"/>
                  <w:gridSpan w:val="2"/>
                  <w:vAlign w:val="center"/>
                </w:tcPr>
                <w:p w14:paraId="6DD8963F">
                  <w:pPr>
                    <w:rPr>
                      <w:color w:val="auto"/>
                    </w:rPr>
                  </w:pPr>
                  <w:r>
                    <w:rPr>
                      <w:rFonts w:hint="eastAsia"/>
                      <w:color w:val="auto"/>
                    </w:rPr>
                    <w:t>1层，占地面积11569m</w:t>
                  </w:r>
                  <w:r>
                    <w:rPr>
                      <w:rFonts w:hint="eastAsia"/>
                      <w:color w:val="auto"/>
                      <w:vertAlign w:val="superscript"/>
                    </w:rPr>
                    <w:t>2</w:t>
                  </w:r>
                  <w:r>
                    <w:rPr>
                      <w:rFonts w:hint="eastAsia"/>
                      <w:color w:val="auto"/>
                    </w:rPr>
                    <w:t>，建筑面积11569m</w:t>
                  </w:r>
                  <w:r>
                    <w:rPr>
                      <w:rFonts w:hint="eastAsia"/>
                      <w:color w:val="auto"/>
                      <w:vertAlign w:val="superscript"/>
                    </w:rPr>
                    <w:t>2</w:t>
                  </w:r>
                  <w:r>
                    <w:rPr>
                      <w:rFonts w:hint="eastAsia"/>
                      <w:color w:val="auto"/>
                    </w:rPr>
                    <w:t>，单层钢结构厂房，内含热处理车间</w:t>
                  </w:r>
                  <w:r>
                    <w:rPr>
                      <w:rFonts w:hint="eastAsia"/>
                      <w:color w:val="auto"/>
                      <w:highlight w:val="none"/>
                    </w:rPr>
                    <w:t>，</w:t>
                  </w:r>
                  <w:r>
                    <w:rPr>
                      <w:rFonts w:hint="eastAsia"/>
                      <w:color w:val="auto"/>
                      <w:szCs w:val="21"/>
                      <w:highlight w:val="none"/>
                    </w:rPr>
                    <w:t>高2</w:t>
                  </w:r>
                  <w:r>
                    <w:rPr>
                      <w:rFonts w:hint="eastAsia"/>
                      <w:color w:val="auto"/>
                      <w:szCs w:val="21"/>
                      <w:highlight w:val="none"/>
                      <w:lang w:val="en-US" w:eastAsia="zh-CN"/>
                    </w:rPr>
                    <w:t>1</w:t>
                  </w:r>
                  <w:r>
                    <w:rPr>
                      <w:rFonts w:hint="eastAsia"/>
                      <w:color w:val="auto"/>
                      <w:szCs w:val="21"/>
                      <w:highlight w:val="none"/>
                    </w:rPr>
                    <w:t>m</w:t>
                  </w:r>
                </w:p>
              </w:tc>
            </w:tr>
            <w:tr w14:paraId="13238A2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2" w:type="pct"/>
                  <w:vMerge w:val="continue"/>
                  <w:vAlign w:val="center"/>
                </w:tcPr>
                <w:p w14:paraId="7DB84A04">
                  <w:pPr>
                    <w:jc w:val="center"/>
                    <w:rPr>
                      <w:color w:val="auto"/>
                    </w:rPr>
                  </w:pPr>
                </w:p>
              </w:tc>
              <w:tc>
                <w:tcPr>
                  <w:tcW w:w="677" w:type="pct"/>
                  <w:vAlign w:val="center"/>
                </w:tcPr>
                <w:p w14:paraId="039D8FB1">
                  <w:pPr>
                    <w:jc w:val="center"/>
                    <w:rPr>
                      <w:color w:val="auto"/>
                    </w:rPr>
                  </w:pPr>
                  <w:r>
                    <w:rPr>
                      <w:rFonts w:hint="eastAsia"/>
                      <w:color w:val="auto"/>
                    </w:rPr>
                    <w:t>重型</w:t>
                  </w:r>
                  <w:r>
                    <w:rPr>
                      <w:color w:val="auto"/>
                    </w:rPr>
                    <w:t>车间</w:t>
                  </w:r>
                </w:p>
              </w:tc>
              <w:tc>
                <w:tcPr>
                  <w:tcW w:w="3930" w:type="pct"/>
                  <w:gridSpan w:val="2"/>
                  <w:vAlign w:val="center"/>
                </w:tcPr>
                <w:p w14:paraId="625DE6DB">
                  <w:pPr>
                    <w:rPr>
                      <w:color w:val="auto"/>
                    </w:rPr>
                  </w:pPr>
                  <w:r>
                    <w:rPr>
                      <w:rFonts w:hint="eastAsia"/>
                      <w:color w:val="auto"/>
                    </w:rPr>
                    <w:t>1层，占地面积15907m</w:t>
                  </w:r>
                  <w:r>
                    <w:rPr>
                      <w:rFonts w:hint="eastAsia"/>
                      <w:color w:val="auto"/>
                      <w:vertAlign w:val="superscript"/>
                    </w:rPr>
                    <w:t>2</w:t>
                  </w:r>
                  <w:r>
                    <w:rPr>
                      <w:rFonts w:hint="eastAsia"/>
                      <w:color w:val="auto"/>
                    </w:rPr>
                    <w:t>，建筑面积15907m</w:t>
                  </w:r>
                  <w:r>
                    <w:rPr>
                      <w:rFonts w:hint="eastAsia"/>
                      <w:color w:val="auto"/>
                      <w:vertAlign w:val="superscript"/>
                    </w:rPr>
                    <w:t>2</w:t>
                  </w:r>
                  <w:r>
                    <w:rPr>
                      <w:rFonts w:hint="eastAsia"/>
                      <w:color w:val="auto"/>
                    </w:rPr>
                    <w:t>，单层钢结构厂房</w:t>
                  </w:r>
                  <w:r>
                    <w:rPr>
                      <w:rFonts w:hint="eastAsia"/>
                      <w:color w:val="auto"/>
                      <w:highlight w:val="none"/>
                    </w:rPr>
                    <w:t>，</w:t>
                  </w:r>
                  <w:r>
                    <w:rPr>
                      <w:rFonts w:hint="eastAsia"/>
                      <w:color w:val="auto"/>
                      <w:szCs w:val="21"/>
                      <w:highlight w:val="none"/>
                    </w:rPr>
                    <w:t>高2</w:t>
                  </w:r>
                  <w:r>
                    <w:rPr>
                      <w:rFonts w:hint="eastAsia"/>
                      <w:color w:val="auto"/>
                      <w:szCs w:val="21"/>
                      <w:highlight w:val="none"/>
                      <w:lang w:val="en-US" w:eastAsia="zh-CN"/>
                    </w:rPr>
                    <w:t>1</w:t>
                  </w:r>
                  <w:r>
                    <w:rPr>
                      <w:rFonts w:hint="eastAsia"/>
                      <w:color w:val="auto"/>
                      <w:szCs w:val="21"/>
                      <w:highlight w:val="none"/>
                    </w:rPr>
                    <w:t>m</w:t>
                  </w:r>
                </w:p>
              </w:tc>
            </w:tr>
            <w:tr w14:paraId="183EC9D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2" w:type="pct"/>
                  <w:vMerge w:val="continue"/>
                  <w:vAlign w:val="center"/>
                </w:tcPr>
                <w:p w14:paraId="20CB1A9A">
                  <w:pPr>
                    <w:jc w:val="center"/>
                    <w:rPr>
                      <w:color w:val="auto"/>
                    </w:rPr>
                  </w:pPr>
                </w:p>
              </w:tc>
              <w:tc>
                <w:tcPr>
                  <w:tcW w:w="677" w:type="pct"/>
                  <w:vAlign w:val="center"/>
                </w:tcPr>
                <w:p w14:paraId="34DA6929">
                  <w:pPr>
                    <w:jc w:val="center"/>
                    <w:rPr>
                      <w:color w:val="auto"/>
                    </w:rPr>
                  </w:pPr>
                  <w:r>
                    <w:rPr>
                      <w:rFonts w:hint="eastAsia"/>
                      <w:color w:val="auto"/>
                      <w:lang w:val="en-US" w:eastAsia="zh-CN"/>
                    </w:rPr>
                    <w:t>高压</w:t>
                  </w:r>
                  <w:r>
                    <w:rPr>
                      <w:rFonts w:hint="eastAsia"/>
                      <w:color w:val="auto"/>
                    </w:rPr>
                    <w:t>管汇车间</w:t>
                  </w:r>
                </w:p>
              </w:tc>
              <w:tc>
                <w:tcPr>
                  <w:tcW w:w="3930" w:type="pct"/>
                  <w:gridSpan w:val="2"/>
                  <w:vAlign w:val="center"/>
                </w:tcPr>
                <w:p w14:paraId="577F93F2">
                  <w:pPr>
                    <w:rPr>
                      <w:color w:val="auto"/>
                    </w:rPr>
                  </w:pPr>
                  <w:r>
                    <w:rPr>
                      <w:rFonts w:hint="eastAsia"/>
                      <w:color w:val="auto"/>
                    </w:rPr>
                    <w:t>1层，占地面积</w:t>
                  </w:r>
                  <w:r>
                    <w:rPr>
                      <w:rFonts w:hint="eastAsia"/>
                      <w:color w:val="auto"/>
                      <w:lang w:eastAsia="zh-CN"/>
                    </w:rPr>
                    <w:t>10961.17</w:t>
                  </w:r>
                  <w:r>
                    <w:rPr>
                      <w:rFonts w:hint="eastAsia"/>
                      <w:color w:val="auto"/>
                    </w:rPr>
                    <w:t>m</w:t>
                  </w:r>
                  <w:r>
                    <w:rPr>
                      <w:rFonts w:hint="eastAsia"/>
                      <w:color w:val="auto"/>
                      <w:vertAlign w:val="superscript"/>
                    </w:rPr>
                    <w:t>2</w:t>
                  </w:r>
                  <w:r>
                    <w:rPr>
                      <w:rFonts w:hint="eastAsia"/>
                      <w:color w:val="auto"/>
                    </w:rPr>
                    <w:t>，建筑面积</w:t>
                  </w:r>
                  <w:r>
                    <w:rPr>
                      <w:rFonts w:hint="eastAsia"/>
                      <w:color w:val="auto"/>
                      <w:lang w:eastAsia="zh-CN"/>
                    </w:rPr>
                    <w:t>10961.17</w:t>
                  </w:r>
                  <w:r>
                    <w:rPr>
                      <w:rFonts w:hint="eastAsia"/>
                      <w:color w:val="auto"/>
                    </w:rPr>
                    <w:t>m</w:t>
                  </w:r>
                  <w:r>
                    <w:rPr>
                      <w:rFonts w:hint="eastAsia"/>
                      <w:color w:val="auto"/>
                      <w:vertAlign w:val="superscript"/>
                    </w:rPr>
                    <w:t>2</w:t>
                  </w:r>
                  <w:r>
                    <w:rPr>
                      <w:rFonts w:hint="eastAsia"/>
                      <w:color w:val="auto"/>
                    </w:rPr>
                    <w:t>，单层钢结构厂房</w:t>
                  </w:r>
                  <w:r>
                    <w:rPr>
                      <w:rFonts w:hint="eastAsia"/>
                      <w:color w:val="auto"/>
                      <w:highlight w:val="none"/>
                    </w:rPr>
                    <w:t>，</w:t>
                  </w:r>
                  <w:r>
                    <w:rPr>
                      <w:rFonts w:hint="eastAsia"/>
                      <w:color w:val="auto"/>
                      <w:szCs w:val="21"/>
                      <w:highlight w:val="none"/>
                    </w:rPr>
                    <w:t>高</w:t>
                  </w:r>
                  <w:r>
                    <w:rPr>
                      <w:rFonts w:hint="eastAsia"/>
                      <w:color w:val="auto"/>
                      <w:szCs w:val="21"/>
                      <w:highlight w:val="none"/>
                      <w:lang w:val="en-US" w:eastAsia="zh-CN"/>
                    </w:rPr>
                    <w:t>16.3</w:t>
                  </w:r>
                  <w:r>
                    <w:rPr>
                      <w:rFonts w:hint="eastAsia"/>
                      <w:color w:val="auto"/>
                      <w:szCs w:val="21"/>
                      <w:highlight w:val="none"/>
                    </w:rPr>
                    <w:t>m</w:t>
                  </w:r>
                </w:p>
              </w:tc>
            </w:tr>
            <w:tr w14:paraId="2ECD9D2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2" w:type="pct"/>
                  <w:vMerge w:val="restart"/>
                  <w:vAlign w:val="center"/>
                </w:tcPr>
                <w:p w14:paraId="3525623B">
                  <w:pPr>
                    <w:jc w:val="center"/>
                    <w:rPr>
                      <w:color w:val="auto"/>
                    </w:rPr>
                  </w:pPr>
                  <w:r>
                    <w:rPr>
                      <w:color w:val="auto"/>
                    </w:rPr>
                    <w:t>辅助工程</w:t>
                  </w:r>
                </w:p>
              </w:tc>
              <w:tc>
                <w:tcPr>
                  <w:tcW w:w="677" w:type="pct"/>
                  <w:vAlign w:val="center"/>
                </w:tcPr>
                <w:p w14:paraId="6EAD113D">
                  <w:pPr>
                    <w:jc w:val="center"/>
                    <w:rPr>
                      <w:color w:val="auto"/>
                    </w:rPr>
                  </w:pPr>
                  <w:r>
                    <w:rPr>
                      <w:rFonts w:hint="eastAsia"/>
                      <w:color w:val="auto"/>
                    </w:rPr>
                    <w:t>综合楼</w:t>
                  </w:r>
                </w:p>
              </w:tc>
              <w:tc>
                <w:tcPr>
                  <w:tcW w:w="3930" w:type="pct"/>
                  <w:gridSpan w:val="2"/>
                  <w:vAlign w:val="center"/>
                </w:tcPr>
                <w:p w14:paraId="05798474">
                  <w:pPr>
                    <w:rPr>
                      <w:color w:val="auto"/>
                    </w:rPr>
                  </w:pPr>
                  <w:r>
                    <w:rPr>
                      <w:rFonts w:hint="eastAsia"/>
                      <w:color w:val="auto"/>
                    </w:rPr>
                    <w:t>5层，</w:t>
                  </w:r>
                  <w:r>
                    <w:rPr>
                      <w:rFonts w:hint="eastAsia"/>
                      <w:color w:val="auto"/>
                      <w:szCs w:val="21"/>
                      <w:highlight w:val="none"/>
                    </w:rPr>
                    <w:t>高</w:t>
                  </w:r>
                  <w:r>
                    <w:rPr>
                      <w:rFonts w:hint="eastAsia"/>
                      <w:color w:val="auto"/>
                      <w:szCs w:val="21"/>
                      <w:highlight w:val="none"/>
                      <w:lang w:val="en-US" w:eastAsia="zh-CN"/>
                    </w:rPr>
                    <w:t>27.3</w:t>
                  </w:r>
                  <w:r>
                    <w:rPr>
                      <w:rFonts w:hint="eastAsia"/>
                      <w:color w:val="auto"/>
                      <w:szCs w:val="21"/>
                      <w:highlight w:val="none"/>
                    </w:rPr>
                    <w:t>m，</w:t>
                  </w:r>
                  <w:r>
                    <w:rPr>
                      <w:rFonts w:hint="eastAsia"/>
                      <w:color w:val="auto"/>
                    </w:rPr>
                    <w:t>占地面积2225m</w:t>
                  </w:r>
                  <w:r>
                    <w:rPr>
                      <w:rFonts w:hint="eastAsia"/>
                      <w:color w:val="auto"/>
                      <w:vertAlign w:val="superscript"/>
                    </w:rPr>
                    <w:t>2</w:t>
                  </w:r>
                  <w:r>
                    <w:rPr>
                      <w:rFonts w:hint="eastAsia"/>
                      <w:color w:val="auto"/>
                    </w:rPr>
                    <w:t>，建筑面积11124m</w:t>
                  </w:r>
                  <w:r>
                    <w:rPr>
                      <w:rFonts w:hint="eastAsia"/>
                      <w:color w:val="auto"/>
                      <w:vertAlign w:val="superscript"/>
                    </w:rPr>
                    <w:t>2</w:t>
                  </w:r>
                </w:p>
              </w:tc>
            </w:tr>
            <w:tr w14:paraId="06B942F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2" w:type="pct"/>
                  <w:vMerge w:val="continue"/>
                  <w:vAlign w:val="center"/>
                </w:tcPr>
                <w:p w14:paraId="525229EB">
                  <w:pPr>
                    <w:jc w:val="center"/>
                    <w:rPr>
                      <w:color w:val="auto"/>
                    </w:rPr>
                  </w:pPr>
                </w:p>
              </w:tc>
              <w:tc>
                <w:tcPr>
                  <w:tcW w:w="677" w:type="pct"/>
                  <w:vAlign w:val="center"/>
                </w:tcPr>
                <w:p w14:paraId="4634D212">
                  <w:pPr>
                    <w:jc w:val="center"/>
                    <w:rPr>
                      <w:color w:val="auto"/>
                    </w:rPr>
                  </w:pPr>
                  <w:r>
                    <w:rPr>
                      <w:rFonts w:hint="eastAsia"/>
                      <w:color w:val="auto"/>
                    </w:rPr>
                    <w:t>宿舍</w:t>
                  </w:r>
                </w:p>
              </w:tc>
              <w:tc>
                <w:tcPr>
                  <w:tcW w:w="3930" w:type="pct"/>
                  <w:gridSpan w:val="2"/>
                  <w:vAlign w:val="center"/>
                </w:tcPr>
                <w:p w14:paraId="1FC3AC83">
                  <w:pPr>
                    <w:rPr>
                      <w:color w:val="auto"/>
                    </w:rPr>
                  </w:pPr>
                  <w:r>
                    <w:rPr>
                      <w:rFonts w:hint="eastAsia"/>
                      <w:color w:val="auto"/>
                    </w:rPr>
                    <w:t>5层，占地面积1483m</w:t>
                  </w:r>
                  <w:r>
                    <w:rPr>
                      <w:rFonts w:hint="eastAsia"/>
                      <w:color w:val="auto"/>
                      <w:vertAlign w:val="superscript"/>
                    </w:rPr>
                    <w:t>2</w:t>
                  </w:r>
                  <w:r>
                    <w:rPr>
                      <w:rFonts w:hint="eastAsia"/>
                      <w:color w:val="auto"/>
                    </w:rPr>
                    <w:t>，建筑面积7416m</w:t>
                  </w:r>
                  <w:r>
                    <w:rPr>
                      <w:rFonts w:hint="eastAsia"/>
                      <w:color w:val="auto"/>
                      <w:vertAlign w:val="superscript"/>
                    </w:rPr>
                    <w:t>2</w:t>
                  </w:r>
                </w:p>
              </w:tc>
            </w:tr>
            <w:tr w14:paraId="6B5C2B1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2" w:type="pct"/>
                  <w:vMerge w:val="continue"/>
                  <w:vAlign w:val="center"/>
                </w:tcPr>
                <w:p w14:paraId="08F3EA08">
                  <w:pPr>
                    <w:jc w:val="center"/>
                    <w:rPr>
                      <w:color w:val="auto"/>
                    </w:rPr>
                  </w:pPr>
                </w:p>
              </w:tc>
              <w:tc>
                <w:tcPr>
                  <w:tcW w:w="677" w:type="pct"/>
                  <w:vAlign w:val="center"/>
                </w:tcPr>
                <w:p w14:paraId="2E6C06A5">
                  <w:pPr>
                    <w:jc w:val="center"/>
                    <w:rPr>
                      <w:color w:val="auto"/>
                    </w:rPr>
                  </w:pPr>
                  <w:r>
                    <w:rPr>
                      <w:rFonts w:hint="eastAsia"/>
                      <w:color w:val="auto"/>
                    </w:rPr>
                    <w:t>食堂</w:t>
                  </w:r>
                </w:p>
              </w:tc>
              <w:tc>
                <w:tcPr>
                  <w:tcW w:w="3930" w:type="pct"/>
                  <w:gridSpan w:val="2"/>
                  <w:vAlign w:val="center"/>
                </w:tcPr>
                <w:p w14:paraId="69C50C93">
                  <w:pPr>
                    <w:rPr>
                      <w:color w:val="auto"/>
                    </w:rPr>
                  </w:pPr>
                  <w:r>
                    <w:rPr>
                      <w:rFonts w:hint="eastAsia"/>
                      <w:color w:val="auto"/>
                    </w:rPr>
                    <w:t>3层，占地面积742m</w:t>
                  </w:r>
                  <w:r>
                    <w:rPr>
                      <w:rFonts w:hint="eastAsia"/>
                      <w:color w:val="auto"/>
                      <w:vertAlign w:val="superscript"/>
                    </w:rPr>
                    <w:t>2</w:t>
                  </w:r>
                  <w:r>
                    <w:rPr>
                      <w:rFonts w:hint="eastAsia"/>
                      <w:color w:val="auto"/>
                    </w:rPr>
                    <w:t>，建筑面积2225m</w:t>
                  </w:r>
                  <w:r>
                    <w:rPr>
                      <w:rFonts w:hint="eastAsia"/>
                      <w:color w:val="auto"/>
                      <w:vertAlign w:val="superscript"/>
                    </w:rPr>
                    <w:t>2</w:t>
                  </w:r>
                </w:p>
              </w:tc>
            </w:tr>
            <w:tr w14:paraId="58BF373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2" w:type="pct"/>
                  <w:vMerge w:val="continue"/>
                  <w:vAlign w:val="center"/>
                </w:tcPr>
                <w:p w14:paraId="082D9B10">
                  <w:pPr>
                    <w:jc w:val="center"/>
                    <w:rPr>
                      <w:color w:val="auto"/>
                    </w:rPr>
                  </w:pPr>
                </w:p>
              </w:tc>
              <w:tc>
                <w:tcPr>
                  <w:tcW w:w="677" w:type="pct"/>
                  <w:vAlign w:val="center"/>
                </w:tcPr>
                <w:p w14:paraId="437F2408">
                  <w:pPr>
                    <w:jc w:val="center"/>
                    <w:rPr>
                      <w:color w:val="auto"/>
                    </w:rPr>
                  </w:pPr>
                  <w:r>
                    <w:rPr>
                      <w:rFonts w:hint="eastAsia"/>
                      <w:color w:val="auto"/>
                    </w:rPr>
                    <w:t>门卫室</w:t>
                  </w:r>
                </w:p>
              </w:tc>
              <w:tc>
                <w:tcPr>
                  <w:tcW w:w="3930" w:type="pct"/>
                  <w:gridSpan w:val="2"/>
                  <w:vAlign w:val="center"/>
                </w:tcPr>
                <w:p w14:paraId="6C387D81">
                  <w:pPr>
                    <w:rPr>
                      <w:color w:val="auto"/>
                    </w:rPr>
                  </w:pPr>
                  <w:r>
                    <w:rPr>
                      <w:rFonts w:hint="eastAsia"/>
                      <w:color w:val="auto"/>
                    </w:rPr>
                    <w:t>1层，占地面积120m</w:t>
                  </w:r>
                  <w:r>
                    <w:rPr>
                      <w:rFonts w:hint="eastAsia"/>
                      <w:color w:val="auto"/>
                      <w:vertAlign w:val="superscript"/>
                    </w:rPr>
                    <w:t>2</w:t>
                  </w:r>
                  <w:r>
                    <w:rPr>
                      <w:rFonts w:hint="eastAsia"/>
                      <w:color w:val="auto"/>
                    </w:rPr>
                    <w:t>，建筑面积120m</w:t>
                  </w:r>
                  <w:r>
                    <w:rPr>
                      <w:rFonts w:hint="eastAsia"/>
                      <w:color w:val="auto"/>
                      <w:vertAlign w:val="superscript"/>
                    </w:rPr>
                    <w:t>2</w:t>
                  </w:r>
                </w:p>
              </w:tc>
            </w:tr>
            <w:tr w14:paraId="5369647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392" w:type="pct"/>
                  <w:vMerge w:val="continue"/>
                  <w:vAlign w:val="center"/>
                </w:tcPr>
                <w:p w14:paraId="634C1AC7">
                  <w:pPr>
                    <w:jc w:val="center"/>
                    <w:rPr>
                      <w:color w:val="auto"/>
                    </w:rPr>
                  </w:pPr>
                </w:p>
              </w:tc>
              <w:tc>
                <w:tcPr>
                  <w:tcW w:w="677" w:type="pct"/>
                  <w:vAlign w:val="center"/>
                </w:tcPr>
                <w:p w14:paraId="4D0160DE">
                  <w:pPr>
                    <w:jc w:val="center"/>
                    <w:rPr>
                      <w:color w:val="auto"/>
                    </w:rPr>
                  </w:pPr>
                  <w:r>
                    <w:rPr>
                      <w:rFonts w:hint="eastAsia"/>
                      <w:color w:val="auto"/>
                    </w:rPr>
                    <w:t>危废间</w:t>
                  </w:r>
                </w:p>
              </w:tc>
              <w:tc>
                <w:tcPr>
                  <w:tcW w:w="3930" w:type="pct"/>
                  <w:gridSpan w:val="2"/>
                  <w:vAlign w:val="center"/>
                </w:tcPr>
                <w:p w14:paraId="0451CEDB">
                  <w:pPr>
                    <w:rPr>
                      <w:color w:val="auto"/>
                    </w:rPr>
                  </w:pPr>
                  <w:r>
                    <w:rPr>
                      <w:rFonts w:hint="eastAsia"/>
                      <w:color w:val="auto"/>
                    </w:rPr>
                    <w:t>1层，占地面积25m</w:t>
                  </w:r>
                  <w:r>
                    <w:rPr>
                      <w:rFonts w:hint="eastAsia"/>
                      <w:color w:val="auto"/>
                      <w:vertAlign w:val="superscript"/>
                    </w:rPr>
                    <w:t>2</w:t>
                  </w:r>
                  <w:r>
                    <w:rPr>
                      <w:rFonts w:hint="eastAsia"/>
                      <w:color w:val="auto"/>
                    </w:rPr>
                    <w:t>，建筑面积25m</w:t>
                  </w:r>
                  <w:r>
                    <w:rPr>
                      <w:rFonts w:hint="eastAsia"/>
                      <w:color w:val="auto"/>
                      <w:vertAlign w:val="superscript"/>
                    </w:rPr>
                    <w:t>2</w:t>
                  </w:r>
                </w:p>
              </w:tc>
            </w:tr>
            <w:tr w14:paraId="12CC744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392" w:type="pct"/>
                  <w:vMerge w:val="restart"/>
                  <w:vAlign w:val="center"/>
                </w:tcPr>
                <w:p w14:paraId="2C1010BF">
                  <w:pPr>
                    <w:jc w:val="center"/>
                    <w:rPr>
                      <w:color w:val="auto"/>
                    </w:rPr>
                  </w:pPr>
                  <w:r>
                    <w:rPr>
                      <w:color w:val="auto"/>
                    </w:rPr>
                    <w:t>公用工程</w:t>
                  </w:r>
                </w:p>
              </w:tc>
              <w:tc>
                <w:tcPr>
                  <w:tcW w:w="677" w:type="pct"/>
                  <w:vAlign w:val="center"/>
                </w:tcPr>
                <w:p w14:paraId="41870872">
                  <w:pPr>
                    <w:jc w:val="center"/>
                    <w:rPr>
                      <w:color w:val="auto"/>
                    </w:rPr>
                  </w:pPr>
                  <w:r>
                    <w:rPr>
                      <w:color w:val="auto"/>
                    </w:rPr>
                    <w:t>供水</w:t>
                  </w:r>
                </w:p>
              </w:tc>
              <w:tc>
                <w:tcPr>
                  <w:tcW w:w="3930" w:type="pct"/>
                  <w:gridSpan w:val="2"/>
                  <w:vAlign w:val="center"/>
                </w:tcPr>
                <w:p w14:paraId="0ABC4660">
                  <w:pPr>
                    <w:rPr>
                      <w:color w:val="auto"/>
                    </w:rPr>
                  </w:pPr>
                  <w:r>
                    <w:rPr>
                      <w:rFonts w:hint="eastAsia"/>
                      <w:color w:val="auto"/>
                    </w:rPr>
                    <w:t>市政管网供水</w:t>
                  </w:r>
                </w:p>
              </w:tc>
            </w:tr>
            <w:tr w14:paraId="187AAB3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2" w:type="pct"/>
                  <w:vMerge w:val="continue"/>
                  <w:vAlign w:val="center"/>
                </w:tcPr>
                <w:p w14:paraId="16D5F253">
                  <w:pPr>
                    <w:jc w:val="center"/>
                    <w:rPr>
                      <w:color w:val="auto"/>
                    </w:rPr>
                  </w:pPr>
                </w:p>
              </w:tc>
              <w:tc>
                <w:tcPr>
                  <w:tcW w:w="677" w:type="pct"/>
                  <w:vAlign w:val="center"/>
                </w:tcPr>
                <w:p w14:paraId="2365BCB0">
                  <w:pPr>
                    <w:jc w:val="center"/>
                    <w:rPr>
                      <w:color w:val="auto"/>
                    </w:rPr>
                  </w:pPr>
                  <w:r>
                    <w:rPr>
                      <w:color w:val="auto"/>
                    </w:rPr>
                    <w:t>供电</w:t>
                  </w:r>
                </w:p>
              </w:tc>
              <w:tc>
                <w:tcPr>
                  <w:tcW w:w="3930" w:type="pct"/>
                  <w:gridSpan w:val="2"/>
                  <w:vAlign w:val="center"/>
                </w:tcPr>
                <w:p w14:paraId="17786CB4">
                  <w:pPr>
                    <w:rPr>
                      <w:color w:val="auto"/>
                    </w:rPr>
                  </w:pPr>
                  <w:r>
                    <w:rPr>
                      <w:rFonts w:hint="eastAsia"/>
                      <w:color w:val="auto"/>
                    </w:rPr>
                    <w:t>唐山高新技术产业园现有两座110千伏变电站，企业电源由产业园区变电站提供10kV电源，由该厂区东北角进线，埋地敷设至厂区开闭所，再配送至各用电车间及部门内的变配电室</w:t>
                  </w:r>
                </w:p>
              </w:tc>
            </w:tr>
            <w:tr w14:paraId="0475E54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2" w:type="pct"/>
                  <w:vMerge w:val="continue"/>
                  <w:vAlign w:val="center"/>
                </w:tcPr>
                <w:p w14:paraId="68D78030">
                  <w:pPr>
                    <w:jc w:val="center"/>
                    <w:rPr>
                      <w:color w:val="auto"/>
                    </w:rPr>
                  </w:pPr>
                </w:p>
              </w:tc>
              <w:tc>
                <w:tcPr>
                  <w:tcW w:w="677" w:type="pct"/>
                  <w:vAlign w:val="center"/>
                </w:tcPr>
                <w:p w14:paraId="622A03C3">
                  <w:pPr>
                    <w:jc w:val="center"/>
                    <w:rPr>
                      <w:color w:val="auto"/>
                    </w:rPr>
                  </w:pPr>
                  <w:r>
                    <w:rPr>
                      <w:color w:val="auto"/>
                    </w:rPr>
                    <w:t>供热</w:t>
                  </w:r>
                </w:p>
              </w:tc>
              <w:tc>
                <w:tcPr>
                  <w:tcW w:w="3930" w:type="pct"/>
                  <w:gridSpan w:val="2"/>
                  <w:vAlign w:val="center"/>
                </w:tcPr>
                <w:p w14:paraId="7F5C2B2C">
                  <w:pPr>
                    <w:rPr>
                      <w:color w:val="auto"/>
                    </w:rPr>
                  </w:pPr>
                  <w:r>
                    <w:rPr>
                      <w:rFonts w:hint="eastAsia"/>
                      <w:color w:val="auto"/>
                    </w:rPr>
                    <w:t>厂区内各厂房建筑内釆暖由唐山高新技术产业园集中供热系统提供热源，热媒为</w:t>
                  </w:r>
                  <w:r>
                    <w:rPr>
                      <w:color w:val="auto"/>
                    </w:rPr>
                    <w:t>95/70</w:t>
                  </w:r>
                  <w:r>
                    <w:rPr>
                      <w:rFonts w:hint="eastAsia"/>
                      <w:color w:val="auto"/>
                      <w:lang w:eastAsia="zh-CN"/>
                    </w:rPr>
                    <w:t>°C</w:t>
                  </w:r>
                  <w:r>
                    <w:rPr>
                      <w:rFonts w:hint="eastAsia"/>
                      <w:color w:val="auto"/>
                    </w:rPr>
                    <w:t>热水</w:t>
                  </w:r>
                </w:p>
              </w:tc>
            </w:tr>
            <w:tr w14:paraId="5C29C26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6" w:hRule="atLeast"/>
              </w:trPr>
              <w:tc>
                <w:tcPr>
                  <w:tcW w:w="392" w:type="pct"/>
                  <w:vMerge w:val="restart"/>
                  <w:vAlign w:val="center"/>
                </w:tcPr>
                <w:p w14:paraId="538C32DD">
                  <w:pPr>
                    <w:jc w:val="center"/>
                    <w:rPr>
                      <w:color w:val="auto"/>
                    </w:rPr>
                  </w:pPr>
                  <w:r>
                    <w:rPr>
                      <w:color w:val="auto"/>
                    </w:rPr>
                    <w:t>环保工程</w:t>
                  </w:r>
                </w:p>
              </w:tc>
              <w:tc>
                <w:tcPr>
                  <w:tcW w:w="677" w:type="pct"/>
                  <w:vMerge w:val="restart"/>
                  <w:vAlign w:val="center"/>
                </w:tcPr>
                <w:p w14:paraId="7E9F3D79">
                  <w:pPr>
                    <w:jc w:val="center"/>
                    <w:rPr>
                      <w:color w:val="auto"/>
                    </w:rPr>
                  </w:pPr>
                  <w:r>
                    <w:rPr>
                      <w:color w:val="auto"/>
                    </w:rPr>
                    <w:t>废气</w:t>
                  </w:r>
                </w:p>
              </w:tc>
              <w:tc>
                <w:tcPr>
                  <w:tcW w:w="1022" w:type="pct"/>
                  <w:vAlign w:val="center"/>
                </w:tcPr>
                <w:p w14:paraId="0CE610C5">
                  <w:pPr>
                    <w:rPr>
                      <w:color w:val="auto"/>
                    </w:rPr>
                  </w:pPr>
                  <w:r>
                    <w:rPr>
                      <w:rFonts w:hint="eastAsia"/>
                      <w:color w:val="auto"/>
                    </w:rPr>
                    <w:t>精锻车间抛丸工序</w:t>
                  </w:r>
                </w:p>
              </w:tc>
              <w:tc>
                <w:tcPr>
                  <w:tcW w:w="2908" w:type="pct"/>
                  <w:vAlign w:val="center"/>
                </w:tcPr>
                <w:p w14:paraId="3CA3E950">
                  <w:pPr>
                    <w:rPr>
                      <w:color w:val="auto"/>
                    </w:rPr>
                  </w:pPr>
                  <w:r>
                    <w:rPr>
                      <w:color w:val="auto"/>
                    </w:rPr>
                    <w:t>釆用高效脉冲布袋除尘器进行处理</w:t>
                  </w:r>
                  <w:r>
                    <w:rPr>
                      <w:rFonts w:hint="eastAsia"/>
                      <w:color w:val="auto"/>
                    </w:rPr>
                    <w:t>，</w:t>
                  </w:r>
                  <w:r>
                    <w:rPr>
                      <w:color w:val="auto"/>
                    </w:rPr>
                    <w:t>由</w:t>
                  </w:r>
                  <w:r>
                    <w:rPr>
                      <w:rFonts w:hint="eastAsia"/>
                      <w:color w:val="auto"/>
                    </w:rPr>
                    <w:t>1根15m的排气筒（</w:t>
                  </w:r>
                  <w:r>
                    <w:rPr>
                      <w:color w:val="auto"/>
                    </w:rPr>
                    <w:t>DA001</w:t>
                  </w:r>
                  <w:r>
                    <w:rPr>
                      <w:rFonts w:hint="eastAsia"/>
                      <w:color w:val="auto"/>
                    </w:rPr>
                    <w:t>）</w:t>
                  </w:r>
                  <w:r>
                    <w:rPr>
                      <w:color w:val="auto"/>
                    </w:rPr>
                    <w:t>排放</w:t>
                  </w:r>
                </w:p>
              </w:tc>
            </w:tr>
            <w:tr w14:paraId="0F86C01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6" w:hRule="atLeast"/>
              </w:trPr>
              <w:tc>
                <w:tcPr>
                  <w:tcW w:w="392" w:type="pct"/>
                  <w:vMerge w:val="continue"/>
                  <w:vAlign w:val="center"/>
                </w:tcPr>
                <w:p w14:paraId="018F43B4">
                  <w:pPr>
                    <w:jc w:val="center"/>
                    <w:rPr>
                      <w:color w:val="auto"/>
                    </w:rPr>
                  </w:pPr>
                </w:p>
              </w:tc>
              <w:tc>
                <w:tcPr>
                  <w:tcW w:w="677" w:type="pct"/>
                  <w:vMerge w:val="continue"/>
                  <w:vAlign w:val="center"/>
                </w:tcPr>
                <w:p w14:paraId="11F63A05">
                  <w:pPr>
                    <w:jc w:val="center"/>
                    <w:rPr>
                      <w:color w:val="auto"/>
                    </w:rPr>
                  </w:pPr>
                </w:p>
              </w:tc>
              <w:tc>
                <w:tcPr>
                  <w:tcW w:w="1022" w:type="pct"/>
                  <w:vAlign w:val="center"/>
                </w:tcPr>
                <w:p w14:paraId="74D9FDBA">
                  <w:pPr>
                    <w:rPr>
                      <w:color w:val="auto"/>
                    </w:rPr>
                  </w:pPr>
                  <w:r>
                    <w:rPr>
                      <w:rFonts w:hint="eastAsia"/>
                      <w:color w:val="auto"/>
                    </w:rPr>
                    <w:t>喷塑工序</w:t>
                  </w:r>
                </w:p>
              </w:tc>
              <w:tc>
                <w:tcPr>
                  <w:tcW w:w="2908" w:type="pct"/>
                  <w:vAlign w:val="center"/>
                </w:tcPr>
                <w:p w14:paraId="02CAA274">
                  <w:pPr>
                    <w:rPr>
                      <w:color w:val="auto"/>
                    </w:rPr>
                  </w:pPr>
                  <w:r>
                    <w:rPr>
                      <w:rFonts w:hint="eastAsia"/>
                      <w:color w:val="auto"/>
                    </w:rPr>
                    <w:t>经过2套</w:t>
                  </w:r>
                  <w:r>
                    <w:rPr>
                      <w:color w:val="auto"/>
                    </w:rPr>
                    <w:t>旋风除尘器</w:t>
                  </w:r>
                  <w:r>
                    <w:rPr>
                      <w:rFonts w:hint="eastAsia"/>
                      <w:color w:val="auto"/>
                    </w:rPr>
                    <w:t>+布袋除尘器处理后，由1根30m的排气筒（</w:t>
                  </w:r>
                  <w:r>
                    <w:rPr>
                      <w:color w:val="auto"/>
                    </w:rPr>
                    <w:t>DA00</w:t>
                  </w:r>
                  <w:r>
                    <w:rPr>
                      <w:rFonts w:hint="eastAsia"/>
                      <w:color w:val="auto"/>
                    </w:rPr>
                    <w:t>2）</w:t>
                  </w:r>
                  <w:r>
                    <w:rPr>
                      <w:color w:val="auto"/>
                    </w:rPr>
                    <w:t>排放</w:t>
                  </w:r>
                </w:p>
              </w:tc>
            </w:tr>
            <w:tr w14:paraId="6807012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6" w:hRule="atLeast"/>
              </w:trPr>
              <w:tc>
                <w:tcPr>
                  <w:tcW w:w="392" w:type="pct"/>
                  <w:vMerge w:val="continue"/>
                  <w:vAlign w:val="center"/>
                </w:tcPr>
                <w:p w14:paraId="20F75805">
                  <w:pPr>
                    <w:jc w:val="center"/>
                    <w:rPr>
                      <w:color w:val="auto"/>
                    </w:rPr>
                  </w:pPr>
                </w:p>
              </w:tc>
              <w:tc>
                <w:tcPr>
                  <w:tcW w:w="677" w:type="pct"/>
                  <w:vMerge w:val="continue"/>
                  <w:vAlign w:val="center"/>
                </w:tcPr>
                <w:p w14:paraId="73A42CA9">
                  <w:pPr>
                    <w:jc w:val="center"/>
                    <w:rPr>
                      <w:color w:val="auto"/>
                    </w:rPr>
                  </w:pPr>
                </w:p>
              </w:tc>
              <w:tc>
                <w:tcPr>
                  <w:tcW w:w="1022" w:type="pct"/>
                  <w:vAlign w:val="center"/>
                </w:tcPr>
                <w:p w14:paraId="738C4323">
                  <w:pPr>
                    <w:rPr>
                      <w:color w:val="auto"/>
                    </w:rPr>
                  </w:pPr>
                  <w:r>
                    <w:rPr>
                      <w:rFonts w:hint="eastAsia"/>
                      <w:color w:val="auto"/>
                    </w:rPr>
                    <w:t>固化工序</w:t>
                  </w:r>
                </w:p>
              </w:tc>
              <w:tc>
                <w:tcPr>
                  <w:tcW w:w="2908" w:type="pct"/>
                  <w:vAlign w:val="center"/>
                </w:tcPr>
                <w:p w14:paraId="28A819CA">
                  <w:pPr>
                    <w:rPr>
                      <w:color w:val="auto"/>
                    </w:rPr>
                  </w:pPr>
                  <w:r>
                    <w:rPr>
                      <w:rFonts w:hint="eastAsia"/>
                      <w:color w:val="auto"/>
                    </w:rPr>
                    <w:t>经过1套</w:t>
                  </w:r>
                  <w:r>
                    <w:rPr>
                      <w:color w:val="auto"/>
                    </w:rPr>
                    <w:t>干式过滤</w:t>
                  </w:r>
                  <w:r>
                    <w:rPr>
                      <w:rFonts w:hint="eastAsia"/>
                      <w:color w:val="auto"/>
                    </w:rPr>
                    <w:t>+两级活性炭吸附装置处理后，由1根30m的排气筒（</w:t>
                  </w:r>
                  <w:r>
                    <w:rPr>
                      <w:color w:val="auto"/>
                    </w:rPr>
                    <w:t>DA00</w:t>
                  </w:r>
                  <w:r>
                    <w:rPr>
                      <w:rFonts w:hint="eastAsia"/>
                      <w:color w:val="auto"/>
                    </w:rPr>
                    <w:t>3）</w:t>
                  </w:r>
                  <w:r>
                    <w:rPr>
                      <w:color w:val="auto"/>
                    </w:rPr>
                    <w:t>排放</w:t>
                  </w:r>
                </w:p>
              </w:tc>
            </w:tr>
            <w:tr w14:paraId="54DFA8C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6" w:hRule="atLeast"/>
              </w:trPr>
              <w:tc>
                <w:tcPr>
                  <w:tcW w:w="392" w:type="pct"/>
                  <w:vMerge w:val="continue"/>
                  <w:vAlign w:val="center"/>
                </w:tcPr>
                <w:p w14:paraId="5010D7F3">
                  <w:pPr>
                    <w:jc w:val="center"/>
                    <w:rPr>
                      <w:color w:val="auto"/>
                    </w:rPr>
                  </w:pPr>
                </w:p>
              </w:tc>
              <w:tc>
                <w:tcPr>
                  <w:tcW w:w="677" w:type="pct"/>
                  <w:vMerge w:val="continue"/>
                  <w:vAlign w:val="center"/>
                </w:tcPr>
                <w:p w14:paraId="7F8FD859">
                  <w:pPr>
                    <w:jc w:val="center"/>
                    <w:rPr>
                      <w:color w:val="auto"/>
                    </w:rPr>
                  </w:pPr>
                </w:p>
              </w:tc>
              <w:tc>
                <w:tcPr>
                  <w:tcW w:w="1022" w:type="pct"/>
                  <w:vAlign w:val="center"/>
                </w:tcPr>
                <w:p w14:paraId="5AC9B983">
                  <w:pPr>
                    <w:rPr>
                      <w:rFonts w:hint="eastAsia"/>
                      <w:color w:val="auto"/>
                      <w:highlight w:val="none"/>
                    </w:rPr>
                  </w:pPr>
                  <w:r>
                    <w:rPr>
                      <w:rFonts w:hint="eastAsia"/>
                      <w:color w:val="auto"/>
                      <w:highlight w:val="none"/>
                    </w:rPr>
                    <w:t>重型车间抛丸工序</w:t>
                  </w:r>
                </w:p>
              </w:tc>
              <w:tc>
                <w:tcPr>
                  <w:tcW w:w="2908" w:type="pct"/>
                  <w:vAlign w:val="center"/>
                </w:tcPr>
                <w:p w14:paraId="467474AC">
                  <w:pPr>
                    <w:rPr>
                      <w:rFonts w:hint="eastAsia" w:eastAsia="宋体"/>
                      <w:color w:val="auto"/>
                      <w:highlight w:val="none"/>
                      <w:lang w:eastAsia="zh-CN"/>
                    </w:rPr>
                  </w:pPr>
                  <w:r>
                    <w:rPr>
                      <w:rFonts w:hint="eastAsia"/>
                      <w:color w:val="auto"/>
                      <w:highlight w:val="none"/>
                    </w:rPr>
                    <w:t>废气经二级滤筒除尘器处理后，</w:t>
                  </w:r>
                  <w:r>
                    <w:rPr>
                      <w:rFonts w:hint="eastAsia"/>
                      <w:color w:val="auto"/>
                      <w:highlight w:val="none"/>
                      <w:lang w:eastAsia="zh-CN"/>
                    </w:rPr>
                    <w:t>通过1根25m高排气筒（DA004）排放</w:t>
                  </w:r>
                </w:p>
              </w:tc>
            </w:tr>
            <w:tr w14:paraId="0308774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6" w:hRule="atLeast"/>
              </w:trPr>
              <w:tc>
                <w:tcPr>
                  <w:tcW w:w="392" w:type="pct"/>
                  <w:vMerge w:val="continue"/>
                  <w:vAlign w:val="center"/>
                </w:tcPr>
                <w:p w14:paraId="7308BD1E">
                  <w:pPr>
                    <w:jc w:val="center"/>
                    <w:rPr>
                      <w:color w:val="auto"/>
                    </w:rPr>
                  </w:pPr>
                </w:p>
              </w:tc>
              <w:tc>
                <w:tcPr>
                  <w:tcW w:w="677" w:type="pct"/>
                  <w:vMerge w:val="continue"/>
                  <w:vAlign w:val="center"/>
                </w:tcPr>
                <w:p w14:paraId="6876D5B8">
                  <w:pPr>
                    <w:jc w:val="center"/>
                    <w:rPr>
                      <w:color w:val="auto"/>
                    </w:rPr>
                  </w:pPr>
                </w:p>
              </w:tc>
              <w:tc>
                <w:tcPr>
                  <w:tcW w:w="1022" w:type="pct"/>
                  <w:vAlign w:val="center"/>
                </w:tcPr>
                <w:p w14:paraId="49FD2194">
                  <w:pPr>
                    <w:rPr>
                      <w:color w:val="auto"/>
                    </w:rPr>
                  </w:pPr>
                  <w:r>
                    <w:rPr>
                      <w:rFonts w:hint="eastAsia"/>
                      <w:color w:val="auto"/>
                    </w:rPr>
                    <w:t>下料、焊接工序</w:t>
                  </w:r>
                </w:p>
              </w:tc>
              <w:tc>
                <w:tcPr>
                  <w:tcW w:w="2908" w:type="pct"/>
                  <w:vAlign w:val="center"/>
                </w:tcPr>
                <w:p w14:paraId="5BFF49DB">
                  <w:pPr>
                    <w:rPr>
                      <w:color w:val="auto"/>
                    </w:rPr>
                  </w:pPr>
                  <w:r>
                    <w:rPr>
                      <w:rFonts w:hint="eastAsia"/>
                      <w:color w:val="auto"/>
                    </w:rPr>
                    <w:t>经移动式焊烟净化器处理后排放</w:t>
                  </w:r>
                </w:p>
              </w:tc>
            </w:tr>
            <w:tr w14:paraId="64C6CD7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6" w:hRule="atLeast"/>
              </w:trPr>
              <w:tc>
                <w:tcPr>
                  <w:tcW w:w="392" w:type="pct"/>
                  <w:vMerge w:val="continue"/>
                  <w:vAlign w:val="center"/>
                </w:tcPr>
                <w:p w14:paraId="2F8BBC9A">
                  <w:pPr>
                    <w:jc w:val="center"/>
                    <w:rPr>
                      <w:color w:val="auto"/>
                    </w:rPr>
                  </w:pPr>
                </w:p>
              </w:tc>
              <w:tc>
                <w:tcPr>
                  <w:tcW w:w="677" w:type="pct"/>
                  <w:vMerge w:val="continue"/>
                  <w:vAlign w:val="center"/>
                </w:tcPr>
                <w:p w14:paraId="030970AF">
                  <w:pPr>
                    <w:jc w:val="center"/>
                    <w:rPr>
                      <w:color w:val="auto"/>
                    </w:rPr>
                  </w:pPr>
                </w:p>
              </w:tc>
              <w:tc>
                <w:tcPr>
                  <w:tcW w:w="1022" w:type="pct"/>
                  <w:vAlign w:val="center"/>
                </w:tcPr>
                <w:p w14:paraId="4CB83F9C">
                  <w:pPr>
                    <w:rPr>
                      <w:color w:val="auto"/>
                    </w:rPr>
                  </w:pPr>
                  <w:r>
                    <w:rPr>
                      <w:rFonts w:hint="eastAsia"/>
                      <w:color w:val="auto"/>
                    </w:rPr>
                    <w:t>食堂油烟</w:t>
                  </w:r>
                </w:p>
              </w:tc>
              <w:tc>
                <w:tcPr>
                  <w:tcW w:w="2908" w:type="pct"/>
                  <w:vAlign w:val="center"/>
                </w:tcPr>
                <w:p w14:paraId="069C60DF">
                  <w:pPr>
                    <w:rPr>
                      <w:color w:val="auto"/>
                    </w:rPr>
                  </w:pPr>
                  <w:r>
                    <w:rPr>
                      <w:rFonts w:hint="eastAsia"/>
                      <w:color w:val="auto"/>
                    </w:rPr>
                    <w:t>经油烟净化器处理后排放</w:t>
                  </w:r>
                </w:p>
              </w:tc>
            </w:tr>
            <w:tr w14:paraId="4D51084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2" w:type="pct"/>
                  <w:vMerge w:val="continue"/>
                  <w:vAlign w:val="center"/>
                </w:tcPr>
                <w:p w14:paraId="530FB28F">
                  <w:pPr>
                    <w:jc w:val="center"/>
                    <w:rPr>
                      <w:color w:val="auto"/>
                    </w:rPr>
                  </w:pPr>
                </w:p>
              </w:tc>
              <w:tc>
                <w:tcPr>
                  <w:tcW w:w="677" w:type="pct"/>
                  <w:vAlign w:val="center"/>
                </w:tcPr>
                <w:p w14:paraId="21234989">
                  <w:pPr>
                    <w:jc w:val="center"/>
                    <w:rPr>
                      <w:color w:val="auto"/>
                    </w:rPr>
                  </w:pPr>
                  <w:r>
                    <w:rPr>
                      <w:color w:val="auto"/>
                    </w:rPr>
                    <w:t>废水</w:t>
                  </w:r>
                </w:p>
              </w:tc>
              <w:tc>
                <w:tcPr>
                  <w:tcW w:w="3930" w:type="pct"/>
                  <w:gridSpan w:val="2"/>
                  <w:vAlign w:val="center"/>
                </w:tcPr>
                <w:p w14:paraId="5C156437">
                  <w:pPr>
                    <w:rPr>
                      <w:color w:val="auto"/>
                    </w:rPr>
                  </w:pPr>
                  <w:r>
                    <w:rPr>
                      <w:color w:val="auto"/>
                    </w:rPr>
                    <w:t>生活污水通过隔油、化粪池处理后经市政污水管网排入唐山市东北郊污水处理厂统</w:t>
                  </w:r>
                  <w:r>
                    <w:rPr>
                      <w:rFonts w:hint="eastAsia"/>
                      <w:color w:val="auto"/>
                    </w:rPr>
                    <w:t>一</w:t>
                  </w:r>
                  <w:r>
                    <w:rPr>
                      <w:color w:val="auto"/>
                    </w:rPr>
                    <w:t>处理；淬火冷却水经过沉淀处理后回用水淬工艺中，不外排；精锻车间液压机配套设备冷却水全部循环使用，不外排；除磷工序用水经过沉淀处理后全部循环使用，不外排；水压试验用水循环使用</w:t>
                  </w:r>
                  <w:r>
                    <w:rPr>
                      <w:rFonts w:hint="eastAsia"/>
                      <w:color w:val="auto"/>
                    </w:rPr>
                    <w:t>，</w:t>
                  </w:r>
                  <w:r>
                    <w:rPr>
                      <w:color w:val="auto"/>
                    </w:rPr>
                    <w:t>定期补充</w:t>
                  </w:r>
                  <w:r>
                    <w:rPr>
                      <w:rFonts w:hint="eastAsia"/>
                      <w:color w:val="auto"/>
                    </w:rPr>
                    <w:t>，</w:t>
                  </w:r>
                  <w:r>
                    <w:rPr>
                      <w:color w:val="auto"/>
                    </w:rPr>
                    <w:t>不外排</w:t>
                  </w:r>
                  <w:r>
                    <w:rPr>
                      <w:rFonts w:hint="eastAsia"/>
                      <w:color w:val="auto"/>
                    </w:rPr>
                    <w:t>；</w:t>
                  </w:r>
                  <w:r>
                    <w:rPr>
                      <w:color w:val="auto"/>
                    </w:rPr>
                    <w:t>废乳化液作为危险废物委托</w:t>
                  </w:r>
                  <w:r>
                    <w:rPr>
                      <w:rFonts w:hint="eastAsia"/>
                      <w:color w:val="auto"/>
                    </w:rPr>
                    <w:t>有资质单位</w:t>
                  </w:r>
                  <w:r>
                    <w:rPr>
                      <w:color w:val="auto"/>
                    </w:rPr>
                    <w:t>处理</w:t>
                  </w:r>
                </w:p>
              </w:tc>
            </w:tr>
            <w:tr w14:paraId="65302EE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2" w:type="pct"/>
                  <w:vMerge w:val="continue"/>
                  <w:vAlign w:val="center"/>
                </w:tcPr>
                <w:p w14:paraId="5CC3E786">
                  <w:pPr>
                    <w:jc w:val="center"/>
                    <w:rPr>
                      <w:color w:val="auto"/>
                    </w:rPr>
                  </w:pPr>
                </w:p>
              </w:tc>
              <w:tc>
                <w:tcPr>
                  <w:tcW w:w="677" w:type="pct"/>
                  <w:vAlign w:val="center"/>
                </w:tcPr>
                <w:p w14:paraId="76C7148E">
                  <w:pPr>
                    <w:jc w:val="center"/>
                    <w:rPr>
                      <w:color w:val="auto"/>
                    </w:rPr>
                  </w:pPr>
                  <w:r>
                    <w:rPr>
                      <w:color w:val="auto"/>
                    </w:rPr>
                    <w:t>噪声</w:t>
                  </w:r>
                </w:p>
              </w:tc>
              <w:tc>
                <w:tcPr>
                  <w:tcW w:w="3930" w:type="pct"/>
                  <w:gridSpan w:val="2"/>
                  <w:vAlign w:val="center"/>
                </w:tcPr>
                <w:p w14:paraId="617CE659">
                  <w:pPr>
                    <w:rPr>
                      <w:color w:val="auto"/>
                    </w:rPr>
                  </w:pPr>
                  <w:r>
                    <w:rPr>
                      <w:color w:val="auto"/>
                    </w:rPr>
                    <w:t>设备</w:t>
                  </w:r>
                  <w:r>
                    <w:rPr>
                      <w:rFonts w:hint="eastAsia"/>
                      <w:color w:val="auto"/>
                    </w:rPr>
                    <w:t>置于</w:t>
                  </w:r>
                  <w:r>
                    <w:rPr>
                      <w:color w:val="auto"/>
                    </w:rPr>
                    <w:t>全封闭车间内，采取低噪声设备，设备基础减震，建筑隔声等措施</w:t>
                  </w:r>
                </w:p>
              </w:tc>
            </w:tr>
            <w:tr w14:paraId="755C29F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2" w:type="pct"/>
                  <w:vMerge w:val="continue"/>
                  <w:vAlign w:val="center"/>
                </w:tcPr>
                <w:p w14:paraId="458C7DFA">
                  <w:pPr>
                    <w:jc w:val="center"/>
                    <w:rPr>
                      <w:color w:val="auto"/>
                    </w:rPr>
                  </w:pPr>
                </w:p>
              </w:tc>
              <w:tc>
                <w:tcPr>
                  <w:tcW w:w="677" w:type="pct"/>
                  <w:vAlign w:val="center"/>
                </w:tcPr>
                <w:p w14:paraId="00CEBFD7">
                  <w:pPr>
                    <w:jc w:val="center"/>
                    <w:rPr>
                      <w:color w:val="auto"/>
                    </w:rPr>
                  </w:pPr>
                  <w:r>
                    <w:rPr>
                      <w:color w:val="auto"/>
                    </w:rPr>
                    <w:t>固废</w:t>
                  </w:r>
                </w:p>
              </w:tc>
              <w:tc>
                <w:tcPr>
                  <w:tcW w:w="3930" w:type="pct"/>
                  <w:gridSpan w:val="2"/>
                  <w:vAlign w:val="center"/>
                </w:tcPr>
                <w:p w14:paraId="68D2A745">
                  <w:pPr>
                    <w:rPr>
                      <w:color w:val="auto"/>
                    </w:rPr>
                  </w:pPr>
                  <w:r>
                    <w:rPr>
                      <w:color w:val="auto"/>
                    </w:rPr>
                    <w:t>下料及机加工边角料、除</w:t>
                  </w:r>
                  <w:r>
                    <w:rPr>
                      <w:rFonts w:hint="eastAsia"/>
                      <w:color w:val="auto"/>
                    </w:rPr>
                    <w:t>磷</w:t>
                  </w:r>
                  <w:r>
                    <w:rPr>
                      <w:color w:val="auto"/>
                    </w:rPr>
                    <w:t>氧化铁皮、机加工</w:t>
                  </w:r>
                  <w:r>
                    <w:rPr>
                      <w:rFonts w:hint="eastAsia"/>
                      <w:color w:val="auto"/>
                    </w:rPr>
                    <w:t>废金属屑（含油金属屑经压榨、压滤、过滤除油达到静置无滴漏后打包压块）、锻造废渣及氧化铁皮</w:t>
                  </w:r>
                  <w:r>
                    <w:rPr>
                      <w:color w:val="auto"/>
                    </w:rPr>
                    <w:t>作为炼钢原料出售</w:t>
                  </w:r>
                  <w:r>
                    <w:rPr>
                      <w:rFonts w:hint="eastAsia"/>
                      <w:color w:val="auto"/>
                    </w:rPr>
                    <w:t>；抛丸产生的废钢丸、氧化铁屑</w:t>
                  </w:r>
                  <w:r>
                    <w:rPr>
                      <w:rFonts w:hint="eastAsia"/>
                      <w:color w:val="auto"/>
                      <w:lang w:eastAsia="zh-CN"/>
                    </w:rPr>
                    <w:t>，</w:t>
                  </w:r>
                  <w:r>
                    <w:rPr>
                      <w:rFonts w:hint="eastAsia"/>
                      <w:color w:val="auto"/>
                    </w:rPr>
                    <w:t>滤筒除尘器产生的除尘灰、废滤筒</w:t>
                  </w:r>
                  <w:r>
                    <w:rPr>
                      <w:color w:val="auto"/>
                    </w:rPr>
                    <w:t>收集后外售</w:t>
                  </w:r>
                  <w:r>
                    <w:rPr>
                      <w:rFonts w:hint="eastAsia"/>
                      <w:color w:val="auto"/>
                    </w:rPr>
                    <w:t>，</w:t>
                  </w:r>
                  <w:r>
                    <w:rPr>
                      <w:color w:val="auto"/>
                    </w:rPr>
                    <w:t>喷塑工序产生的除尘灰收集后</w:t>
                  </w:r>
                  <w:r>
                    <w:rPr>
                      <w:rFonts w:hint="eastAsia"/>
                      <w:color w:val="auto"/>
                    </w:rPr>
                    <w:t>回用于</w:t>
                  </w:r>
                  <w:r>
                    <w:rPr>
                      <w:color w:val="auto"/>
                    </w:rPr>
                    <w:t>生产</w:t>
                  </w:r>
                  <w:r>
                    <w:rPr>
                      <w:rFonts w:hint="eastAsia"/>
                      <w:color w:val="auto"/>
                    </w:rPr>
                    <w:t>；除尘器产生的废滤袋收集后外售；</w:t>
                  </w:r>
                  <w:r>
                    <w:rPr>
                      <w:color w:val="auto"/>
                    </w:rPr>
                    <w:t>办公生活垃圾</w:t>
                  </w:r>
                  <w:r>
                    <w:rPr>
                      <w:rFonts w:hint="eastAsia"/>
                      <w:color w:val="auto"/>
                    </w:rPr>
                    <w:t>由唐山市市政部门统一收集处理；</w:t>
                  </w:r>
                  <w:r>
                    <w:rPr>
                      <w:color w:val="auto"/>
                    </w:rPr>
                    <w:t>危险废物</w:t>
                  </w:r>
                  <w:r>
                    <w:rPr>
                      <w:rFonts w:hint="eastAsia"/>
                      <w:color w:val="auto"/>
                    </w:rPr>
                    <w:t>废乳化液、废润滑油、废液压油、废油桶、废油毡、废含油抹布、废滤芯、废活性炭</w:t>
                  </w:r>
                  <w:r>
                    <w:rPr>
                      <w:color w:val="auto"/>
                    </w:rPr>
                    <w:t>，暂存危废间，由有资质单位集中处理</w:t>
                  </w:r>
                </w:p>
              </w:tc>
            </w:tr>
          </w:tbl>
          <w:p w14:paraId="557A6463">
            <w:pPr>
              <w:pStyle w:val="119"/>
              <w:rPr>
                <w:color w:val="auto"/>
              </w:rPr>
            </w:pPr>
            <w:r>
              <w:rPr>
                <w:color w:val="auto"/>
              </w:rPr>
              <w:t>2.3现有工程原辅材料和</w:t>
            </w:r>
            <w:r>
              <w:rPr>
                <w:rFonts w:hint="eastAsia"/>
                <w:color w:val="auto"/>
                <w:lang w:eastAsia="zh-CN"/>
              </w:rPr>
              <w:t>能源</w:t>
            </w:r>
            <w:r>
              <w:rPr>
                <w:color w:val="auto"/>
                <w:spacing w:val="5"/>
                <w:szCs w:val="21"/>
              </w:rPr>
              <w:t>消耗情况</w:t>
            </w:r>
          </w:p>
          <w:p w14:paraId="5FB6801C">
            <w:pPr>
              <w:adjustRightInd w:val="0"/>
              <w:snapToGrid w:val="0"/>
              <w:spacing w:line="360" w:lineRule="auto"/>
              <w:ind w:firstLine="420" w:firstLineChars="200"/>
              <w:rPr>
                <w:color w:val="auto"/>
                <w:szCs w:val="21"/>
              </w:rPr>
            </w:pPr>
            <w:r>
              <w:rPr>
                <w:color w:val="auto"/>
                <w:szCs w:val="21"/>
              </w:rPr>
              <w:t>现有工程原辅材料及</w:t>
            </w:r>
            <w:r>
              <w:rPr>
                <w:rFonts w:hint="eastAsia"/>
                <w:color w:val="auto"/>
                <w:szCs w:val="21"/>
                <w:lang w:eastAsia="zh-CN"/>
              </w:rPr>
              <w:t>能</w:t>
            </w:r>
            <w:r>
              <w:rPr>
                <w:color w:val="auto"/>
                <w:szCs w:val="21"/>
              </w:rPr>
              <w:t>源</w:t>
            </w:r>
            <w:r>
              <w:rPr>
                <w:color w:val="auto"/>
                <w:spacing w:val="5"/>
                <w:szCs w:val="21"/>
              </w:rPr>
              <w:t>消耗情况</w:t>
            </w:r>
            <w:r>
              <w:rPr>
                <w:color w:val="auto"/>
                <w:szCs w:val="21"/>
              </w:rPr>
              <w:t>见</w:t>
            </w:r>
            <w:r>
              <w:rPr>
                <w:rFonts w:hint="eastAsia"/>
                <w:color w:val="auto"/>
                <w:szCs w:val="21"/>
              </w:rPr>
              <w:t>下表</w:t>
            </w:r>
            <w:r>
              <w:rPr>
                <w:color w:val="auto"/>
                <w:szCs w:val="21"/>
              </w:rPr>
              <w:t>。</w:t>
            </w:r>
          </w:p>
          <w:p w14:paraId="25D4FB65">
            <w:pPr>
              <w:pStyle w:val="10"/>
              <w:rPr>
                <w:color w:val="auto"/>
              </w:rPr>
            </w:pPr>
            <w:r>
              <w:rPr>
                <w:rFonts w:hint="eastAsia"/>
                <w:color w:val="auto"/>
              </w:rPr>
              <w:t>表2</w:t>
            </w:r>
            <w:r>
              <w:rPr>
                <w:rFonts w:hint="eastAsia"/>
                <w:color w:val="auto"/>
                <w:lang w:eastAsia="zh-CN"/>
              </w:rPr>
              <w:t>-</w:t>
            </w:r>
            <w:r>
              <w:rPr>
                <w:color w:val="auto"/>
              </w:rPr>
              <w:fldChar w:fldCharType="begin"/>
            </w:r>
            <w:r>
              <w:rPr>
                <w:color w:val="auto"/>
              </w:rPr>
              <w:instrText xml:space="preserve"> </w:instrText>
            </w:r>
            <w:r>
              <w:rPr>
                <w:rFonts w:hint="eastAsia"/>
                <w:color w:val="auto"/>
              </w:rPr>
              <w:instrText xml:space="preserve">SEQ 表2- \* ARABIC</w:instrText>
            </w:r>
            <w:r>
              <w:rPr>
                <w:color w:val="auto"/>
              </w:rPr>
              <w:instrText xml:space="preserve"> </w:instrText>
            </w:r>
            <w:r>
              <w:rPr>
                <w:color w:val="auto"/>
              </w:rPr>
              <w:fldChar w:fldCharType="separate"/>
            </w:r>
            <w:r>
              <w:rPr>
                <w:color w:val="auto"/>
              </w:rPr>
              <w:t>1</w:t>
            </w:r>
            <w:r>
              <w:rPr>
                <w:rFonts w:hint="eastAsia"/>
                <w:color w:val="auto"/>
                <w:lang w:val="en-US" w:eastAsia="zh-CN"/>
              </w:rPr>
              <w:t>4</w:t>
            </w:r>
            <w:r>
              <w:rPr>
                <w:color w:val="auto"/>
              </w:rPr>
              <w:fldChar w:fldCharType="end"/>
            </w:r>
            <w:r>
              <w:rPr>
                <w:color w:val="auto"/>
                <w:spacing w:val="5"/>
                <w:szCs w:val="21"/>
              </w:rPr>
              <w:t>现有工程原辅材料和能源消耗情况一览表</w:t>
            </w:r>
          </w:p>
          <w:tbl>
            <w:tblPr>
              <w:tblStyle w:val="33"/>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44"/>
              <w:gridCol w:w="2217"/>
              <w:gridCol w:w="2617"/>
              <w:gridCol w:w="2421"/>
            </w:tblGrid>
            <w:tr w14:paraId="404DE21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629" w:type="pct"/>
                  <w:vAlign w:val="center"/>
                </w:tcPr>
                <w:p w14:paraId="52EBDA03">
                  <w:pPr>
                    <w:widowControl/>
                    <w:jc w:val="center"/>
                    <w:rPr>
                      <w:color w:val="auto"/>
                      <w:kern w:val="0"/>
                      <w:szCs w:val="21"/>
                    </w:rPr>
                  </w:pPr>
                  <w:r>
                    <w:rPr>
                      <w:color w:val="auto"/>
                      <w:kern w:val="0"/>
                      <w:szCs w:val="21"/>
                    </w:rPr>
                    <w:t>序号</w:t>
                  </w:r>
                </w:p>
              </w:tc>
              <w:tc>
                <w:tcPr>
                  <w:tcW w:w="1335" w:type="pct"/>
                  <w:vAlign w:val="center"/>
                </w:tcPr>
                <w:p w14:paraId="5B6F29D7">
                  <w:pPr>
                    <w:jc w:val="center"/>
                    <w:rPr>
                      <w:color w:val="auto"/>
                      <w:szCs w:val="21"/>
                    </w:rPr>
                  </w:pPr>
                  <w:r>
                    <w:rPr>
                      <w:color w:val="auto"/>
                      <w:szCs w:val="21"/>
                    </w:rPr>
                    <w:t>名称</w:t>
                  </w:r>
                </w:p>
              </w:tc>
              <w:tc>
                <w:tcPr>
                  <w:tcW w:w="1576" w:type="pct"/>
                  <w:vAlign w:val="center"/>
                </w:tcPr>
                <w:p w14:paraId="68D02C63">
                  <w:pPr>
                    <w:widowControl/>
                    <w:jc w:val="center"/>
                    <w:rPr>
                      <w:color w:val="auto"/>
                      <w:kern w:val="0"/>
                      <w:szCs w:val="21"/>
                    </w:rPr>
                  </w:pPr>
                  <w:r>
                    <w:rPr>
                      <w:color w:val="auto"/>
                      <w:kern w:val="0"/>
                      <w:szCs w:val="21"/>
                    </w:rPr>
                    <w:t>单位</w:t>
                  </w:r>
                </w:p>
              </w:tc>
              <w:tc>
                <w:tcPr>
                  <w:tcW w:w="1458" w:type="pct"/>
                  <w:vAlign w:val="center"/>
                </w:tcPr>
                <w:p w14:paraId="482416B9">
                  <w:pPr>
                    <w:widowControl/>
                    <w:jc w:val="center"/>
                    <w:rPr>
                      <w:color w:val="auto"/>
                      <w:kern w:val="0"/>
                      <w:szCs w:val="21"/>
                    </w:rPr>
                  </w:pPr>
                  <w:r>
                    <w:rPr>
                      <w:color w:val="auto"/>
                      <w:kern w:val="0"/>
                      <w:szCs w:val="21"/>
                    </w:rPr>
                    <w:t>用量</w:t>
                  </w:r>
                </w:p>
              </w:tc>
            </w:tr>
            <w:tr w14:paraId="51CF819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629" w:type="pct"/>
                  <w:vAlign w:val="center"/>
                </w:tcPr>
                <w:p w14:paraId="10DFC7C5">
                  <w:pPr>
                    <w:widowControl/>
                    <w:autoSpaceDE w:val="0"/>
                    <w:autoSpaceDN w:val="0"/>
                    <w:adjustRightInd w:val="0"/>
                    <w:jc w:val="center"/>
                    <w:rPr>
                      <w:color w:val="auto"/>
                      <w:kern w:val="0"/>
                      <w:szCs w:val="21"/>
                    </w:rPr>
                  </w:pPr>
                  <w:r>
                    <w:rPr>
                      <w:rFonts w:hint="eastAsia"/>
                      <w:color w:val="auto"/>
                      <w:kern w:val="0"/>
                      <w:szCs w:val="21"/>
                    </w:rPr>
                    <w:t>1</w:t>
                  </w:r>
                </w:p>
              </w:tc>
              <w:tc>
                <w:tcPr>
                  <w:tcW w:w="1335" w:type="pct"/>
                  <w:vAlign w:val="center"/>
                </w:tcPr>
                <w:p w14:paraId="15B5EC70">
                  <w:pPr>
                    <w:widowControl/>
                    <w:autoSpaceDE w:val="0"/>
                    <w:autoSpaceDN w:val="0"/>
                    <w:adjustRightInd w:val="0"/>
                    <w:jc w:val="center"/>
                    <w:rPr>
                      <w:color w:val="auto"/>
                      <w:kern w:val="0"/>
                      <w:szCs w:val="21"/>
                    </w:rPr>
                  </w:pPr>
                  <w:r>
                    <w:rPr>
                      <w:rFonts w:hint="eastAsia"/>
                      <w:color w:val="auto"/>
                      <w:kern w:val="0"/>
                      <w:szCs w:val="21"/>
                    </w:rPr>
                    <w:t>塑粉</w:t>
                  </w:r>
                </w:p>
              </w:tc>
              <w:tc>
                <w:tcPr>
                  <w:tcW w:w="1576" w:type="pct"/>
                  <w:vAlign w:val="center"/>
                </w:tcPr>
                <w:p w14:paraId="6AFF6491">
                  <w:pPr>
                    <w:autoSpaceDE w:val="0"/>
                    <w:autoSpaceDN w:val="0"/>
                    <w:adjustRightInd w:val="0"/>
                    <w:jc w:val="center"/>
                    <w:rPr>
                      <w:color w:val="auto"/>
                      <w:szCs w:val="21"/>
                    </w:rPr>
                  </w:pPr>
                  <w:r>
                    <w:rPr>
                      <w:color w:val="auto"/>
                      <w:spacing w:val="5"/>
                      <w:szCs w:val="21"/>
                    </w:rPr>
                    <w:t>t/a</w:t>
                  </w:r>
                </w:p>
              </w:tc>
              <w:tc>
                <w:tcPr>
                  <w:tcW w:w="1458" w:type="pct"/>
                  <w:vAlign w:val="center"/>
                </w:tcPr>
                <w:p w14:paraId="17FC4C98">
                  <w:pPr>
                    <w:jc w:val="center"/>
                    <w:rPr>
                      <w:color w:val="auto"/>
                      <w:szCs w:val="21"/>
                    </w:rPr>
                  </w:pPr>
                  <w:r>
                    <w:rPr>
                      <w:rFonts w:hint="eastAsia"/>
                      <w:color w:val="auto"/>
                      <w:szCs w:val="21"/>
                    </w:rPr>
                    <w:t>100</w:t>
                  </w:r>
                </w:p>
              </w:tc>
            </w:tr>
            <w:tr w14:paraId="62F0B6A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629" w:type="pct"/>
                  <w:vAlign w:val="center"/>
                </w:tcPr>
                <w:p w14:paraId="0A983CDA">
                  <w:pPr>
                    <w:widowControl/>
                    <w:autoSpaceDE w:val="0"/>
                    <w:autoSpaceDN w:val="0"/>
                    <w:adjustRightInd w:val="0"/>
                    <w:jc w:val="center"/>
                    <w:rPr>
                      <w:color w:val="auto"/>
                      <w:kern w:val="0"/>
                      <w:szCs w:val="21"/>
                    </w:rPr>
                  </w:pPr>
                  <w:r>
                    <w:rPr>
                      <w:color w:val="auto"/>
                      <w:kern w:val="0"/>
                      <w:szCs w:val="21"/>
                    </w:rPr>
                    <w:t>2</w:t>
                  </w:r>
                </w:p>
              </w:tc>
              <w:tc>
                <w:tcPr>
                  <w:tcW w:w="1335" w:type="pct"/>
                  <w:vAlign w:val="center"/>
                </w:tcPr>
                <w:p w14:paraId="332FA74A">
                  <w:pPr>
                    <w:jc w:val="center"/>
                    <w:rPr>
                      <w:color w:val="auto"/>
                      <w:szCs w:val="21"/>
                    </w:rPr>
                  </w:pPr>
                  <w:r>
                    <w:rPr>
                      <w:rFonts w:hint="eastAsia"/>
                      <w:color w:val="auto"/>
                      <w:szCs w:val="21"/>
                    </w:rPr>
                    <w:t>不锈钢</w:t>
                  </w:r>
                </w:p>
              </w:tc>
              <w:tc>
                <w:tcPr>
                  <w:tcW w:w="1576" w:type="pct"/>
                  <w:vAlign w:val="center"/>
                </w:tcPr>
                <w:p w14:paraId="7EA9EE3A">
                  <w:pPr>
                    <w:adjustRightInd w:val="0"/>
                    <w:snapToGrid w:val="0"/>
                    <w:jc w:val="center"/>
                    <w:rPr>
                      <w:color w:val="auto"/>
                      <w:spacing w:val="5"/>
                      <w:szCs w:val="21"/>
                    </w:rPr>
                  </w:pPr>
                  <w:r>
                    <w:rPr>
                      <w:color w:val="auto"/>
                      <w:spacing w:val="5"/>
                      <w:szCs w:val="21"/>
                    </w:rPr>
                    <w:t>t/a</w:t>
                  </w:r>
                </w:p>
              </w:tc>
              <w:tc>
                <w:tcPr>
                  <w:tcW w:w="1458" w:type="pct"/>
                  <w:vAlign w:val="center"/>
                </w:tcPr>
                <w:p w14:paraId="2438FEE0">
                  <w:pPr>
                    <w:jc w:val="center"/>
                    <w:rPr>
                      <w:color w:val="auto"/>
                      <w:szCs w:val="21"/>
                    </w:rPr>
                  </w:pPr>
                  <w:r>
                    <w:rPr>
                      <w:rFonts w:hint="eastAsia"/>
                      <w:color w:val="auto"/>
                      <w:szCs w:val="21"/>
                    </w:rPr>
                    <w:t>31000</w:t>
                  </w:r>
                </w:p>
              </w:tc>
            </w:tr>
            <w:tr w14:paraId="42F8F36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629" w:type="pct"/>
                  <w:vAlign w:val="center"/>
                </w:tcPr>
                <w:p w14:paraId="3B6E9857">
                  <w:pPr>
                    <w:widowControl/>
                    <w:jc w:val="center"/>
                    <w:rPr>
                      <w:color w:val="auto"/>
                      <w:kern w:val="0"/>
                      <w:szCs w:val="21"/>
                    </w:rPr>
                  </w:pPr>
                  <w:r>
                    <w:rPr>
                      <w:color w:val="auto"/>
                      <w:kern w:val="0"/>
                      <w:szCs w:val="21"/>
                    </w:rPr>
                    <w:t>3</w:t>
                  </w:r>
                </w:p>
              </w:tc>
              <w:tc>
                <w:tcPr>
                  <w:tcW w:w="1335" w:type="pct"/>
                  <w:vAlign w:val="center"/>
                </w:tcPr>
                <w:p w14:paraId="7AA92509">
                  <w:pPr>
                    <w:jc w:val="center"/>
                    <w:rPr>
                      <w:color w:val="auto"/>
                      <w:szCs w:val="21"/>
                    </w:rPr>
                  </w:pPr>
                  <w:r>
                    <w:rPr>
                      <w:rFonts w:hint="eastAsia"/>
                      <w:color w:val="auto"/>
                      <w:szCs w:val="21"/>
                    </w:rPr>
                    <w:t>模具钢</w:t>
                  </w:r>
                </w:p>
              </w:tc>
              <w:tc>
                <w:tcPr>
                  <w:tcW w:w="1576" w:type="pct"/>
                  <w:vAlign w:val="center"/>
                </w:tcPr>
                <w:p w14:paraId="6E584336">
                  <w:pPr>
                    <w:adjustRightInd w:val="0"/>
                    <w:snapToGrid w:val="0"/>
                    <w:jc w:val="center"/>
                    <w:rPr>
                      <w:color w:val="auto"/>
                      <w:spacing w:val="5"/>
                      <w:szCs w:val="21"/>
                    </w:rPr>
                  </w:pPr>
                  <w:r>
                    <w:rPr>
                      <w:color w:val="auto"/>
                      <w:spacing w:val="5"/>
                      <w:szCs w:val="21"/>
                    </w:rPr>
                    <w:t>t/a</w:t>
                  </w:r>
                </w:p>
              </w:tc>
              <w:tc>
                <w:tcPr>
                  <w:tcW w:w="1458" w:type="pct"/>
                  <w:vAlign w:val="center"/>
                </w:tcPr>
                <w:p w14:paraId="07FC4F09">
                  <w:pPr>
                    <w:jc w:val="center"/>
                    <w:rPr>
                      <w:color w:val="auto"/>
                      <w:szCs w:val="21"/>
                    </w:rPr>
                  </w:pPr>
                  <w:r>
                    <w:rPr>
                      <w:rFonts w:hint="eastAsia"/>
                      <w:color w:val="auto"/>
                      <w:szCs w:val="21"/>
                    </w:rPr>
                    <w:t>10000</w:t>
                  </w:r>
                </w:p>
              </w:tc>
            </w:tr>
            <w:tr w14:paraId="70000F9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629" w:type="pct"/>
                  <w:vAlign w:val="center"/>
                </w:tcPr>
                <w:p w14:paraId="2FE30C33">
                  <w:pPr>
                    <w:jc w:val="center"/>
                    <w:rPr>
                      <w:color w:val="auto"/>
                      <w:kern w:val="0"/>
                      <w:szCs w:val="21"/>
                    </w:rPr>
                  </w:pPr>
                  <w:r>
                    <w:rPr>
                      <w:color w:val="auto"/>
                      <w:kern w:val="0"/>
                      <w:szCs w:val="21"/>
                    </w:rPr>
                    <w:t>4</w:t>
                  </w:r>
                </w:p>
              </w:tc>
              <w:tc>
                <w:tcPr>
                  <w:tcW w:w="1335" w:type="pct"/>
                  <w:vAlign w:val="center"/>
                </w:tcPr>
                <w:p w14:paraId="4E104CCB">
                  <w:pPr>
                    <w:jc w:val="center"/>
                    <w:rPr>
                      <w:color w:val="auto"/>
                      <w:szCs w:val="21"/>
                    </w:rPr>
                  </w:pPr>
                  <w:r>
                    <w:rPr>
                      <w:rFonts w:hint="eastAsia"/>
                      <w:color w:val="auto"/>
                      <w:szCs w:val="21"/>
                    </w:rPr>
                    <w:t>碳钢</w:t>
                  </w:r>
                </w:p>
              </w:tc>
              <w:tc>
                <w:tcPr>
                  <w:tcW w:w="1576" w:type="pct"/>
                  <w:vAlign w:val="center"/>
                </w:tcPr>
                <w:p w14:paraId="20449A61">
                  <w:pPr>
                    <w:adjustRightInd w:val="0"/>
                    <w:snapToGrid w:val="0"/>
                    <w:jc w:val="center"/>
                    <w:rPr>
                      <w:color w:val="auto"/>
                      <w:spacing w:val="5"/>
                      <w:szCs w:val="21"/>
                    </w:rPr>
                  </w:pPr>
                  <w:r>
                    <w:rPr>
                      <w:color w:val="auto"/>
                      <w:spacing w:val="5"/>
                      <w:szCs w:val="21"/>
                    </w:rPr>
                    <w:t>t/a</w:t>
                  </w:r>
                </w:p>
              </w:tc>
              <w:tc>
                <w:tcPr>
                  <w:tcW w:w="1458" w:type="pct"/>
                  <w:vAlign w:val="center"/>
                </w:tcPr>
                <w:p w14:paraId="50CA2FF4">
                  <w:pPr>
                    <w:jc w:val="center"/>
                    <w:rPr>
                      <w:color w:val="auto"/>
                      <w:szCs w:val="21"/>
                    </w:rPr>
                  </w:pPr>
                  <w:r>
                    <w:rPr>
                      <w:rFonts w:hint="eastAsia"/>
                      <w:color w:val="auto"/>
                      <w:szCs w:val="21"/>
                    </w:rPr>
                    <w:t>30000</w:t>
                  </w:r>
                </w:p>
              </w:tc>
            </w:tr>
            <w:tr w14:paraId="6D1E8A4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629" w:type="pct"/>
                  <w:vAlign w:val="center"/>
                </w:tcPr>
                <w:p w14:paraId="633EE12E">
                  <w:pPr>
                    <w:jc w:val="center"/>
                    <w:rPr>
                      <w:color w:val="auto"/>
                      <w:kern w:val="0"/>
                      <w:szCs w:val="21"/>
                    </w:rPr>
                  </w:pPr>
                  <w:r>
                    <w:rPr>
                      <w:color w:val="auto"/>
                      <w:kern w:val="0"/>
                      <w:szCs w:val="21"/>
                    </w:rPr>
                    <w:t>5</w:t>
                  </w:r>
                </w:p>
              </w:tc>
              <w:tc>
                <w:tcPr>
                  <w:tcW w:w="1335" w:type="pct"/>
                  <w:vAlign w:val="center"/>
                </w:tcPr>
                <w:p w14:paraId="7A4C9786">
                  <w:pPr>
                    <w:jc w:val="center"/>
                    <w:rPr>
                      <w:color w:val="auto"/>
                      <w:szCs w:val="21"/>
                    </w:rPr>
                  </w:pPr>
                  <w:r>
                    <w:rPr>
                      <w:rFonts w:hint="eastAsia"/>
                      <w:color w:val="auto"/>
                      <w:szCs w:val="21"/>
                    </w:rPr>
                    <w:t>钢丸</w:t>
                  </w:r>
                </w:p>
              </w:tc>
              <w:tc>
                <w:tcPr>
                  <w:tcW w:w="1576" w:type="pct"/>
                  <w:vAlign w:val="center"/>
                </w:tcPr>
                <w:p w14:paraId="3A30CD2A">
                  <w:pPr>
                    <w:adjustRightInd w:val="0"/>
                    <w:snapToGrid w:val="0"/>
                    <w:jc w:val="center"/>
                    <w:rPr>
                      <w:color w:val="auto"/>
                      <w:spacing w:val="5"/>
                      <w:szCs w:val="21"/>
                    </w:rPr>
                  </w:pPr>
                  <w:r>
                    <w:rPr>
                      <w:color w:val="auto"/>
                      <w:spacing w:val="5"/>
                      <w:szCs w:val="21"/>
                    </w:rPr>
                    <w:t>t/a</w:t>
                  </w:r>
                </w:p>
              </w:tc>
              <w:tc>
                <w:tcPr>
                  <w:tcW w:w="1458" w:type="pct"/>
                  <w:shd w:val="clear" w:color="auto" w:fill="auto"/>
                  <w:vAlign w:val="center"/>
                </w:tcPr>
                <w:p w14:paraId="4FA2CCFF">
                  <w:pPr>
                    <w:jc w:val="center"/>
                    <w:rPr>
                      <w:rFonts w:ascii="Times New Roman" w:hAnsi="Times New Roman" w:eastAsia="宋体" w:cs="Times New Roman"/>
                      <w:color w:val="auto"/>
                      <w:kern w:val="2"/>
                      <w:sz w:val="21"/>
                      <w:szCs w:val="21"/>
                      <w:lang w:val="en-US" w:eastAsia="zh-CN" w:bidi="ar-SA"/>
                    </w:rPr>
                  </w:pPr>
                  <w:r>
                    <w:rPr>
                      <w:rFonts w:hint="eastAsia"/>
                      <w:color w:val="auto"/>
                      <w:szCs w:val="21"/>
                    </w:rPr>
                    <w:t>7.5</w:t>
                  </w:r>
                </w:p>
              </w:tc>
            </w:tr>
            <w:tr w14:paraId="7569E3D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629" w:type="pct"/>
                  <w:vAlign w:val="center"/>
                </w:tcPr>
                <w:p w14:paraId="22451787">
                  <w:pPr>
                    <w:jc w:val="center"/>
                    <w:rPr>
                      <w:color w:val="auto"/>
                      <w:kern w:val="0"/>
                      <w:szCs w:val="21"/>
                    </w:rPr>
                  </w:pPr>
                  <w:r>
                    <w:rPr>
                      <w:color w:val="auto"/>
                      <w:kern w:val="0"/>
                      <w:szCs w:val="21"/>
                    </w:rPr>
                    <w:t>6</w:t>
                  </w:r>
                </w:p>
              </w:tc>
              <w:tc>
                <w:tcPr>
                  <w:tcW w:w="1335" w:type="pct"/>
                  <w:vAlign w:val="center"/>
                </w:tcPr>
                <w:p w14:paraId="0EDC9136">
                  <w:pPr>
                    <w:jc w:val="center"/>
                    <w:rPr>
                      <w:color w:val="auto"/>
                      <w:szCs w:val="21"/>
                    </w:rPr>
                  </w:pPr>
                  <w:r>
                    <w:rPr>
                      <w:rFonts w:hint="eastAsia"/>
                      <w:color w:val="auto"/>
                      <w:szCs w:val="21"/>
                    </w:rPr>
                    <w:t>CO</w:t>
                  </w:r>
                  <w:r>
                    <w:rPr>
                      <w:rFonts w:hint="eastAsia"/>
                      <w:color w:val="auto"/>
                      <w:szCs w:val="21"/>
                      <w:vertAlign w:val="subscript"/>
                    </w:rPr>
                    <w:t>2</w:t>
                  </w:r>
                </w:p>
              </w:tc>
              <w:tc>
                <w:tcPr>
                  <w:tcW w:w="1576" w:type="pct"/>
                  <w:vAlign w:val="center"/>
                </w:tcPr>
                <w:p w14:paraId="38915BB0">
                  <w:pPr>
                    <w:adjustRightInd w:val="0"/>
                    <w:snapToGrid w:val="0"/>
                    <w:jc w:val="center"/>
                    <w:rPr>
                      <w:color w:val="auto"/>
                      <w:spacing w:val="5"/>
                      <w:szCs w:val="21"/>
                    </w:rPr>
                  </w:pPr>
                  <w:r>
                    <w:rPr>
                      <w:color w:val="auto"/>
                      <w:spacing w:val="5"/>
                      <w:szCs w:val="21"/>
                    </w:rPr>
                    <w:t>t/a</w:t>
                  </w:r>
                </w:p>
              </w:tc>
              <w:tc>
                <w:tcPr>
                  <w:tcW w:w="1458" w:type="pct"/>
                  <w:shd w:val="clear" w:color="auto" w:fill="auto"/>
                  <w:vAlign w:val="center"/>
                </w:tcPr>
                <w:p w14:paraId="1E9D6F53">
                  <w:pPr>
                    <w:jc w:val="center"/>
                    <w:rPr>
                      <w:rFonts w:ascii="Times New Roman" w:hAnsi="Times New Roman" w:eastAsia="宋体" w:cs="Times New Roman"/>
                      <w:color w:val="auto"/>
                      <w:kern w:val="2"/>
                      <w:sz w:val="21"/>
                      <w:szCs w:val="21"/>
                      <w:lang w:val="en-US" w:eastAsia="zh-CN" w:bidi="ar-SA"/>
                    </w:rPr>
                  </w:pPr>
                  <w:r>
                    <w:rPr>
                      <w:rFonts w:hint="eastAsia"/>
                      <w:color w:val="auto"/>
                      <w:szCs w:val="21"/>
                    </w:rPr>
                    <w:t>1.5</w:t>
                  </w:r>
                </w:p>
              </w:tc>
            </w:tr>
            <w:tr w14:paraId="358DF41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629" w:type="pct"/>
                  <w:vAlign w:val="center"/>
                </w:tcPr>
                <w:p w14:paraId="35918BB9">
                  <w:pPr>
                    <w:widowControl/>
                    <w:jc w:val="center"/>
                    <w:rPr>
                      <w:color w:val="auto"/>
                      <w:kern w:val="0"/>
                      <w:szCs w:val="21"/>
                    </w:rPr>
                  </w:pPr>
                  <w:r>
                    <w:rPr>
                      <w:color w:val="auto"/>
                      <w:kern w:val="0"/>
                      <w:szCs w:val="21"/>
                    </w:rPr>
                    <w:t>7</w:t>
                  </w:r>
                </w:p>
              </w:tc>
              <w:tc>
                <w:tcPr>
                  <w:tcW w:w="1335" w:type="pct"/>
                  <w:vAlign w:val="center"/>
                </w:tcPr>
                <w:p w14:paraId="60202E2C">
                  <w:pPr>
                    <w:jc w:val="center"/>
                    <w:rPr>
                      <w:color w:val="auto"/>
                      <w:szCs w:val="21"/>
                    </w:rPr>
                  </w:pPr>
                  <w:r>
                    <w:rPr>
                      <w:rFonts w:hint="eastAsia"/>
                      <w:color w:val="auto"/>
                      <w:szCs w:val="21"/>
                    </w:rPr>
                    <w:t>焊丝</w:t>
                  </w:r>
                </w:p>
              </w:tc>
              <w:tc>
                <w:tcPr>
                  <w:tcW w:w="1576" w:type="pct"/>
                  <w:vAlign w:val="center"/>
                </w:tcPr>
                <w:p w14:paraId="7A931AA5">
                  <w:pPr>
                    <w:adjustRightInd w:val="0"/>
                    <w:snapToGrid w:val="0"/>
                    <w:jc w:val="center"/>
                    <w:rPr>
                      <w:color w:val="auto"/>
                      <w:spacing w:val="5"/>
                      <w:szCs w:val="21"/>
                    </w:rPr>
                  </w:pPr>
                  <w:r>
                    <w:rPr>
                      <w:color w:val="auto"/>
                      <w:spacing w:val="5"/>
                      <w:szCs w:val="21"/>
                    </w:rPr>
                    <w:t>t/a</w:t>
                  </w:r>
                </w:p>
              </w:tc>
              <w:tc>
                <w:tcPr>
                  <w:tcW w:w="1458" w:type="pct"/>
                  <w:shd w:val="clear" w:color="auto" w:fill="auto"/>
                  <w:vAlign w:val="center"/>
                </w:tcPr>
                <w:p w14:paraId="35FBB3E0">
                  <w:pPr>
                    <w:jc w:val="center"/>
                    <w:rPr>
                      <w:rFonts w:ascii="Times New Roman" w:hAnsi="Times New Roman" w:eastAsia="宋体" w:cs="Times New Roman"/>
                      <w:color w:val="auto"/>
                      <w:kern w:val="2"/>
                      <w:sz w:val="21"/>
                      <w:szCs w:val="21"/>
                      <w:lang w:val="en-US" w:eastAsia="zh-CN" w:bidi="ar-SA"/>
                    </w:rPr>
                  </w:pPr>
                  <w:r>
                    <w:rPr>
                      <w:rFonts w:hint="eastAsia"/>
                      <w:color w:val="auto"/>
                      <w:szCs w:val="21"/>
                    </w:rPr>
                    <w:t>110</w:t>
                  </w:r>
                </w:p>
              </w:tc>
            </w:tr>
            <w:tr w14:paraId="4A1E622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629" w:type="pct"/>
                  <w:vAlign w:val="center"/>
                </w:tcPr>
                <w:p w14:paraId="6538E3B7">
                  <w:pPr>
                    <w:widowControl/>
                    <w:jc w:val="center"/>
                    <w:rPr>
                      <w:color w:val="auto"/>
                      <w:kern w:val="0"/>
                      <w:szCs w:val="21"/>
                    </w:rPr>
                  </w:pPr>
                  <w:r>
                    <w:rPr>
                      <w:color w:val="auto"/>
                      <w:kern w:val="0"/>
                      <w:szCs w:val="21"/>
                    </w:rPr>
                    <w:t>8</w:t>
                  </w:r>
                </w:p>
              </w:tc>
              <w:tc>
                <w:tcPr>
                  <w:tcW w:w="1335" w:type="pct"/>
                  <w:vAlign w:val="center"/>
                </w:tcPr>
                <w:p w14:paraId="49F96E68">
                  <w:pPr>
                    <w:jc w:val="center"/>
                    <w:rPr>
                      <w:color w:val="auto"/>
                      <w:szCs w:val="21"/>
                    </w:rPr>
                  </w:pPr>
                  <w:r>
                    <w:rPr>
                      <w:rFonts w:hint="eastAsia"/>
                      <w:color w:val="auto"/>
                      <w:szCs w:val="21"/>
                    </w:rPr>
                    <w:t>乳化液</w:t>
                  </w:r>
                </w:p>
              </w:tc>
              <w:tc>
                <w:tcPr>
                  <w:tcW w:w="1576" w:type="pct"/>
                  <w:vAlign w:val="center"/>
                </w:tcPr>
                <w:p w14:paraId="4575C08B">
                  <w:pPr>
                    <w:adjustRightInd w:val="0"/>
                    <w:snapToGrid w:val="0"/>
                    <w:jc w:val="center"/>
                    <w:rPr>
                      <w:color w:val="auto"/>
                      <w:spacing w:val="5"/>
                      <w:szCs w:val="21"/>
                    </w:rPr>
                  </w:pPr>
                  <w:r>
                    <w:rPr>
                      <w:color w:val="auto"/>
                      <w:spacing w:val="5"/>
                      <w:szCs w:val="21"/>
                    </w:rPr>
                    <w:t>t/a</w:t>
                  </w:r>
                </w:p>
              </w:tc>
              <w:tc>
                <w:tcPr>
                  <w:tcW w:w="1458" w:type="pct"/>
                  <w:shd w:val="clear" w:color="auto" w:fill="auto"/>
                  <w:vAlign w:val="center"/>
                </w:tcPr>
                <w:p w14:paraId="4287A126">
                  <w:pPr>
                    <w:jc w:val="center"/>
                    <w:rPr>
                      <w:rFonts w:ascii="Times New Roman" w:hAnsi="Times New Roman" w:eastAsia="宋体" w:cs="Times New Roman"/>
                      <w:color w:val="auto"/>
                      <w:kern w:val="2"/>
                      <w:sz w:val="21"/>
                      <w:szCs w:val="21"/>
                      <w:lang w:val="en-US" w:eastAsia="zh-CN" w:bidi="ar-SA"/>
                    </w:rPr>
                  </w:pPr>
                  <w:r>
                    <w:rPr>
                      <w:rFonts w:hint="eastAsia"/>
                      <w:color w:val="auto"/>
                      <w:szCs w:val="21"/>
                    </w:rPr>
                    <w:t>8</w:t>
                  </w:r>
                </w:p>
              </w:tc>
            </w:tr>
            <w:tr w14:paraId="7873684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629" w:type="pct"/>
                  <w:vAlign w:val="center"/>
                </w:tcPr>
                <w:p w14:paraId="0E023569">
                  <w:pPr>
                    <w:widowControl/>
                    <w:jc w:val="center"/>
                    <w:rPr>
                      <w:color w:val="auto"/>
                      <w:kern w:val="0"/>
                      <w:szCs w:val="21"/>
                    </w:rPr>
                  </w:pPr>
                  <w:r>
                    <w:rPr>
                      <w:color w:val="auto"/>
                      <w:kern w:val="0"/>
                      <w:szCs w:val="21"/>
                    </w:rPr>
                    <w:t>9</w:t>
                  </w:r>
                </w:p>
              </w:tc>
              <w:tc>
                <w:tcPr>
                  <w:tcW w:w="1335" w:type="pct"/>
                  <w:vAlign w:val="center"/>
                </w:tcPr>
                <w:p w14:paraId="4D51687C">
                  <w:pPr>
                    <w:jc w:val="center"/>
                    <w:rPr>
                      <w:color w:val="auto"/>
                      <w:szCs w:val="21"/>
                    </w:rPr>
                  </w:pPr>
                  <w:r>
                    <w:rPr>
                      <w:rFonts w:hint="eastAsia"/>
                      <w:color w:val="auto"/>
                      <w:szCs w:val="21"/>
                    </w:rPr>
                    <w:t>润滑油</w:t>
                  </w:r>
                </w:p>
              </w:tc>
              <w:tc>
                <w:tcPr>
                  <w:tcW w:w="1576" w:type="pct"/>
                  <w:vAlign w:val="center"/>
                </w:tcPr>
                <w:p w14:paraId="02C5ABBD">
                  <w:pPr>
                    <w:adjustRightInd w:val="0"/>
                    <w:snapToGrid w:val="0"/>
                    <w:jc w:val="center"/>
                    <w:rPr>
                      <w:color w:val="auto"/>
                      <w:spacing w:val="5"/>
                      <w:szCs w:val="21"/>
                    </w:rPr>
                  </w:pPr>
                  <w:r>
                    <w:rPr>
                      <w:color w:val="auto"/>
                      <w:spacing w:val="5"/>
                      <w:szCs w:val="21"/>
                    </w:rPr>
                    <w:t>t/a</w:t>
                  </w:r>
                </w:p>
              </w:tc>
              <w:tc>
                <w:tcPr>
                  <w:tcW w:w="1458" w:type="pct"/>
                  <w:shd w:val="clear" w:color="auto" w:fill="auto"/>
                  <w:vAlign w:val="center"/>
                </w:tcPr>
                <w:p w14:paraId="4C35B2FF">
                  <w:pPr>
                    <w:jc w:val="center"/>
                    <w:rPr>
                      <w:rFonts w:ascii="Times New Roman" w:hAnsi="Times New Roman" w:eastAsia="宋体" w:cs="Times New Roman"/>
                      <w:color w:val="auto"/>
                      <w:spacing w:val="5"/>
                      <w:kern w:val="2"/>
                      <w:sz w:val="21"/>
                      <w:szCs w:val="21"/>
                      <w:lang w:val="en-US" w:eastAsia="zh-CN" w:bidi="ar-SA"/>
                    </w:rPr>
                  </w:pPr>
                  <w:r>
                    <w:rPr>
                      <w:rFonts w:hint="eastAsia"/>
                      <w:color w:val="auto"/>
                      <w:spacing w:val="5"/>
                      <w:szCs w:val="21"/>
                    </w:rPr>
                    <w:t>5.1</w:t>
                  </w:r>
                </w:p>
              </w:tc>
            </w:tr>
            <w:tr w14:paraId="022D881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629" w:type="pct"/>
                  <w:vAlign w:val="center"/>
                </w:tcPr>
                <w:p w14:paraId="5FBF56A8">
                  <w:pPr>
                    <w:widowControl/>
                    <w:jc w:val="center"/>
                    <w:rPr>
                      <w:color w:val="auto"/>
                      <w:kern w:val="0"/>
                      <w:szCs w:val="21"/>
                    </w:rPr>
                  </w:pPr>
                  <w:r>
                    <w:rPr>
                      <w:rFonts w:hint="eastAsia"/>
                      <w:color w:val="auto"/>
                      <w:kern w:val="0"/>
                      <w:szCs w:val="21"/>
                    </w:rPr>
                    <w:t>10</w:t>
                  </w:r>
                </w:p>
              </w:tc>
              <w:tc>
                <w:tcPr>
                  <w:tcW w:w="1335" w:type="pct"/>
                  <w:vAlign w:val="center"/>
                </w:tcPr>
                <w:p w14:paraId="5A163B7E">
                  <w:pPr>
                    <w:jc w:val="center"/>
                    <w:rPr>
                      <w:color w:val="auto"/>
                      <w:szCs w:val="21"/>
                    </w:rPr>
                  </w:pPr>
                  <w:r>
                    <w:rPr>
                      <w:rFonts w:hint="eastAsia"/>
                      <w:color w:val="auto"/>
                      <w:szCs w:val="21"/>
                    </w:rPr>
                    <w:t>液压油</w:t>
                  </w:r>
                </w:p>
              </w:tc>
              <w:tc>
                <w:tcPr>
                  <w:tcW w:w="1576" w:type="pct"/>
                  <w:vAlign w:val="center"/>
                </w:tcPr>
                <w:p w14:paraId="5A0D9E56">
                  <w:pPr>
                    <w:adjustRightInd w:val="0"/>
                    <w:snapToGrid w:val="0"/>
                    <w:jc w:val="center"/>
                    <w:rPr>
                      <w:color w:val="auto"/>
                      <w:spacing w:val="5"/>
                      <w:szCs w:val="21"/>
                    </w:rPr>
                  </w:pPr>
                  <w:r>
                    <w:rPr>
                      <w:color w:val="auto"/>
                      <w:spacing w:val="5"/>
                      <w:szCs w:val="21"/>
                    </w:rPr>
                    <w:t>t/a</w:t>
                  </w:r>
                </w:p>
              </w:tc>
              <w:tc>
                <w:tcPr>
                  <w:tcW w:w="1458" w:type="pct"/>
                  <w:shd w:val="clear" w:color="auto" w:fill="auto"/>
                  <w:vAlign w:val="center"/>
                </w:tcPr>
                <w:p w14:paraId="26221A6F">
                  <w:pPr>
                    <w:jc w:val="center"/>
                    <w:rPr>
                      <w:rFonts w:ascii="Times New Roman" w:hAnsi="Times New Roman" w:eastAsia="宋体" w:cs="Times New Roman"/>
                      <w:color w:val="auto"/>
                      <w:spacing w:val="5"/>
                      <w:kern w:val="2"/>
                      <w:sz w:val="21"/>
                      <w:szCs w:val="21"/>
                      <w:lang w:val="en-US" w:eastAsia="zh-CN" w:bidi="ar-SA"/>
                    </w:rPr>
                  </w:pPr>
                  <w:r>
                    <w:rPr>
                      <w:rFonts w:hint="eastAsia"/>
                      <w:color w:val="auto"/>
                      <w:spacing w:val="5"/>
                      <w:szCs w:val="21"/>
                    </w:rPr>
                    <w:t>8</w:t>
                  </w:r>
                </w:p>
              </w:tc>
            </w:tr>
            <w:tr w14:paraId="609D49C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629" w:type="pct"/>
                  <w:vAlign w:val="center"/>
                </w:tcPr>
                <w:p w14:paraId="7CADB3D6">
                  <w:pPr>
                    <w:widowControl/>
                    <w:jc w:val="center"/>
                    <w:rPr>
                      <w:color w:val="auto"/>
                      <w:kern w:val="0"/>
                      <w:szCs w:val="21"/>
                    </w:rPr>
                  </w:pPr>
                  <w:r>
                    <w:rPr>
                      <w:rFonts w:hint="eastAsia"/>
                      <w:color w:val="auto"/>
                      <w:kern w:val="0"/>
                      <w:szCs w:val="21"/>
                    </w:rPr>
                    <w:t>11</w:t>
                  </w:r>
                </w:p>
              </w:tc>
              <w:tc>
                <w:tcPr>
                  <w:tcW w:w="1335" w:type="pct"/>
                  <w:vAlign w:val="center"/>
                </w:tcPr>
                <w:p w14:paraId="3C3081E3">
                  <w:pPr>
                    <w:jc w:val="center"/>
                    <w:rPr>
                      <w:color w:val="auto"/>
                      <w:szCs w:val="21"/>
                    </w:rPr>
                  </w:pPr>
                  <w:r>
                    <w:rPr>
                      <w:color w:val="auto"/>
                      <w:szCs w:val="21"/>
                    </w:rPr>
                    <w:t>水</w:t>
                  </w:r>
                </w:p>
              </w:tc>
              <w:tc>
                <w:tcPr>
                  <w:tcW w:w="1576" w:type="pct"/>
                  <w:vAlign w:val="center"/>
                </w:tcPr>
                <w:p w14:paraId="0DA5F9FA">
                  <w:pPr>
                    <w:adjustRightInd w:val="0"/>
                    <w:snapToGrid w:val="0"/>
                    <w:jc w:val="center"/>
                    <w:rPr>
                      <w:color w:val="auto"/>
                      <w:spacing w:val="5"/>
                      <w:szCs w:val="21"/>
                    </w:rPr>
                  </w:pPr>
                  <w:r>
                    <w:rPr>
                      <w:color w:val="auto"/>
                      <w:spacing w:val="5"/>
                      <w:szCs w:val="21"/>
                    </w:rPr>
                    <w:t>m</w:t>
                  </w:r>
                  <w:r>
                    <w:rPr>
                      <w:color w:val="auto"/>
                      <w:spacing w:val="5"/>
                      <w:szCs w:val="21"/>
                      <w:vertAlign w:val="superscript"/>
                    </w:rPr>
                    <w:t>3</w:t>
                  </w:r>
                  <w:r>
                    <w:rPr>
                      <w:color w:val="auto"/>
                      <w:spacing w:val="5"/>
                      <w:szCs w:val="21"/>
                    </w:rPr>
                    <w:t>/a</w:t>
                  </w:r>
                </w:p>
              </w:tc>
              <w:tc>
                <w:tcPr>
                  <w:tcW w:w="1458" w:type="pct"/>
                  <w:shd w:val="clear" w:color="auto" w:fill="auto"/>
                  <w:vAlign w:val="center"/>
                </w:tcPr>
                <w:p w14:paraId="25AA8FF2">
                  <w:pPr>
                    <w:jc w:val="center"/>
                    <w:rPr>
                      <w:rFonts w:ascii="Times New Roman" w:hAnsi="Times New Roman" w:eastAsia="宋体" w:cs="Times New Roman"/>
                      <w:color w:val="auto"/>
                      <w:kern w:val="2"/>
                      <w:sz w:val="21"/>
                      <w:szCs w:val="21"/>
                      <w:lang w:val="en-US" w:eastAsia="zh-CN" w:bidi="ar-SA"/>
                    </w:rPr>
                  </w:pPr>
                  <w:r>
                    <w:rPr>
                      <w:rFonts w:hint="eastAsia"/>
                      <w:color w:val="auto"/>
                      <w:spacing w:val="5"/>
                      <w:szCs w:val="21"/>
                    </w:rPr>
                    <w:t>25066.55</w:t>
                  </w:r>
                </w:p>
              </w:tc>
            </w:tr>
            <w:tr w14:paraId="7C0FDC0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9" w:type="pct"/>
                  <w:vAlign w:val="center"/>
                </w:tcPr>
                <w:p w14:paraId="6E8B44E2">
                  <w:pPr>
                    <w:widowControl/>
                    <w:jc w:val="center"/>
                    <w:rPr>
                      <w:color w:val="auto"/>
                      <w:kern w:val="0"/>
                      <w:szCs w:val="21"/>
                    </w:rPr>
                  </w:pPr>
                  <w:r>
                    <w:rPr>
                      <w:rFonts w:hint="eastAsia"/>
                      <w:color w:val="auto"/>
                      <w:kern w:val="0"/>
                      <w:szCs w:val="21"/>
                    </w:rPr>
                    <w:t>12</w:t>
                  </w:r>
                </w:p>
              </w:tc>
              <w:tc>
                <w:tcPr>
                  <w:tcW w:w="1335" w:type="pct"/>
                  <w:vAlign w:val="center"/>
                </w:tcPr>
                <w:p w14:paraId="58BE5886">
                  <w:pPr>
                    <w:jc w:val="center"/>
                    <w:rPr>
                      <w:color w:val="auto"/>
                      <w:szCs w:val="21"/>
                    </w:rPr>
                  </w:pPr>
                  <w:r>
                    <w:rPr>
                      <w:color w:val="auto"/>
                      <w:szCs w:val="21"/>
                    </w:rPr>
                    <w:t>电</w:t>
                  </w:r>
                </w:p>
              </w:tc>
              <w:tc>
                <w:tcPr>
                  <w:tcW w:w="1576" w:type="pct"/>
                  <w:vAlign w:val="center"/>
                </w:tcPr>
                <w:p w14:paraId="096DAC28">
                  <w:pPr>
                    <w:adjustRightInd w:val="0"/>
                    <w:snapToGrid w:val="0"/>
                    <w:jc w:val="center"/>
                    <w:rPr>
                      <w:color w:val="auto"/>
                      <w:spacing w:val="5"/>
                      <w:szCs w:val="21"/>
                    </w:rPr>
                  </w:pPr>
                  <w:r>
                    <w:rPr>
                      <w:color w:val="auto"/>
                      <w:spacing w:val="5"/>
                      <w:szCs w:val="21"/>
                      <w:lang w:val="zh-CN"/>
                    </w:rPr>
                    <w:t>万</w:t>
                  </w:r>
                  <w:r>
                    <w:rPr>
                      <w:color w:val="auto"/>
                      <w:spacing w:val="5"/>
                      <w:szCs w:val="21"/>
                    </w:rPr>
                    <w:t>kWh/a</w:t>
                  </w:r>
                </w:p>
              </w:tc>
              <w:tc>
                <w:tcPr>
                  <w:tcW w:w="1458" w:type="pct"/>
                  <w:shd w:val="clear" w:color="auto" w:fill="auto"/>
                  <w:vAlign w:val="center"/>
                </w:tcPr>
                <w:p w14:paraId="3433844D">
                  <w:pPr>
                    <w:jc w:val="center"/>
                    <w:rPr>
                      <w:rFonts w:ascii="Times New Roman" w:hAnsi="Times New Roman" w:eastAsia="宋体" w:cs="Times New Roman"/>
                      <w:color w:val="auto"/>
                      <w:kern w:val="2"/>
                      <w:sz w:val="21"/>
                      <w:szCs w:val="21"/>
                      <w:lang w:val="en-US" w:eastAsia="zh-CN" w:bidi="ar-SA"/>
                    </w:rPr>
                  </w:pPr>
                  <w:r>
                    <w:rPr>
                      <w:rFonts w:hint="eastAsia"/>
                      <w:color w:val="auto"/>
                      <w:szCs w:val="21"/>
                    </w:rPr>
                    <w:t>450</w:t>
                  </w:r>
                </w:p>
              </w:tc>
            </w:tr>
          </w:tbl>
          <w:p w14:paraId="0B35E65E">
            <w:pPr>
              <w:pStyle w:val="119"/>
              <w:rPr>
                <w:color w:val="auto"/>
              </w:rPr>
            </w:pPr>
            <w:bookmarkStart w:id="9" w:name="_Toc24004"/>
            <w:r>
              <w:rPr>
                <w:color w:val="auto"/>
              </w:rPr>
              <w:t>2.4现有工程主要设备</w:t>
            </w:r>
            <w:bookmarkEnd w:id="9"/>
          </w:p>
          <w:p w14:paraId="6B201D95">
            <w:pPr>
              <w:adjustRightInd w:val="0"/>
              <w:snapToGrid w:val="0"/>
              <w:spacing w:line="360" w:lineRule="auto"/>
              <w:ind w:firstLine="440" w:firstLineChars="200"/>
              <w:rPr>
                <w:color w:val="auto"/>
                <w:spacing w:val="5"/>
                <w:szCs w:val="21"/>
              </w:rPr>
            </w:pPr>
            <w:r>
              <w:rPr>
                <w:color w:val="auto"/>
                <w:spacing w:val="5"/>
                <w:szCs w:val="21"/>
              </w:rPr>
              <w:t>现有工程主要生产设备见下表。</w:t>
            </w:r>
            <w:bookmarkEnd w:id="8"/>
          </w:p>
          <w:p w14:paraId="7B073817">
            <w:pPr>
              <w:pStyle w:val="10"/>
              <w:rPr>
                <w:color w:val="auto"/>
              </w:rPr>
            </w:pPr>
            <w:r>
              <w:rPr>
                <w:rFonts w:hint="eastAsia"/>
                <w:color w:val="auto"/>
              </w:rPr>
              <w:t>表2</w:t>
            </w:r>
            <w:r>
              <w:rPr>
                <w:rFonts w:hint="eastAsia"/>
                <w:color w:val="auto"/>
                <w:lang w:eastAsia="zh-CN"/>
              </w:rPr>
              <w:t>-</w:t>
            </w:r>
            <w:r>
              <w:rPr>
                <w:color w:val="auto"/>
              </w:rPr>
              <w:fldChar w:fldCharType="begin"/>
            </w:r>
            <w:r>
              <w:rPr>
                <w:color w:val="auto"/>
              </w:rPr>
              <w:instrText xml:space="preserve"> </w:instrText>
            </w:r>
            <w:r>
              <w:rPr>
                <w:rFonts w:hint="eastAsia"/>
                <w:color w:val="auto"/>
              </w:rPr>
              <w:instrText xml:space="preserve">SEQ 表2- \* ARABIC</w:instrText>
            </w:r>
            <w:r>
              <w:rPr>
                <w:color w:val="auto"/>
              </w:rPr>
              <w:instrText xml:space="preserve"> </w:instrText>
            </w:r>
            <w:r>
              <w:rPr>
                <w:color w:val="auto"/>
              </w:rPr>
              <w:fldChar w:fldCharType="separate"/>
            </w:r>
            <w:r>
              <w:rPr>
                <w:color w:val="auto"/>
              </w:rPr>
              <w:t>1</w:t>
            </w:r>
            <w:r>
              <w:rPr>
                <w:rFonts w:hint="eastAsia"/>
                <w:color w:val="auto"/>
                <w:lang w:val="en-US" w:eastAsia="zh-CN"/>
              </w:rPr>
              <w:t>5</w:t>
            </w:r>
            <w:r>
              <w:rPr>
                <w:color w:val="auto"/>
              </w:rPr>
              <w:fldChar w:fldCharType="end"/>
            </w:r>
            <w:r>
              <w:rPr>
                <w:rFonts w:ascii="宋体" w:hAnsi="宋体" w:cs="宋体"/>
                <w:bCs/>
                <w:color w:val="auto"/>
                <w:szCs w:val="21"/>
              </w:rPr>
              <w:t>现有工</w:t>
            </w:r>
            <w:r>
              <w:rPr>
                <w:bCs/>
                <w:color w:val="auto"/>
                <w:szCs w:val="21"/>
              </w:rPr>
              <w:t>程</w:t>
            </w:r>
            <w:r>
              <w:rPr>
                <w:rFonts w:ascii="宋体" w:hAnsi="宋体" w:cs="宋体"/>
                <w:bCs/>
                <w:color w:val="auto"/>
                <w:szCs w:val="21"/>
              </w:rPr>
              <w:t>主要设备一览表</w:t>
            </w:r>
          </w:p>
          <w:tbl>
            <w:tblPr>
              <w:tblStyle w:val="33"/>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12"/>
              <w:gridCol w:w="1020"/>
              <w:gridCol w:w="1224"/>
              <w:gridCol w:w="2835"/>
              <w:gridCol w:w="1647"/>
              <w:gridCol w:w="958"/>
            </w:tblGrid>
            <w:tr w14:paraId="098939D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6E960116">
                  <w:pPr>
                    <w:jc w:val="center"/>
                    <w:rPr>
                      <w:b w:val="0"/>
                      <w:bCs w:val="0"/>
                      <w:color w:val="auto"/>
                    </w:rPr>
                  </w:pPr>
                  <w:r>
                    <w:rPr>
                      <w:b w:val="0"/>
                      <w:bCs w:val="0"/>
                      <w:color w:val="auto"/>
                    </w:rPr>
                    <w:t>序号</w:t>
                  </w:r>
                </w:p>
              </w:tc>
              <w:tc>
                <w:tcPr>
                  <w:tcW w:w="614" w:type="pct"/>
                  <w:vAlign w:val="center"/>
                </w:tcPr>
                <w:p w14:paraId="598FB1D9">
                  <w:pPr>
                    <w:jc w:val="center"/>
                    <w:rPr>
                      <w:b w:val="0"/>
                      <w:bCs w:val="0"/>
                      <w:color w:val="auto"/>
                    </w:rPr>
                  </w:pPr>
                  <w:r>
                    <w:rPr>
                      <w:b w:val="0"/>
                      <w:bCs w:val="0"/>
                      <w:color w:val="auto"/>
                    </w:rPr>
                    <w:t>车间名称</w:t>
                  </w:r>
                </w:p>
              </w:tc>
              <w:tc>
                <w:tcPr>
                  <w:tcW w:w="737" w:type="pct"/>
                  <w:vAlign w:val="center"/>
                </w:tcPr>
                <w:p w14:paraId="43C22F4A">
                  <w:pPr>
                    <w:jc w:val="center"/>
                    <w:rPr>
                      <w:b w:val="0"/>
                      <w:bCs w:val="0"/>
                      <w:color w:val="auto"/>
                    </w:rPr>
                  </w:pPr>
                  <w:r>
                    <w:rPr>
                      <w:b w:val="0"/>
                      <w:bCs w:val="0"/>
                      <w:color w:val="auto"/>
                    </w:rPr>
                    <w:t>工序</w:t>
                  </w:r>
                </w:p>
              </w:tc>
              <w:tc>
                <w:tcPr>
                  <w:tcW w:w="1707" w:type="pct"/>
                  <w:vAlign w:val="center"/>
                </w:tcPr>
                <w:p w14:paraId="040F80FC">
                  <w:pPr>
                    <w:jc w:val="center"/>
                    <w:rPr>
                      <w:b w:val="0"/>
                      <w:bCs w:val="0"/>
                      <w:color w:val="auto"/>
                    </w:rPr>
                  </w:pPr>
                  <w:r>
                    <w:rPr>
                      <w:b w:val="0"/>
                      <w:bCs w:val="0"/>
                      <w:color w:val="auto"/>
                    </w:rPr>
                    <w:t>设备</w:t>
                  </w:r>
                </w:p>
              </w:tc>
              <w:tc>
                <w:tcPr>
                  <w:tcW w:w="992" w:type="pct"/>
                  <w:vAlign w:val="center"/>
                </w:tcPr>
                <w:p w14:paraId="46738ED4">
                  <w:pPr>
                    <w:jc w:val="center"/>
                    <w:rPr>
                      <w:b w:val="0"/>
                      <w:bCs w:val="0"/>
                      <w:color w:val="auto"/>
                    </w:rPr>
                  </w:pPr>
                  <w:r>
                    <w:rPr>
                      <w:b w:val="0"/>
                      <w:bCs w:val="0"/>
                      <w:color w:val="auto"/>
                    </w:rPr>
                    <w:t>规格型号</w:t>
                  </w:r>
                </w:p>
              </w:tc>
              <w:tc>
                <w:tcPr>
                  <w:tcW w:w="577" w:type="pct"/>
                  <w:vAlign w:val="center"/>
                </w:tcPr>
                <w:p w14:paraId="6F237F2B">
                  <w:pPr>
                    <w:jc w:val="center"/>
                    <w:rPr>
                      <w:b w:val="0"/>
                      <w:bCs w:val="0"/>
                      <w:color w:val="auto"/>
                    </w:rPr>
                  </w:pPr>
                  <w:r>
                    <w:rPr>
                      <w:b w:val="0"/>
                      <w:bCs w:val="0"/>
                      <w:color w:val="auto"/>
                    </w:rPr>
                    <w:t>数量(台)</w:t>
                  </w:r>
                </w:p>
              </w:tc>
            </w:tr>
            <w:tr w14:paraId="6ADB3A9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369" w:type="pct"/>
                  <w:vMerge w:val="restart"/>
                  <w:vAlign w:val="center"/>
                </w:tcPr>
                <w:p w14:paraId="7AD66D94">
                  <w:pPr>
                    <w:jc w:val="center"/>
                    <w:rPr>
                      <w:b w:val="0"/>
                      <w:bCs w:val="0"/>
                      <w:color w:val="auto"/>
                    </w:rPr>
                  </w:pPr>
                  <w:r>
                    <w:rPr>
                      <w:b w:val="0"/>
                      <w:bCs w:val="0"/>
                      <w:color w:val="auto"/>
                    </w:rPr>
                    <w:t>1</w:t>
                  </w:r>
                </w:p>
              </w:tc>
              <w:tc>
                <w:tcPr>
                  <w:tcW w:w="614" w:type="pct"/>
                  <w:vMerge w:val="restart"/>
                  <w:vAlign w:val="center"/>
                </w:tcPr>
                <w:p w14:paraId="346CB04D">
                  <w:pPr>
                    <w:jc w:val="center"/>
                    <w:rPr>
                      <w:b w:val="0"/>
                      <w:bCs w:val="0"/>
                      <w:color w:val="auto"/>
                    </w:rPr>
                  </w:pPr>
                  <w:r>
                    <w:rPr>
                      <w:b w:val="0"/>
                      <w:bCs w:val="0"/>
                      <w:color w:val="auto"/>
                    </w:rPr>
                    <w:t>精锻车间</w:t>
                  </w:r>
                </w:p>
              </w:tc>
              <w:tc>
                <w:tcPr>
                  <w:tcW w:w="737" w:type="pct"/>
                  <w:vMerge w:val="restart"/>
                  <w:vAlign w:val="center"/>
                </w:tcPr>
                <w:p w14:paraId="0BBC3250">
                  <w:pPr>
                    <w:jc w:val="center"/>
                    <w:rPr>
                      <w:b w:val="0"/>
                      <w:bCs w:val="0"/>
                      <w:color w:val="auto"/>
                    </w:rPr>
                  </w:pPr>
                  <w:r>
                    <w:rPr>
                      <w:b w:val="0"/>
                      <w:bCs w:val="0"/>
                      <w:color w:val="auto"/>
                    </w:rPr>
                    <w:t>下料</w:t>
                  </w:r>
                </w:p>
              </w:tc>
              <w:tc>
                <w:tcPr>
                  <w:tcW w:w="1707" w:type="pct"/>
                  <w:vMerge w:val="restart"/>
                  <w:vAlign w:val="center"/>
                </w:tcPr>
                <w:p w14:paraId="3B467465">
                  <w:pPr>
                    <w:jc w:val="center"/>
                    <w:rPr>
                      <w:b w:val="0"/>
                      <w:bCs w:val="0"/>
                      <w:color w:val="auto"/>
                    </w:rPr>
                  </w:pPr>
                  <w:r>
                    <w:rPr>
                      <w:b w:val="0"/>
                      <w:bCs w:val="0"/>
                      <w:color w:val="auto"/>
                    </w:rPr>
                    <w:t>全自动数控双立柱卧式带锯床</w:t>
                  </w:r>
                </w:p>
              </w:tc>
              <w:tc>
                <w:tcPr>
                  <w:tcW w:w="992" w:type="pct"/>
                  <w:vAlign w:val="center"/>
                </w:tcPr>
                <w:p w14:paraId="2040197B">
                  <w:pPr>
                    <w:jc w:val="center"/>
                    <w:rPr>
                      <w:b w:val="0"/>
                      <w:bCs w:val="0"/>
                      <w:color w:val="auto"/>
                    </w:rPr>
                  </w:pPr>
                  <w:r>
                    <w:rPr>
                      <w:b w:val="0"/>
                      <w:bCs w:val="0"/>
                      <w:color w:val="auto"/>
                    </w:rPr>
                    <w:t>晨龙G330</w:t>
                  </w:r>
                </w:p>
              </w:tc>
              <w:tc>
                <w:tcPr>
                  <w:tcW w:w="577" w:type="pct"/>
                  <w:vAlign w:val="center"/>
                </w:tcPr>
                <w:p w14:paraId="45B0FD04">
                  <w:pPr>
                    <w:jc w:val="center"/>
                    <w:rPr>
                      <w:b w:val="0"/>
                      <w:bCs w:val="0"/>
                      <w:color w:val="auto"/>
                    </w:rPr>
                  </w:pPr>
                  <w:r>
                    <w:rPr>
                      <w:b w:val="0"/>
                      <w:bCs w:val="0"/>
                      <w:color w:val="auto"/>
                    </w:rPr>
                    <w:t>2</w:t>
                  </w:r>
                </w:p>
              </w:tc>
            </w:tr>
            <w:tr w14:paraId="1F7207D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369" w:type="pct"/>
                  <w:vMerge w:val="continue"/>
                  <w:vAlign w:val="center"/>
                </w:tcPr>
                <w:p w14:paraId="6F8C7E66">
                  <w:pPr>
                    <w:jc w:val="center"/>
                    <w:rPr>
                      <w:b w:val="0"/>
                      <w:bCs w:val="0"/>
                      <w:color w:val="auto"/>
                    </w:rPr>
                  </w:pPr>
                </w:p>
              </w:tc>
              <w:tc>
                <w:tcPr>
                  <w:tcW w:w="614" w:type="pct"/>
                  <w:vMerge w:val="continue"/>
                  <w:vAlign w:val="center"/>
                </w:tcPr>
                <w:p w14:paraId="4C8DC096">
                  <w:pPr>
                    <w:jc w:val="center"/>
                    <w:rPr>
                      <w:b w:val="0"/>
                      <w:bCs w:val="0"/>
                      <w:color w:val="auto"/>
                    </w:rPr>
                  </w:pPr>
                </w:p>
              </w:tc>
              <w:tc>
                <w:tcPr>
                  <w:tcW w:w="737" w:type="pct"/>
                  <w:vMerge w:val="continue"/>
                  <w:vAlign w:val="center"/>
                </w:tcPr>
                <w:p w14:paraId="6314445F">
                  <w:pPr>
                    <w:jc w:val="center"/>
                    <w:rPr>
                      <w:b w:val="0"/>
                      <w:bCs w:val="0"/>
                      <w:color w:val="auto"/>
                    </w:rPr>
                  </w:pPr>
                </w:p>
              </w:tc>
              <w:tc>
                <w:tcPr>
                  <w:tcW w:w="1707" w:type="pct"/>
                  <w:vMerge w:val="continue"/>
                  <w:vAlign w:val="center"/>
                </w:tcPr>
                <w:p w14:paraId="118E0831">
                  <w:pPr>
                    <w:jc w:val="center"/>
                    <w:rPr>
                      <w:b w:val="0"/>
                      <w:bCs w:val="0"/>
                      <w:color w:val="auto"/>
                    </w:rPr>
                  </w:pPr>
                </w:p>
              </w:tc>
              <w:tc>
                <w:tcPr>
                  <w:tcW w:w="992" w:type="pct"/>
                  <w:vAlign w:val="center"/>
                </w:tcPr>
                <w:p w14:paraId="52923B4E">
                  <w:pPr>
                    <w:jc w:val="center"/>
                    <w:rPr>
                      <w:b w:val="0"/>
                      <w:bCs w:val="0"/>
                      <w:color w:val="auto"/>
                    </w:rPr>
                  </w:pPr>
                  <w:r>
                    <w:rPr>
                      <w:b w:val="0"/>
                      <w:bCs w:val="0"/>
                      <w:color w:val="auto"/>
                    </w:rPr>
                    <w:t>晨龙530B</w:t>
                  </w:r>
                </w:p>
              </w:tc>
              <w:tc>
                <w:tcPr>
                  <w:tcW w:w="577" w:type="pct"/>
                  <w:vAlign w:val="center"/>
                </w:tcPr>
                <w:p w14:paraId="10F0DE5C">
                  <w:pPr>
                    <w:jc w:val="center"/>
                    <w:rPr>
                      <w:b w:val="0"/>
                      <w:bCs w:val="0"/>
                      <w:color w:val="auto"/>
                    </w:rPr>
                  </w:pPr>
                  <w:r>
                    <w:rPr>
                      <w:b w:val="0"/>
                      <w:bCs w:val="0"/>
                      <w:color w:val="auto"/>
                    </w:rPr>
                    <w:t>1</w:t>
                  </w:r>
                </w:p>
              </w:tc>
            </w:tr>
            <w:tr w14:paraId="3EDCA3A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369" w:type="pct"/>
                  <w:vAlign w:val="center"/>
                </w:tcPr>
                <w:p w14:paraId="3B4498DA">
                  <w:pPr>
                    <w:jc w:val="center"/>
                    <w:rPr>
                      <w:b w:val="0"/>
                      <w:bCs w:val="0"/>
                      <w:color w:val="auto"/>
                    </w:rPr>
                  </w:pPr>
                  <w:r>
                    <w:rPr>
                      <w:b w:val="0"/>
                      <w:bCs w:val="0"/>
                      <w:color w:val="auto"/>
                    </w:rPr>
                    <w:t>2</w:t>
                  </w:r>
                </w:p>
              </w:tc>
              <w:tc>
                <w:tcPr>
                  <w:tcW w:w="614" w:type="pct"/>
                  <w:vMerge w:val="continue"/>
                  <w:vAlign w:val="center"/>
                </w:tcPr>
                <w:p w14:paraId="7DF92703">
                  <w:pPr>
                    <w:jc w:val="center"/>
                    <w:rPr>
                      <w:b w:val="0"/>
                      <w:bCs w:val="0"/>
                      <w:color w:val="auto"/>
                    </w:rPr>
                  </w:pPr>
                </w:p>
              </w:tc>
              <w:tc>
                <w:tcPr>
                  <w:tcW w:w="737" w:type="pct"/>
                  <w:vMerge w:val="continue"/>
                  <w:vAlign w:val="center"/>
                </w:tcPr>
                <w:p w14:paraId="590994CF">
                  <w:pPr>
                    <w:jc w:val="center"/>
                    <w:rPr>
                      <w:b w:val="0"/>
                      <w:bCs w:val="0"/>
                      <w:color w:val="auto"/>
                    </w:rPr>
                  </w:pPr>
                </w:p>
              </w:tc>
              <w:tc>
                <w:tcPr>
                  <w:tcW w:w="1707" w:type="pct"/>
                  <w:vAlign w:val="center"/>
                </w:tcPr>
                <w:p w14:paraId="6DD5B174">
                  <w:pPr>
                    <w:jc w:val="center"/>
                    <w:rPr>
                      <w:b w:val="0"/>
                      <w:bCs w:val="0"/>
                      <w:color w:val="auto"/>
                    </w:rPr>
                  </w:pPr>
                  <w:r>
                    <w:rPr>
                      <w:b w:val="0"/>
                      <w:bCs w:val="0"/>
                      <w:color w:val="auto"/>
                    </w:rPr>
                    <w:t>下料锯床</w:t>
                  </w:r>
                </w:p>
              </w:tc>
              <w:tc>
                <w:tcPr>
                  <w:tcW w:w="992" w:type="pct"/>
                  <w:vAlign w:val="center"/>
                </w:tcPr>
                <w:p w14:paraId="7F607B28">
                  <w:pPr>
                    <w:jc w:val="center"/>
                    <w:rPr>
                      <w:b w:val="0"/>
                      <w:bCs w:val="0"/>
                      <w:color w:val="auto"/>
                    </w:rPr>
                  </w:pPr>
                  <w:r>
                    <w:rPr>
                      <w:rFonts w:hint="eastAsia"/>
                      <w:b w:val="0"/>
                      <w:bCs w:val="0"/>
                      <w:color w:val="auto"/>
                    </w:rPr>
                    <w:t>/</w:t>
                  </w:r>
                </w:p>
              </w:tc>
              <w:tc>
                <w:tcPr>
                  <w:tcW w:w="577" w:type="pct"/>
                  <w:vAlign w:val="center"/>
                </w:tcPr>
                <w:p w14:paraId="42353ED5">
                  <w:pPr>
                    <w:jc w:val="center"/>
                    <w:rPr>
                      <w:b w:val="0"/>
                      <w:bCs w:val="0"/>
                      <w:color w:val="auto"/>
                    </w:rPr>
                  </w:pPr>
                  <w:r>
                    <w:rPr>
                      <w:b w:val="0"/>
                      <w:bCs w:val="0"/>
                      <w:color w:val="auto"/>
                    </w:rPr>
                    <w:t>2</w:t>
                  </w:r>
                </w:p>
              </w:tc>
            </w:tr>
            <w:tr w14:paraId="09165E5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3DDE90A4">
                  <w:pPr>
                    <w:jc w:val="center"/>
                    <w:rPr>
                      <w:b w:val="0"/>
                      <w:bCs w:val="0"/>
                      <w:color w:val="auto"/>
                    </w:rPr>
                  </w:pPr>
                  <w:r>
                    <w:rPr>
                      <w:b w:val="0"/>
                      <w:bCs w:val="0"/>
                      <w:color w:val="auto"/>
                    </w:rPr>
                    <w:t>3</w:t>
                  </w:r>
                </w:p>
              </w:tc>
              <w:tc>
                <w:tcPr>
                  <w:tcW w:w="614" w:type="pct"/>
                  <w:vMerge w:val="continue"/>
                  <w:vAlign w:val="center"/>
                </w:tcPr>
                <w:p w14:paraId="6ED9D4F5">
                  <w:pPr>
                    <w:jc w:val="center"/>
                    <w:rPr>
                      <w:b w:val="0"/>
                      <w:bCs w:val="0"/>
                      <w:color w:val="auto"/>
                    </w:rPr>
                  </w:pPr>
                </w:p>
              </w:tc>
              <w:tc>
                <w:tcPr>
                  <w:tcW w:w="737" w:type="pct"/>
                  <w:vMerge w:val="restart"/>
                  <w:vAlign w:val="center"/>
                </w:tcPr>
                <w:p w14:paraId="7D040517">
                  <w:pPr>
                    <w:jc w:val="center"/>
                    <w:rPr>
                      <w:b w:val="0"/>
                      <w:bCs w:val="0"/>
                      <w:color w:val="auto"/>
                    </w:rPr>
                  </w:pPr>
                  <w:r>
                    <w:rPr>
                      <w:b w:val="0"/>
                      <w:bCs w:val="0"/>
                      <w:color w:val="auto"/>
                    </w:rPr>
                    <w:t>加热</w:t>
                  </w:r>
                </w:p>
              </w:tc>
              <w:tc>
                <w:tcPr>
                  <w:tcW w:w="1707" w:type="pct"/>
                  <w:vAlign w:val="center"/>
                </w:tcPr>
                <w:p w14:paraId="59E32CD0">
                  <w:pPr>
                    <w:jc w:val="center"/>
                    <w:rPr>
                      <w:b w:val="0"/>
                      <w:bCs w:val="0"/>
                      <w:color w:val="auto"/>
                    </w:rPr>
                  </w:pPr>
                  <w:r>
                    <w:rPr>
                      <w:b w:val="0"/>
                      <w:bCs w:val="0"/>
                      <w:color w:val="auto"/>
                    </w:rPr>
                    <w:t>高温锻造加热炉</w:t>
                  </w:r>
                </w:p>
              </w:tc>
              <w:tc>
                <w:tcPr>
                  <w:tcW w:w="992" w:type="pct"/>
                  <w:vAlign w:val="center"/>
                </w:tcPr>
                <w:p w14:paraId="2F739676">
                  <w:pPr>
                    <w:jc w:val="center"/>
                    <w:rPr>
                      <w:b w:val="0"/>
                      <w:bCs w:val="0"/>
                      <w:color w:val="auto"/>
                    </w:rPr>
                  </w:pPr>
                  <w:r>
                    <w:rPr>
                      <w:rFonts w:hint="eastAsia"/>
                      <w:b w:val="0"/>
                      <w:bCs w:val="0"/>
                      <w:color w:val="auto"/>
                    </w:rPr>
                    <w:t>1.8</w:t>
                  </w:r>
                  <w:r>
                    <w:rPr>
                      <w:b w:val="0"/>
                      <w:bCs w:val="0"/>
                      <w:color w:val="auto"/>
                    </w:rPr>
                    <w:t>*</w:t>
                  </w:r>
                  <w:r>
                    <w:rPr>
                      <w:rFonts w:hint="eastAsia"/>
                      <w:b w:val="0"/>
                      <w:bCs w:val="0"/>
                      <w:color w:val="auto"/>
                    </w:rPr>
                    <w:t>1.2</w:t>
                  </w:r>
                  <w:r>
                    <w:rPr>
                      <w:b w:val="0"/>
                      <w:bCs w:val="0"/>
                      <w:color w:val="auto"/>
                    </w:rPr>
                    <w:t>*</w:t>
                  </w:r>
                  <w:r>
                    <w:rPr>
                      <w:rFonts w:hint="eastAsia"/>
                      <w:b w:val="0"/>
                      <w:bCs w:val="0"/>
                      <w:color w:val="auto"/>
                    </w:rPr>
                    <w:t>0.65</w:t>
                  </w:r>
                  <w:r>
                    <w:rPr>
                      <w:b w:val="0"/>
                      <w:bCs w:val="0"/>
                      <w:color w:val="auto"/>
                    </w:rPr>
                    <w:t>m</w:t>
                  </w:r>
                  <w:r>
                    <w:rPr>
                      <w:rFonts w:hint="eastAsia"/>
                      <w:b w:val="0"/>
                      <w:bCs w:val="0"/>
                      <w:color w:val="auto"/>
                    </w:rPr>
                    <w:t>，</w:t>
                  </w:r>
                  <w:r>
                    <w:rPr>
                      <w:b w:val="0"/>
                      <w:bCs w:val="0"/>
                      <w:color w:val="auto"/>
                    </w:rPr>
                    <w:t>功率</w:t>
                  </w:r>
                  <w:r>
                    <w:rPr>
                      <w:rFonts w:hint="eastAsia"/>
                      <w:b w:val="0"/>
                      <w:bCs w:val="0"/>
                      <w:color w:val="auto"/>
                    </w:rPr>
                    <w:t>270kW，</w:t>
                  </w:r>
                </w:p>
                <w:p w14:paraId="29294AC6">
                  <w:pPr>
                    <w:jc w:val="center"/>
                    <w:rPr>
                      <w:b w:val="0"/>
                      <w:bCs w:val="0"/>
                      <w:color w:val="auto"/>
                    </w:rPr>
                  </w:pPr>
                  <w:r>
                    <w:rPr>
                      <w:rFonts w:hint="eastAsia"/>
                      <w:b w:val="0"/>
                      <w:bCs w:val="0"/>
                      <w:color w:val="auto"/>
                    </w:rPr>
                    <w:t>电加热</w:t>
                  </w:r>
                </w:p>
              </w:tc>
              <w:tc>
                <w:tcPr>
                  <w:tcW w:w="577" w:type="pct"/>
                  <w:vAlign w:val="center"/>
                </w:tcPr>
                <w:p w14:paraId="56BD501A">
                  <w:pPr>
                    <w:jc w:val="center"/>
                    <w:rPr>
                      <w:b w:val="0"/>
                      <w:bCs w:val="0"/>
                      <w:color w:val="auto"/>
                    </w:rPr>
                  </w:pPr>
                  <w:r>
                    <w:rPr>
                      <w:rFonts w:hint="eastAsia"/>
                      <w:b w:val="0"/>
                      <w:bCs w:val="0"/>
                      <w:color w:val="auto"/>
                    </w:rPr>
                    <w:t>1</w:t>
                  </w:r>
                </w:p>
              </w:tc>
            </w:tr>
            <w:tr w14:paraId="37B6503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1B931217">
                  <w:pPr>
                    <w:jc w:val="center"/>
                    <w:rPr>
                      <w:b w:val="0"/>
                      <w:bCs w:val="0"/>
                      <w:color w:val="auto"/>
                    </w:rPr>
                  </w:pPr>
                  <w:r>
                    <w:rPr>
                      <w:b w:val="0"/>
                      <w:bCs w:val="0"/>
                      <w:color w:val="auto"/>
                    </w:rPr>
                    <w:t>4</w:t>
                  </w:r>
                </w:p>
              </w:tc>
              <w:tc>
                <w:tcPr>
                  <w:tcW w:w="614" w:type="pct"/>
                  <w:vMerge w:val="continue"/>
                  <w:vAlign w:val="center"/>
                </w:tcPr>
                <w:p w14:paraId="58FF0EAA">
                  <w:pPr>
                    <w:jc w:val="center"/>
                    <w:rPr>
                      <w:b w:val="0"/>
                      <w:bCs w:val="0"/>
                      <w:color w:val="auto"/>
                    </w:rPr>
                  </w:pPr>
                </w:p>
              </w:tc>
              <w:tc>
                <w:tcPr>
                  <w:tcW w:w="737" w:type="pct"/>
                  <w:vMerge w:val="continue"/>
                  <w:vAlign w:val="center"/>
                </w:tcPr>
                <w:p w14:paraId="07B76BC0">
                  <w:pPr>
                    <w:jc w:val="center"/>
                    <w:rPr>
                      <w:b w:val="0"/>
                      <w:bCs w:val="0"/>
                      <w:color w:val="auto"/>
                    </w:rPr>
                  </w:pPr>
                </w:p>
              </w:tc>
              <w:tc>
                <w:tcPr>
                  <w:tcW w:w="1707" w:type="pct"/>
                  <w:vAlign w:val="center"/>
                </w:tcPr>
                <w:p w14:paraId="3AD10130">
                  <w:pPr>
                    <w:jc w:val="center"/>
                    <w:rPr>
                      <w:b w:val="0"/>
                      <w:bCs w:val="0"/>
                      <w:color w:val="auto"/>
                    </w:rPr>
                  </w:pPr>
                  <w:r>
                    <w:rPr>
                      <w:b w:val="0"/>
                      <w:bCs w:val="0"/>
                      <w:color w:val="auto"/>
                    </w:rPr>
                    <w:t>试验箱式电阻炉</w:t>
                  </w:r>
                </w:p>
              </w:tc>
              <w:tc>
                <w:tcPr>
                  <w:tcW w:w="992" w:type="pct"/>
                  <w:vAlign w:val="center"/>
                </w:tcPr>
                <w:p w14:paraId="21BE71B3">
                  <w:pPr>
                    <w:jc w:val="center"/>
                    <w:rPr>
                      <w:b w:val="0"/>
                      <w:bCs w:val="0"/>
                      <w:color w:val="auto"/>
                    </w:rPr>
                  </w:pPr>
                  <w:r>
                    <w:rPr>
                      <w:rFonts w:hint="eastAsia"/>
                      <w:b w:val="0"/>
                      <w:bCs w:val="0"/>
                      <w:color w:val="auto"/>
                    </w:rPr>
                    <w:t>/</w:t>
                  </w:r>
                </w:p>
              </w:tc>
              <w:tc>
                <w:tcPr>
                  <w:tcW w:w="577" w:type="pct"/>
                  <w:vAlign w:val="center"/>
                </w:tcPr>
                <w:p w14:paraId="593D842C">
                  <w:pPr>
                    <w:jc w:val="center"/>
                    <w:rPr>
                      <w:b w:val="0"/>
                      <w:bCs w:val="0"/>
                      <w:color w:val="auto"/>
                    </w:rPr>
                  </w:pPr>
                  <w:r>
                    <w:rPr>
                      <w:b w:val="0"/>
                      <w:bCs w:val="0"/>
                      <w:color w:val="auto"/>
                    </w:rPr>
                    <w:t>1</w:t>
                  </w:r>
                </w:p>
              </w:tc>
            </w:tr>
            <w:tr w14:paraId="4E51339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Merge w:val="restart"/>
                  <w:vAlign w:val="center"/>
                </w:tcPr>
                <w:p w14:paraId="18670197">
                  <w:pPr>
                    <w:jc w:val="center"/>
                    <w:rPr>
                      <w:b w:val="0"/>
                      <w:bCs w:val="0"/>
                      <w:color w:val="auto"/>
                    </w:rPr>
                  </w:pPr>
                  <w:r>
                    <w:rPr>
                      <w:b w:val="0"/>
                      <w:bCs w:val="0"/>
                      <w:color w:val="auto"/>
                    </w:rPr>
                    <w:t>5</w:t>
                  </w:r>
                </w:p>
              </w:tc>
              <w:tc>
                <w:tcPr>
                  <w:tcW w:w="614" w:type="pct"/>
                  <w:vMerge w:val="continue"/>
                  <w:vAlign w:val="center"/>
                </w:tcPr>
                <w:p w14:paraId="086E7470">
                  <w:pPr>
                    <w:jc w:val="center"/>
                    <w:rPr>
                      <w:b w:val="0"/>
                      <w:bCs w:val="0"/>
                      <w:color w:val="auto"/>
                    </w:rPr>
                  </w:pPr>
                </w:p>
              </w:tc>
              <w:tc>
                <w:tcPr>
                  <w:tcW w:w="737" w:type="pct"/>
                  <w:vMerge w:val="continue"/>
                  <w:vAlign w:val="center"/>
                </w:tcPr>
                <w:p w14:paraId="542A79E1">
                  <w:pPr>
                    <w:jc w:val="center"/>
                    <w:rPr>
                      <w:b w:val="0"/>
                      <w:bCs w:val="0"/>
                      <w:color w:val="auto"/>
                    </w:rPr>
                  </w:pPr>
                </w:p>
              </w:tc>
              <w:tc>
                <w:tcPr>
                  <w:tcW w:w="1707" w:type="pct"/>
                  <w:vMerge w:val="restart"/>
                  <w:vAlign w:val="center"/>
                </w:tcPr>
                <w:p w14:paraId="0C590A73">
                  <w:pPr>
                    <w:jc w:val="center"/>
                    <w:rPr>
                      <w:b w:val="0"/>
                      <w:bCs w:val="0"/>
                      <w:color w:val="auto"/>
                    </w:rPr>
                  </w:pPr>
                  <w:r>
                    <w:rPr>
                      <w:b w:val="0"/>
                      <w:bCs w:val="0"/>
                      <w:color w:val="auto"/>
                    </w:rPr>
                    <w:t>电阻式全纤维锻造加热炉</w:t>
                  </w:r>
                </w:p>
              </w:tc>
              <w:tc>
                <w:tcPr>
                  <w:tcW w:w="992" w:type="pct"/>
                  <w:vAlign w:val="center"/>
                </w:tcPr>
                <w:p w14:paraId="4BDF04AC">
                  <w:pPr>
                    <w:jc w:val="center"/>
                    <w:rPr>
                      <w:b w:val="0"/>
                      <w:bCs w:val="0"/>
                      <w:color w:val="auto"/>
                    </w:rPr>
                  </w:pPr>
                  <w:r>
                    <w:rPr>
                      <w:b w:val="0"/>
                      <w:bCs w:val="0"/>
                      <w:color w:val="auto"/>
                    </w:rPr>
                    <w:t>1250摄氏度</w:t>
                  </w:r>
                </w:p>
              </w:tc>
              <w:tc>
                <w:tcPr>
                  <w:tcW w:w="577" w:type="pct"/>
                  <w:vAlign w:val="center"/>
                </w:tcPr>
                <w:p w14:paraId="54755376">
                  <w:pPr>
                    <w:jc w:val="center"/>
                    <w:rPr>
                      <w:b w:val="0"/>
                      <w:bCs w:val="0"/>
                      <w:color w:val="auto"/>
                    </w:rPr>
                  </w:pPr>
                  <w:r>
                    <w:rPr>
                      <w:b w:val="0"/>
                      <w:bCs w:val="0"/>
                      <w:color w:val="auto"/>
                    </w:rPr>
                    <w:t>1</w:t>
                  </w:r>
                </w:p>
              </w:tc>
            </w:tr>
            <w:tr w14:paraId="7C84C55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Merge w:val="continue"/>
                  <w:vAlign w:val="center"/>
                </w:tcPr>
                <w:p w14:paraId="399FDD6C">
                  <w:pPr>
                    <w:jc w:val="center"/>
                    <w:rPr>
                      <w:b w:val="0"/>
                      <w:bCs w:val="0"/>
                      <w:color w:val="auto"/>
                    </w:rPr>
                  </w:pPr>
                </w:p>
              </w:tc>
              <w:tc>
                <w:tcPr>
                  <w:tcW w:w="614" w:type="pct"/>
                  <w:vMerge w:val="continue"/>
                  <w:vAlign w:val="center"/>
                </w:tcPr>
                <w:p w14:paraId="7EDEE61A">
                  <w:pPr>
                    <w:jc w:val="center"/>
                    <w:rPr>
                      <w:b w:val="0"/>
                      <w:bCs w:val="0"/>
                      <w:color w:val="auto"/>
                    </w:rPr>
                  </w:pPr>
                </w:p>
              </w:tc>
              <w:tc>
                <w:tcPr>
                  <w:tcW w:w="737" w:type="pct"/>
                  <w:vMerge w:val="continue"/>
                  <w:vAlign w:val="center"/>
                </w:tcPr>
                <w:p w14:paraId="32F6FBB3">
                  <w:pPr>
                    <w:jc w:val="center"/>
                    <w:rPr>
                      <w:b w:val="0"/>
                      <w:bCs w:val="0"/>
                      <w:color w:val="auto"/>
                    </w:rPr>
                  </w:pPr>
                </w:p>
              </w:tc>
              <w:tc>
                <w:tcPr>
                  <w:tcW w:w="1707" w:type="pct"/>
                  <w:vMerge w:val="continue"/>
                  <w:vAlign w:val="center"/>
                </w:tcPr>
                <w:p w14:paraId="57CC425E">
                  <w:pPr>
                    <w:jc w:val="center"/>
                    <w:rPr>
                      <w:b w:val="0"/>
                      <w:bCs w:val="0"/>
                      <w:color w:val="auto"/>
                    </w:rPr>
                  </w:pPr>
                </w:p>
              </w:tc>
              <w:tc>
                <w:tcPr>
                  <w:tcW w:w="992" w:type="pct"/>
                  <w:vAlign w:val="center"/>
                </w:tcPr>
                <w:p w14:paraId="0406A980">
                  <w:pPr>
                    <w:jc w:val="center"/>
                    <w:rPr>
                      <w:b w:val="0"/>
                      <w:bCs w:val="0"/>
                      <w:color w:val="auto"/>
                    </w:rPr>
                  </w:pPr>
                  <w:r>
                    <w:rPr>
                      <w:b w:val="0"/>
                      <w:bCs w:val="0"/>
                      <w:color w:val="auto"/>
                    </w:rPr>
                    <w:t>1200摄氏度</w:t>
                  </w:r>
                </w:p>
              </w:tc>
              <w:tc>
                <w:tcPr>
                  <w:tcW w:w="577" w:type="pct"/>
                  <w:vAlign w:val="center"/>
                </w:tcPr>
                <w:p w14:paraId="05613378">
                  <w:pPr>
                    <w:jc w:val="center"/>
                    <w:rPr>
                      <w:b w:val="0"/>
                      <w:bCs w:val="0"/>
                      <w:color w:val="auto"/>
                    </w:rPr>
                  </w:pPr>
                  <w:r>
                    <w:rPr>
                      <w:b w:val="0"/>
                      <w:bCs w:val="0"/>
                      <w:color w:val="auto"/>
                    </w:rPr>
                    <w:t>1</w:t>
                  </w:r>
                </w:p>
              </w:tc>
            </w:tr>
            <w:tr w14:paraId="5B89306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520F3C80">
                  <w:pPr>
                    <w:jc w:val="center"/>
                    <w:rPr>
                      <w:b w:val="0"/>
                      <w:bCs w:val="0"/>
                      <w:color w:val="auto"/>
                    </w:rPr>
                  </w:pPr>
                  <w:r>
                    <w:rPr>
                      <w:b w:val="0"/>
                      <w:bCs w:val="0"/>
                      <w:color w:val="auto"/>
                    </w:rPr>
                    <w:t>6</w:t>
                  </w:r>
                </w:p>
              </w:tc>
              <w:tc>
                <w:tcPr>
                  <w:tcW w:w="614" w:type="pct"/>
                  <w:vMerge w:val="continue"/>
                  <w:vAlign w:val="center"/>
                </w:tcPr>
                <w:p w14:paraId="6E87A6F0">
                  <w:pPr>
                    <w:jc w:val="center"/>
                    <w:rPr>
                      <w:b w:val="0"/>
                      <w:bCs w:val="0"/>
                      <w:color w:val="auto"/>
                    </w:rPr>
                  </w:pPr>
                </w:p>
              </w:tc>
              <w:tc>
                <w:tcPr>
                  <w:tcW w:w="737" w:type="pct"/>
                  <w:vMerge w:val="continue"/>
                  <w:vAlign w:val="center"/>
                </w:tcPr>
                <w:p w14:paraId="54C0B0BA">
                  <w:pPr>
                    <w:jc w:val="center"/>
                    <w:rPr>
                      <w:b w:val="0"/>
                      <w:bCs w:val="0"/>
                      <w:color w:val="auto"/>
                    </w:rPr>
                  </w:pPr>
                </w:p>
              </w:tc>
              <w:tc>
                <w:tcPr>
                  <w:tcW w:w="1707" w:type="pct"/>
                  <w:vAlign w:val="center"/>
                </w:tcPr>
                <w:p w14:paraId="0D40A298">
                  <w:pPr>
                    <w:jc w:val="center"/>
                    <w:rPr>
                      <w:b w:val="0"/>
                      <w:bCs w:val="0"/>
                      <w:color w:val="auto"/>
                    </w:rPr>
                  </w:pPr>
                  <w:r>
                    <w:rPr>
                      <w:b w:val="0"/>
                      <w:bCs w:val="0"/>
                      <w:color w:val="auto"/>
                    </w:rPr>
                    <w:t>中频感应加热炉（含风冷式冷却塔）</w:t>
                  </w:r>
                </w:p>
              </w:tc>
              <w:tc>
                <w:tcPr>
                  <w:tcW w:w="992" w:type="pct"/>
                  <w:vAlign w:val="center"/>
                </w:tcPr>
                <w:p w14:paraId="5E283CC0">
                  <w:pPr>
                    <w:jc w:val="center"/>
                    <w:rPr>
                      <w:b w:val="0"/>
                      <w:bCs w:val="0"/>
                      <w:color w:val="auto"/>
                    </w:rPr>
                  </w:pPr>
                  <w:r>
                    <w:rPr>
                      <w:rFonts w:hint="eastAsia"/>
                      <w:b w:val="0"/>
                      <w:bCs w:val="0"/>
                      <w:color w:val="auto"/>
                    </w:rPr>
                    <w:t>/</w:t>
                  </w:r>
                </w:p>
              </w:tc>
              <w:tc>
                <w:tcPr>
                  <w:tcW w:w="577" w:type="pct"/>
                  <w:vAlign w:val="center"/>
                </w:tcPr>
                <w:p w14:paraId="17C610D3">
                  <w:pPr>
                    <w:jc w:val="center"/>
                    <w:rPr>
                      <w:b w:val="0"/>
                      <w:bCs w:val="0"/>
                      <w:color w:val="auto"/>
                    </w:rPr>
                  </w:pPr>
                  <w:r>
                    <w:rPr>
                      <w:b w:val="0"/>
                      <w:bCs w:val="0"/>
                      <w:color w:val="auto"/>
                    </w:rPr>
                    <w:t>2</w:t>
                  </w:r>
                </w:p>
              </w:tc>
            </w:tr>
            <w:tr w14:paraId="5E294E3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1C107514">
                  <w:pPr>
                    <w:jc w:val="center"/>
                    <w:rPr>
                      <w:b w:val="0"/>
                      <w:bCs w:val="0"/>
                      <w:color w:val="auto"/>
                    </w:rPr>
                  </w:pPr>
                  <w:r>
                    <w:rPr>
                      <w:b w:val="0"/>
                      <w:bCs w:val="0"/>
                      <w:color w:val="auto"/>
                    </w:rPr>
                    <w:t>7</w:t>
                  </w:r>
                </w:p>
              </w:tc>
              <w:tc>
                <w:tcPr>
                  <w:tcW w:w="614" w:type="pct"/>
                  <w:vMerge w:val="continue"/>
                  <w:vAlign w:val="center"/>
                </w:tcPr>
                <w:p w14:paraId="5A79EB88">
                  <w:pPr>
                    <w:jc w:val="center"/>
                    <w:rPr>
                      <w:b w:val="0"/>
                      <w:bCs w:val="0"/>
                      <w:color w:val="auto"/>
                    </w:rPr>
                  </w:pPr>
                </w:p>
              </w:tc>
              <w:tc>
                <w:tcPr>
                  <w:tcW w:w="737" w:type="pct"/>
                  <w:vMerge w:val="continue"/>
                  <w:vAlign w:val="center"/>
                </w:tcPr>
                <w:p w14:paraId="7B16AB66">
                  <w:pPr>
                    <w:jc w:val="center"/>
                    <w:rPr>
                      <w:b w:val="0"/>
                      <w:bCs w:val="0"/>
                      <w:color w:val="auto"/>
                    </w:rPr>
                  </w:pPr>
                </w:p>
              </w:tc>
              <w:tc>
                <w:tcPr>
                  <w:tcW w:w="1707" w:type="pct"/>
                  <w:vAlign w:val="center"/>
                </w:tcPr>
                <w:p w14:paraId="2F553C08">
                  <w:pPr>
                    <w:jc w:val="center"/>
                    <w:rPr>
                      <w:b w:val="0"/>
                      <w:bCs w:val="0"/>
                      <w:color w:val="auto"/>
                    </w:rPr>
                  </w:pPr>
                  <w:r>
                    <w:rPr>
                      <w:b w:val="0"/>
                      <w:bCs w:val="0"/>
                      <w:color w:val="auto"/>
                    </w:rPr>
                    <w:t>试验箱式电阻炉</w:t>
                  </w:r>
                </w:p>
              </w:tc>
              <w:tc>
                <w:tcPr>
                  <w:tcW w:w="992" w:type="pct"/>
                  <w:vAlign w:val="center"/>
                </w:tcPr>
                <w:p w14:paraId="53BC12BE">
                  <w:pPr>
                    <w:jc w:val="center"/>
                    <w:rPr>
                      <w:b w:val="0"/>
                      <w:bCs w:val="0"/>
                      <w:color w:val="auto"/>
                    </w:rPr>
                  </w:pPr>
                  <w:r>
                    <w:rPr>
                      <w:rFonts w:hint="eastAsia"/>
                      <w:b w:val="0"/>
                      <w:bCs w:val="0"/>
                      <w:color w:val="auto"/>
                    </w:rPr>
                    <w:t>/</w:t>
                  </w:r>
                </w:p>
              </w:tc>
              <w:tc>
                <w:tcPr>
                  <w:tcW w:w="577" w:type="pct"/>
                  <w:vAlign w:val="center"/>
                </w:tcPr>
                <w:p w14:paraId="6A1BC10D">
                  <w:pPr>
                    <w:jc w:val="center"/>
                    <w:rPr>
                      <w:b w:val="0"/>
                      <w:bCs w:val="0"/>
                      <w:color w:val="auto"/>
                    </w:rPr>
                  </w:pPr>
                  <w:r>
                    <w:rPr>
                      <w:b w:val="0"/>
                      <w:bCs w:val="0"/>
                      <w:color w:val="auto"/>
                    </w:rPr>
                    <w:t>1</w:t>
                  </w:r>
                </w:p>
              </w:tc>
            </w:tr>
            <w:tr w14:paraId="6069394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1DDC3E01">
                  <w:pPr>
                    <w:jc w:val="center"/>
                    <w:rPr>
                      <w:b w:val="0"/>
                      <w:bCs w:val="0"/>
                      <w:color w:val="auto"/>
                    </w:rPr>
                  </w:pPr>
                  <w:r>
                    <w:rPr>
                      <w:b w:val="0"/>
                      <w:bCs w:val="0"/>
                      <w:color w:val="auto"/>
                    </w:rPr>
                    <w:t>8</w:t>
                  </w:r>
                </w:p>
              </w:tc>
              <w:tc>
                <w:tcPr>
                  <w:tcW w:w="614" w:type="pct"/>
                  <w:vMerge w:val="continue"/>
                  <w:vAlign w:val="center"/>
                </w:tcPr>
                <w:p w14:paraId="10E848C9">
                  <w:pPr>
                    <w:jc w:val="center"/>
                    <w:rPr>
                      <w:b w:val="0"/>
                      <w:bCs w:val="0"/>
                      <w:color w:val="auto"/>
                    </w:rPr>
                  </w:pPr>
                </w:p>
              </w:tc>
              <w:tc>
                <w:tcPr>
                  <w:tcW w:w="737" w:type="pct"/>
                  <w:vMerge w:val="continue"/>
                  <w:vAlign w:val="center"/>
                </w:tcPr>
                <w:p w14:paraId="7473DAAD">
                  <w:pPr>
                    <w:jc w:val="center"/>
                    <w:rPr>
                      <w:b w:val="0"/>
                      <w:bCs w:val="0"/>
                      <w:color w:val="auto"/>
                    </w:rPr>
                  </w:pPr>
                </w:p>
              </w:tc>
              <w:tc>
                <w:tcPr>
                  <w:tcW w:w="1707" w:type="pct"/>
                  <w:vAlign w:val="center"/>
                </w:tcPr>
                <w:p w14:paraId="4F890D56">
                  <w:pPr>
                    <w:jc w:val="center"/>
                    <w:rPr>
                      <w:b w:val="0"/>
                      <w:bCs w:val="0"/>
                      <w:color w:val="auto"/>
                    </w:rPr>
                  </w:pPr>
                  <w:r>
                    <w:rPr>
                      <w:b w:val="0"/>
                      <w:bCs w:val="0"/>
                      <w:color w:val="auto"/>
                    </w:rPr>
                    <w:t>台车式电阻炉</w:t>
                  </w:r>
                </w:p>
              </w:tc>
              <w:tc>
                <w:tcPr>
                  <w:tcW w:w="992" w:type="pct"/>
                  <w:vAlign w:val="center"/>
                </w:tcPr>
                <w:p w14:paraId="389710B9">
                  <w:pPr>
                    <w:jc w:val="center"/>
                    <w:rPr>
                      <w:b w:val="0"/>
                      <w:bCs w:val="0"/>
                      <w:color w:val="auto"/>
                    </w:rPr>
                  </w:pPr>
                  <w:r>
                    <w:rPr>
                      <w:rFonts w:hint="eastAsia"/>
                      <w:b w:val="0"/>
                      <w:bCs w:val="0"/>
                      <w:color w:val="auto"/>
                    </w:rPr>
                    <w:t>/</w:t>
                  </w:r>
                </w:p>
              </w:tc>
              <w:tc>
                <w:tcPr>
                  <w:tcW w:w="577" w:type="pct"/>
                  <w:vAlign w:val="center"/>
                </w:tcPr>
                <w:p w14:paraId="27823687">
                  <w:pPr>
                    <w:jc w:val="center"/>
                    <w:rPr>
                      <w:b w:val="0"/>
                      <w:bCs w:val="0"/>
                      <w:color w:val="auto"/>
                    </w:rPr>
                  </w:pPr>
                  <w:r>
                    <w:rPr>
                      <w:b w:val="0"/>
                      <w:bCs w:val="0"/>
                      <w:color w:val="auto"/>
                    </w:rPr>
                    <w:t>1</w:t>
                  </w:r>
                </w:p>
              </w:tc>
            </w:tr>
            <w:tr w14:paraId="6805F88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43F7C3FE">
                  <w:pPr>
                    <w:jc w:val="center"/>
                    <w:rPr>
                      <w:b w:val="0"/>
                      <w:bCs w:val="0"/>
                      <w:color w:val="auto"/>
                    </w:rPr>
                  </w:pPr>
                  <w:r>
                    <w:rPr>
                      <w:b w:val="0"/>
                      <w:bCs w:val="0"/>
                      <w:color w:val="auto"/>
                    </w:rPr>
                    <w:t>9</w:t>
                  </w:r>
                </w:p>
              </w:tc>
              <w:tc>
                <w:tcPr>
                  <w:tcW w:w="614" w:type="pct"/>
                  <w:vMerge w:val="continue"/>
                  <w:vAlign w:val="center"/>
                </w:tcPr>
                <w:p w14:paraId="66E8B7BB">
                  <w:pPr>
                    <w:jc w:val="center"/>
                    <w:rPr>
                      <w:b w:val="0"/>
                      <w:bCs w:val="0"/>
                      <w:color w:val="auto"/>
                    </w:rPr>
                  </w:pPr>
                </w:p>
              </w:tc>
              <w:tc>
                <w:tcPr>
                  <w:tcW w:w="737" w:type="pct"/>
                  <w:vAlign w:val="center"/>
                </w:tcPr>
                <w:p w14:paraId="622AC970">
                  <w:pPr>
                    <w:jc w:val="center"/>
                    <w:rPr>
                      <w:b w:val="0"/>
                      <w:bCs w:val="0"/>
                      <w:color w:val="auto"/>
                    </w:rPr>
                  </w:pPr>
                  <w:r>
                    <w:rPr>
                      <w:b w:val="0"/>
                      <w:bCs w:val="0"/>
                      <w:color w:val="auto"/>
                    </w:rPr>
                    <w:t>除磷</w:t>
                  </w:r>
                </w:p>
              </w:tc>
              <w:tc>
                <w:tcPr>
                  <w:tcW w:w="1707" w:type="pct"/>
                  <w:vAlign w:val="center"/>
                </w:tcPr>
                <w:p w14:paraId="3FAEA301">
                  <w:pPr>
                    <w:jc w:val="center"/>
                    <w:rPr>
                      <w:b w:val="0"/>
                      <w:bCs w:val="0"/>
                      <w:color w:val="auto"/>
                    </w:rPr>
                  </w:pPr>
                  <w:r>
                    <w:rPr>
                      <w:b w:val="0"/>
                      <w:bCs w:val="0"/>
                      <w:color w:val="auto"/>
                    </w:rPr>
                    <w:t>高温电阻炉</w:t>
                  </w:r>
                </w:p>
              </w:tc>
              <w:tc>
                <w:tcPr>
                  <w:tcW w:w="992" w:type="pct"/>
                  <w:vAlign w:val="center"/>
                </w:tcPr>
                <w:p w14:paraId="0DC25358">
                  <w:pPr>
                    <w:jc w:val="center"/>
                    <w:rPr>
                      <w:b w:val="0"/>
                      <w:bCs w:val="0"/>
                      <w:color w:val="auto"/>
                    </w:rPr>
                  </w:pPr>
                  <w:r>
                    <w:rPr>
                      <w:rFonts w:hint="eastAsia"/>
                      <w:b w:val="0"/>
                      <w:bCs w:val="0"/>
                      <w:color w:val="auto"/>
                    </w:rPr>
                    <w:t>/</w:t>
                  </w:r>
                </w:p>
              </w:tc>
              <w:tc>
                <w:tcPr>
                  <w:tcW w:w="577" w:type="pct"/>
                  <w:vAlign w:val="center"/>
                </w:tcPr>
                <w:p w14:paraId="771F7BA8">
                  <w:pPr>
                    <w:jc w:val="center"/>
                    <w:rPr>
                      <w:b w:val="0"/>
                      <w:bCs w:val="0"/>
                      <w:color w:val="auto"/>
                    </w:rPr>
                  </w:pPr>
                  <w:r>
                    <w:rPr>
                      <w:b w:val="0"/>
                      <w:bCs w:val="0"/>
                      <w:color w:val="auto"/>
                    </w:rPr>
                    <w:t>1</w:t>
                  </w:r>
                </w:p>
              </w:tc>
            </w:tr>
            <w:tr w14:paraId="4970157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369" w:type="pct"/>
                  <w:vAlign w:val="center"/>
                </w:tcPr>
                <w:p w14:paraId="6A122BFE">
                  <w:pPr>
                    <w:jc w:val="center"/>
                    <w:rPr>
                      <w:b w:val="0"/>
                      <w:bCs w:val="0"/>
                      <w:color w:val="auto"/>
                    </w:rPr>
                  </w:pPr>
                  <w:r>
                    <w:rPr>
                      <w:b w:val="0"/>
                      <w:bCs w:val="0"/>
                      <w:color w:val="auto"/>
                    </w:rPr>
                    <w:t>10</w:t>
                  </w:r>
                </w:p>
              </w:tc>
              <w:tc>
                <w:tcPr>
                  <w:tcW w:w="614" w:type="pct"/>
                  <w:vMerge w:val="continue"/>
                  <w:vAlign w:val="center"/>
                </w:tcPr>
                <w:p w14:paraId="4C0DA789">
                  <w:pPr>
                    <w:jc w:val="center"/>
                    <w:rPr>
                      <w:b w:val="0"/>
                      <w:bCs w:val="0"/>
                      <w:color w:val="auto"/>
                    </w:rPr>
                  </w:pPr>
                </w:p>
              </w:tc>
              <w:tc>
                <w:tcPr>
                  <w:tcW w:w="737" w:type="pct"/>
                  <w:vMerge w:val="restart"/>
                  <w:vAlign w:val="center"/>
                </w:tcPr>
                <w:p w14:paraId="7B95196A">
                  <w:pPr>
                    <w:jc w:val="center"/>
                    <w:rPr>
                      <w:b w:val="0"/>
                      <w:bCs w:val="0"/>
                      <w:color w:val="auto"/>
                    </w:rPr>
                  </w:pPr>
                  <w:r>
                    <w:rPr>
                      <w:b w:val="0"/>
                      <w:bCs w:val="0"/>
                      <w:color w:val="auto"/>
                    </w:rPr>
                    <w:t>锻造</w:t>
                  </w:r>
                </w:p>
              </w:tc>
              <w:tc>
                <w:tcPr>
                  <w:tcW w:w="1707" w:type="pct"/>
                  <w:vAlign w:val="center"/>
                </w:tcPr>
                <w:p w14:paraId="04382209">
                  <w:pPr>
                    <w:jc w:val="center"/>
                    <w:rPr>
                      <w:b w:val="0"/>
                      <w:bCs w:val="0"/>
                      <w:color w:val="auto"/>
                    </w:rPr>
                  </w:pPr>
                  <w:r>
                    <w:rPr>
                      <w:b w:val="0"/>
                      <w:bCs w:val="0"/>
                      <w:color w:val="auto"/>
                    </w:rPr>
                    <w:t>电动无轨装取料机</w:t>
                  </w:r>
                </w:p>
              </w:tc>
              <w:tc>
                <w:tcPr>
                  <w:tcW w:w="992" w:type="pct"/>
                  <w:vAlign w:val="center"/>
                </w:tcPr>
                <w:p w14:paraId="736CF39C">
                  <w:pPr>
                    <w:jc w:val="center"/>
                    <w:rPr>
                      <w:b w:val="0"/>
                      <w:bCs w:val="0"/>
                      <w:color w:val="auto"/>
                    </w:rPr>
                  </w:pPr>
                  <w:r>
                    <w:rPr>
                      <w:b w:val="0"/>
                      <w:bCs w:val="0"/>
                      <w:color w:val="auto"/>
                    </w:rPr>
                    <w:t>最大夹持重量1000KG</w:t>
                  </w:r>
                </w:p>
              </w:tc>
              <w:tc>
                <w:tcPr>
                  <w:tcW w:w="577" w:type="pct"/>
                  <w:vAlign w:val="center"/>
                </w:tcPr>
                <w:p w14:paraId="1910866D">
                  <w:pPr>
                    <w:jc w:val="center"/>
                    <w:rPr>
                      <w:b w:val="0"/>
                      <w:bCs w:val="0"/>
                      <w:color w:val="auto"/>
                    </w:rPr>
                  </w:pPr>
                  <w:r>
                    <w:rPr>
                      <w:b w:val="0"/>
                      <w:bCs w:val="0"/>
                      <w:color w:val="auto"/>
                    </w:rPr>
                    <w:t>1</w:t>
                  </w:r>
                </w:p>
              </w:tc>
            </w:tr>
            <w:tr w14:paraId="2D1F973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369" w:type="pct"/>
                  <w:vAlign w:val="center"/>
                </w:tcPr>
                <w:p w14:paraId="0D2DBFCB">
                  <w:pPr>
                    <w:jc w:val="center"/>
                    <w:rPr>
                      <w:b w:val="0"/>
                      <w:bCs w:val="0"/>
                      <w:color w:val="auto"/>
                    </w:rPr>
                  </w:pPr>
                  <w:r>
                    <w:rPr>
                      <w:b w:val="0"/>
                      <w:bCs w:val="0"/>
                      <w:color w:val="auto"/>
                    </w:rPr>
                    <w:t>11</w:t>
                  </w:r>
                </w:p>
              </w:tc>
              <w:tc>
                <w:tcPr>
                  <w:tcW w:w="614" w:type="pct"/>
                  <w:vMerge w:val="continue"/>
                  <w:vAlign w:val="center"/>
                </w:tcPr>
                <w:p w14:paraId="720FC560">
                  <w:pPr>
                    <w:jc w:val="center"/>
                    <w:rPr>
                      <w:b w:val="0"/>
                      <w:bCs w:val="0"/>
                      <w:color w:val="auto"/>
                    </w:rPr>
                  </w:pPr>
                </w:p>
              </w:tc>
              <w:tc>
                <w:tcPr>
                  <w:tcW w:w="737" w:type="pct"/>
                  <w:vMerge w:val="continue"/>
                  <w:vAlign w:val="center"/>
                </w:tcPr>
                <w:p w14:paraId="1101A064">
                  <w:pPr>
                    <w:jc w:val="center"/>
                    <w:rPr>
                      <w:b w:val="0"/>
                      <w:bCs w:val="0"/>
                      <w:color w:val="auto"/>
                    </w:rPr>
                  </w:pPr>
                </w:p>
              </w:tc>
              <w:tc>
                <w:tcPr>
                  <w:tcW w:w="1707" w:type="pct"/>
                  <w:vAlign w:val="center"/>
                </w:tcPr>
                <w:p w14:paraId="47C96F7A">
                  <w:pPr>
                    <w:jc w:val="center"/>
                    <w:rPr>
                      <w:b w:val="0"/>
                      <w:bCs w:val="0"/>
                      <w:color w:val="auto"/>
                    </w:rPr>
                  </w:pPr>
                  <w:r>
                    <w:rPr>
                      <w:b w:val="0"/>
                      <w:bCs w:val="0"/>
                      <w:color w:val="auto"/>
                    </w:rPr>
                    <w:t>机械人（含上、下料以及喷涂</w:t>
                  </w:r>
                  <w:r>
                    <w:rPr>
                      <w:rFonts w:hint="eastAsia"/>
                      <w:b w:val="0"/>
                      <w:bCs w:val="0"/>
                      <w:color w:val="auto"/>
                    </w:rPr>
                    <w:t>石墨</w:t>
                  </w:r>
                  <w:r>
                    <w:rPr>
                      <w:b w:val="0"/>
                      <w:bCs w:val="0"/>
                      <w:color w:val="auto"/>
                    </w:rPr>
                    <w:t>）</w:t>
                  </w:r>
                </w:p>
              </w:tc>
              <w:tc>
                <w:tcPr>
                  <w:tcW w:w="992" w:type="pct"/>
                  <w:vAlign w:val="center"/>
                </w:tcPr>
                <w:p w14:paraId="2FED034F">
                  <w:pPr>
                    <w:jc w:val="center"/>
                    <w:rPr>
                      <w:b w:val="0"/>
                      <w:bCs w:val="0"/>
                      <w:color w:val="auto"/>
                    </w:rPr>
                  </w:pPr>
                  <w:r>
                    <w:rPr>
                      <w:rFonts w:hint="eastAsia"/>
                      <w:b w:val="0"/>
                      <w:bCs w:val="0"/>
                      <w:color w:val="auto"/>
                    </w:rPr>
                    <w:t>/</w:t>
                  </w:r>
                </w:p>
              </w:tc>
              <w:tc>
                <w:tcPr>
                  <w:tcW w:w="577" w:type="pct"/>
                  <w:vAlign w:val="center"/>
                </w:tcPr>
                <w:p w14:paraId="009E9012">
                  <w:pPr>
                    <w:jc w:val="center"/>
                    <w:rPr>
                      <w:b w:val="0"/>
                      <w:bCs w:val="0"/>
                      <w:color w:val="auto"/>
                    </w:rPr>
                  </w:pPr>
                  <w:r>
                    <w:rPr>
                      <w:b w:val="0"/>
                      <w:bCs w:val="0"/>
                      <w:color w:val="auto"/>
                    </w:rPr>
                    <w:t>3</w:t>
                  </w:r>
                </w:p>
              </w:tc>
            </w:tr>
            <w:tr w14:paraId="0B56D10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369" w:type="pct"/>
                  <w:vMerge w:val="restart"/>
                  <w:vAlign w:val="center"/>
                </w:tcPr>
                <w:p w14:paraId="26695FAC">
                  <w:pPr>
                    <w:jc w:val="center"/>
                    <w:rPr>
                      <w:b w:val="0"/>
                      <w:bCs w:val="0"/>
                      <w:color w:val="auto"/>
                    </w:rPr>
                  </w:pPr>
                  <w:r>
                    <w:rPr>
                      <w:rFonts w:hint="eastAsia"/>
                      <w:b w:val="0"/>
                      <w:bCs w:val="0"/>
                      <w:color w:val="auto"/>
                    </w:rPr>
                    <w:t>12</w:t>
                  </w:r>
                </w:p>
              </w:tc>
              <w:tc>
                <w:tcPr>
                  <w:tcW w:w="614" w:type="pct"/>
                  <w:vMerge w:val="continue"/>
                  <w:vAlign w:val="center"/>
                </w:tcPr>
                <w:p w14:paraId="6005FD23">
                  <w:pPr>
                    <w:jc w:val="center"/>
                    <w:rPr>
                      <w:b w:val="0"/>
                      <w:bCs w:val="0"/>
                      <w:color w:val="auto"/>
                    </w:rPr>
                  </w:pPr>
                </w:p>
              </w:tc>
              <w:tc>
                <w:tcPr>
                  <w:tcW w:w="737" w:type="pct"/>
                  <w:vMerge w:val="continue"/>
                  <w:vAlign w:val="center"/>
                </w:tcPr>
                <w:p w14:paraId="69975659">
                  <w:pPr>
                    <w:jc w:val="center"/>
                    <w:rPr>
                      <w:b w:val="0"/>
                      <w:bCs w:val="0"/>
                      <w:color w:val="auto"/>
                    </w:rPr>
                  </w:pPr>
                </w:p>
              </w:tc>
              <w:tc>
                <w:tcPr>
                  <w:tcW w:w="1707" w:type="pct"/>
                  <w:vMerge w:val="restart"/>
                  <w:vAlign w:val="center"/>
                </w:tcPr>
                <w:p w14:paraId="7485C531">
                  <w:pPr>
                    <w:jc w:val="center"/>
                    <w:rPr>
                      <w:b w:val="0"/>
                      <w:bCs w:val="0"/>
                      <w:color w:val="auto"/>
                    </w:rPr>
                  </w:pPr>
                  <w:r>
                    <w:rPr>
                      <w:b w:val="0"/>
                      <w:bCs w:val="0"/>
                      <w:color w:val="auto"/>
                    </w:rPr>
                    <w:t>多向模锻液压机（含压机本体、风冷式冷却塔、钢制输送链以及液压系统）</w:t>
                  </w:r>
                </w:p>
              </w:tc>
              <w:tc>
                <w:tcPr>
                  <w:tcW w:w="992" w:type="pct"/>
                  <w:vAlign w:val="center"/>
                </w:tcPr>
                <w:p w14:paraId="3ABA6144">
                  <w:pPr>
                    <w:jc w:val="center"/>
                    <w:rPr>
                      <w:b w:val="0"/>
                      <w:bCs w:val="0"/>
                      <w:color w:val="auto"/>
                    </w:rPr>
                  </w:pPr>
                  <w:r>
                    <w:rPr>
                      <w:b w:val="0"/>
                      <w:bCs w:val="0"/>
                      <w:color w:val="auto"/>
                    </w:rPr>
                    <w:t>40MN</w:t>
                  </w:r>
                </w:p>
              </w:tc>
              <w:tc>
                <w:tcPr>
                  <w:tcW w:w="577" w:type="pct"/>
                  <w:vAlign w:val="center"/>
                </w:tcPr>
                <w:p w14:paraId="6FBC0B26">
                  <w:pPr>
                    <w:jc w:val="center"/>
                    <w:rPr>
                      <w:b w:val="0"/>
                      <w:bCs w:val="0"/>
                      <w:color w:val="auto"/>
                    </w:rPr>
                  </w:pPr>
                  <w:r>
                    <w:rPr>
                      <w:b w:val="0"/>
                      <w:bCs w:val="0"/>
                      <w:color w:val="auto"/>
                    </w:rPr>
                    <w:t>2</w:t>
                  </w:r>
                </w:p>
              </w:tc>
            </w:tr>
            <w:tr w14:paraId="0A27BB7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Merge w:val="continue"/>
                  <w:vAlign w:val="center"/>
                </w:tcPr>
                <w:p w14:paraId="46A25767">
                  <w:pPr>
                    <w:jc w:val="center"/>
                    <w:rPr>
                      <w:b w:val="0"/>
                      <w:bCs w:val="0"/>
                      <w:color w:val="auto"/>
                    </w:rPr>
                  </w:pPr>
                </w:p>
              </w:tc>
              <w:tc>
                <w:tcPr>
                  <w:tcW w:w="614" w:type="pct"/>
                  <w:vMerge w:val="continue"/>
                  <w:vAlign w:val="center"/>
                </w:tcPr>
                <w:p w14:paraId="7A29025A">
                  <w:pPr>
                    <w:jc w:val="center"/>
                    <w:rPr>
                      <w:b w:val="0"/>
                      <w:bCs w:val="0"/>
                      <w:color w:val="auto"/>
                    </w:rPr>
                  </w:pPr>
                </w:p>
              </w:tc>
              <w:tc>
                <w:tcPr>
                  <w:tcW w:w="737" w:type="pct"/>
                  <w:vMerge w:val="continue"/>
                  <w:vAlign w:val="center"/>
                </w:tcPr>
                <w:p w14:paraId="7609F6B8">
                  <w:pPr>
                    <w:jc w:val="center"/>
                    <w:rPr>
                      <w:b w:val="0"/>
                      <w:bCs w:val="0"/>
                      <w:color w:val="auto"/>
                    </w:rPr>
                  </w:pPr>
                </w:p>
              </w:tc>
              <w:tc>
                <w:tcPr>
                  <w:tcW w:w="1707" w:type="pct"/>
                  <w:vMerge w:val="continue"/>
                  <w:vAlign w:val="center"/>
                </w:tcPr>
                <w:p w14:paraId="4FCA5487">
                  <w:pPr>
                    <w:jc w:val="center"/>
                    <w:rPr>
                      <w:b w:val="0"/>
                      <w:bCs w:val="0"/>
                      <w:color w:val="auto"/>
                    </w:rPr>
                  </w:pPr>
                </w:p>
              </w:tc>
              <w:tc>
                <w:tcPr>
                  <w:tcW w:w="992" w:type="pct"/>
                  <w:vAlign w:val="center"/>
                </w:tcPr>
                <w:p w14:paraId="055DDB59">
                  <w:pPr>
                    <w:jc w:val="center"/>
                    <w:rPr>
                      <w:b w:val="0"/>
                      <w:bCs w:val="0"/>
                      <w:color w:val="auto"/>
                    </w:rPr>
                  </w:pPr>
                  <w:r>
                    <w:rPr>
                      <w:b w:val="0"/>
                      <w:bCs w:val="0"/>
                      <w:color w:val="auto"/>
                    </w:rPr>
                    <w:t>120MN</w:t>
                  </w:r>
                </w:p>
              </w:tc>
              <w:tc>
                <w:tcPr>
                  <w:tcW w:w="577" w:type="pct"/>
                  <w:vAlign w:val="center"/>
                </w:tcPr>
                <w:p w14:paraId="149EF051">
                  <w:pPr>
                    <w:jc w:val="center"/>
                    <w:rPr>
                      <w:b w:val="0"/>
                      <w:bCs w:val="0"/>
                      <w:color w:val="auto"/>
                    </w:rPr>
                  </w:pPr>
                  <w:r>
                    <w:rPr>
                      <w:b w:val="0"/>
                      <w:bCs w:val="0"/>
                      <w:color w:val="auto"/>
                    </w:rPr>
                    <w:t>1</w:t>
                  </w:r>
                </w:p>
              </w:tc>
            </w:tr>
            <w:tr w14:paraId="7A68109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9" w:type="pct"/>
                  <w:vAlign w:val="center"/>
                </w:tcPr>
                <w:p w14:paraId="064AB719">
                  <w:pPr>
                    <w:jc w:val="center"/>
                    <w:rPr>
                      <w:b w:val="0"/>
                      <w:bCs w:val="0"/>
                      <w:color w:val="auto"/>
                    </w:rPr>
                  </w:pPr>
                  <w:r>
                    <w:rPr>
                      <w:rFonts w:hint="eastAsia"/>
                      <w:b w:val="0"/>
                      <w:bCs w:val="0"/>
                      <w:color w:val="auto"/>
                    </w:rPr>
                    <w:t>13</w:t>
                  </w:r>
                </w:p>
              </w:tc>
              <w:tc>
                <w:tcPr>
                  <w:tcW w:w="614" w:type="pct"/>
                  <w:vMerge w:val="continue"/>
                  <w:vAlign w:val="center"/>
                </w:tcPr>
                <w:p w14:paraId="2444B772">
                  <w:pPr>
                    <w:jc w:val="center"/>
                    <w:rPr>
                      <w:b w:val="0"/>
                      <w:bCs w:val="0"/>
                      <w:color w:val="auto"/>
                    </w:rPr>
                  </w:pPr>
                </w:p>
              </w:tc>
              <w:tc>
                <w:tcPr>
                  <w:tcW w:w="737" w:type="pct"/>
                  <w:vMerge w:val="continue"/>
                  <w:vAlign w:val="center"/>
                </w:tcPr>
                <w:p w14:paraId="7DD8D952">
                  <w:pPr>
                    <w:jc w:val="center"/>
                    <w:rPr>
                      <w:b w:val="0"/>
                      <w:bCs w:val="0"/>
                      <w:color w:val="auto"/>
                    </w:rPr>
                  </w:pPr>
                </w:p>
              </w:tc>
              <w:tc>
                <w:tcPr>
                  <w:tcW w:w="1707" w:type="pct"/>
                  <w:vAlign w:val="center"/>
                </w:tcPr>
                <w:p w14:paraId="0CE77E6B">
                  <w:pPr>
                    <w:jc w:val="center"/>
                    <w:rPr>
                      <w:b w:val="0"/>
                      <w:bCs w:val="0"/>
                      <w:color w:val="auto"/>
                    </w:rPr>
                  </w:pPr>
                  <w:r>
                    <w:rPr>
                      <w:b w:val="0"/>
                      <w:bCs w:val="0"/>
                      <w:color w:val="auto"/>
                    </w:rPr>
                    <w:t>无轨装取料机</w:t>
                  </w:r>
                </w:p>
              </w:tc>
              <w:tc>
                <w:tcPr>
                  <w:tcW w:w="992" w:type="pct"/>
                  <w:vAlign w:val="center"/>
                </w:tcPr>
                <w:p w14:paraId="0AEA03EE">
                  <w:pPr>
                    <w:jc w:val="center"/>
                    <w:rPr>
                      <w:b w:val="0"/>
                      <w:bCs w:val="0"/>
                      <w:color w:val="auto"/>
                    </w:rPr>
                  </w:pPr>
                  <w:r>
                    <w:rPr>
                      <w:b w:val="0"/>
                      <w:bCs w:val="0"/>
                      <w:color w:val="auto"/>
                    </w:rPr>
                    <w:t>最大夹持重量1000KG</w:t>
                  </w:r>
                </w:p>
              </w:tc>
              <w:tc>
                <w:tcPr>
                  <w:tcW w:w="577" w:type="pct"/>
                  <w:vAlign w:val="center"/>
                </w:tcPr>
                <w:p w14:paraId="3BC13569">
                  <w:pPr>
                    <w:jc w:val="center"/>
                    <w:rPr>
                      <w:b w:val="0"/>
                      <w:bCs w:val="0"/>
                      <w:color w:val="auto"/>
                    </w:rPr>
                  </w:pPr>
                  <w:r>
                    <w:rPr>
                      <w:b w:val="0"/>
                      <w:bCs w:val="0"/>
                      <w:color w:val="auto"/>
                    </w:rPr>
                    <w:t>1</w:t>
                  </w:r>
                </w:p>
              </w:tc>
            </w:tr>
            <w:tr w14:paraId="5984477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44E2FD38">
                  <w:pPr>
                    <w:jc w:val="center"/>
                    <w:rPr>
                      <w:b w:val="0"/>
                      <w:bCs w:val="0"/>
                      <w:color w:val="auto"/>
                    </w:rPr>
                  </w:pPr>
                  <w:r>
                    <w:rPr>
                      <w:b w:val="0"/>
                      <w:bCs w:val="0"/>
                      <w:color w:val="auto"/>
                    </w:rPr>
                    <w:t>14</w:t>
                  </w:r>
                </w:p>
              </w:tc>
              <w:tc>
                <w:tcPr>
                  <w:tcW w:w="614" w:type="pct"/>
                  <w:vMerge w:val="continue"/>
                  <w:vAlign w:val="center"/>
                </w:tcPr>
                <w:p w14:paraId="6F1D6248">
                  <w:pPr>
                    <w:jc w:val="center"/>
                    <w:rPr>
                      <w:b w:val="0"/>
                      <w:bCs w:val="0"/>
                      <w:color w:val="auto"/>
                    </w:rPr>
                  </w:pPr>
                </w:p>
              </w:tc>
              <w:tc>
                <w:tcPr>
                  <w:tcW w:w="737" w:type="pct"/>
                  <w:vMerge w:val="continue"/>
                  <w:vAlign w:val="center"/>
                </w:tcPr>
                <w:p w14:paraId="78539D70">
                  <w:pPr>
                    <w:jc w:val="center"/>
                    <w:rPr>
                      <w:b w:val="0"/>
                      <w:bCs w:val="0"/>
                      <w:color w:val="auto"/>
                    </w:rPr>
                  </w:pPr>
                </w:p>
              </w:tc>
              <w:tc>
                <w:tcPr>
                  <w:tcW w:w="1707" w:type="pct"/>
                  <w:vAlign w:val="center"/>
                </w:tcPr>
                <w:p w14:paraId="0ABCE287">
                  <w:pPr>
                    <w:jc w:val="center"/>
                    <w:rPr>
                      <w:b w:val="0"/>
                      <w:bCs w:val="0"/>
                      <w:color w:val="auto"/>
                    </w:rPr>
                  </w:pPr>
                  <w:r>
                    <w:rPr>
                      <w:b w:val="0"/>
                      <w:bCs w:val="0"/>
                      <w:color w:val="auto"/>
                    </w:rPr>
                    <w:t>重载机械手</w:t>
                  </w:r>
                </w:p>
              </w:tc>
              <w:tc>
                <w:tcPr>
                  <w:tcW w:w="992" w:type="pct"/>
                  <w:vAlign w:val="center"/>
                </w:tcPr>
                <w:p w14:paraId="0839F13D">
                  <w:pPr>
                    <w:jc w:val="center"/>
                    <w:rPr>
                      <w:b w:val="0"/>
                      <w:bCs w:val="0"/>
                      <w:color w:val="auto"/>
                    </w:rPr>
                  </w:pPr>
                  <w:r>
                    <w:rPr>
                      <w:rFonts w:hint="eastAsia"/>
                      <w:b w:val="0"/>
                      <w:bCs w:val="0"/>
                      <w:color w:val="auto"/>
                    </w:rPr>
                    <w:t>/</w:t>
                  </w:r>
                </w:p>
              </w:tc>
              <w:tc>
                <w:tcPr>
                  <w:tcW w:w="577" w:type="pct"/>
                  <w:vAlign w:val="center"/>
                </w:tcPr>
                <w:p w14:paraId="7C5CA45D">
                  <w:pPr>
                    <w:jc w:val="center"/>
                    <w:rPr>
                      <w:b w:val="0"/>
                      <w:bCs w:val="0"/>
                      <w:color w:val="auto"/>
                    </w:rPr>
                  </w:pPr>
                  <w:r>
                    <w:rPr>
                      <w:b w:val="0"/>
                      <w:bCs w:val="0"/>
                      <w:color w:val="auto"/>
                    </w:rPr>
                    <w:t>1</w:t>
                  </w:r>
                </w:p>
              </w:tc>
            </w:tr>
            <w:tr w14:paraId="40C0E44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479BC43A">
                  <w:pPr>
                    <w:jc w:val="center"/>
                    <w:rPr>
                      <w:b w:val="0"/>
                      <w:bCs w:val="0"/>
                      <w:color w:val="auto"/>
                    </w:rPr>
                  </w:pPr>
                  <w:r>
                    <w:rPr>
                      <w:b w:val="0"/>
                      <w:bCs w:val="0"/>
                      <w:color w:val="auto"/>
                    </w:rPr>
                    <w:t>15</w:t>
                  </w:r>
                </w:p>
              </w:tc>
              <w:tc>
                <w:tcPr>
                  <w:tcW w:w="614" w:type="pct"/>
                  <w:vMerge w:val="continue"/>
                  <w:vAlign w:val="center"/>
                </w:tcPr>
                <w:p w14:paraId="270C90C9">
                  <w:pPr>
                    <w:jc w:val="center"/>
                    <w:rPr>
                      <w:b w:val="0"/>
                      <w:bCs w:val="0"/>
                      <w:color w:val="auto"/>
                    </w:rPr>
                  </w:pPr>
                </w:p>
              </w:tc>
              <w:tc>
                <w:tcPr>
                  <w:tcW w:w="737" w:type="pct"/>
                  <w:vMerge w:val="restart"/>
                  <w:vAlign w:val="center"/>
                </w:tcPr>
                <w:p w14:paraId="6FCA47D5">
                  <w:pPr>
                    <w:jc w:val="center"/>
                    <w:rPr>
                      <w:b w:val="0"/>
                      <w:bCs w:val="0"/>
                      <w:color w:val="auto"/>
                    </w:rPr>
                  </w:pPr>
                  <w:r>
                    <w:rPr>
                      <w:b w:val="0"/>
                      <w:bCs w:val="0"/>
                      <w:color w:val="auto"/>
                    </w:rPr>
                    <w:t>热处理</w:t>
                  </w:r>
                </w:p>
              </w:tc>
              <w:tc>
                <w:tcPr>
                  <w:tcW w:w="1707" w:type="pct"/>
                  <w:vAlign w:val="center"/>
                </w:tcPr>
                <w:p w14:paraId="2F171C9D">
                  <w:pPr>
                    <w:jc w:val="center"/>
                    <w:rPr>
                      <w:b w:val="0"/>
                      <w:bCs w:val="0"/>
                      <w:color w:val="auto"/>
                    </w:rPr>
                  </w:pPr>
                  <w:r>
                    <w:rPr>
                      <w:b w:val="0"/>
                      <w:bCs w:val="0"/>
                      <w:color w:val="auto"/>
                    </w:rPr>
                    <w:t>热处理台车电阻炉</w:t>
                  </w:r>
                </w:p>
              </w:tc>
              <w:tc>
                <w:tcPr>
                  <w:tcW w:w="992" w:type="pct"/>
                  <w:vAlign w:val="center"/>
                </w:tcPr>
                <w:p w14:paraId="4D3501B4">
                  <w:pPr>
                    <w:jc w:val="center"/>
                    <w:rPr>
                      <w:b w:val="0"/>
                      <w:bCs w:val="0"/>
                      <w:color w:val="auto"/>
                    </w:rPr>
                  </w:pPr>
                  <w:r>
                    <w:rPr>
                      <w:rFonts w:hint="eastAsia"/>
                      <w:b w:val="0"/>
                      <w:bCs w:val="0"/>
                      <w:color w:val="auto"/>
                    </w:rPr>
                    <w:t>2.5</w:t>
                  </w:r>
                  <w:r>
                    <w:rPr>
                      <w:b w:val="0"/>
                      <w:bCs w:val="0"/>
                      <w:color w:val="auto"/>
                    </w:rPr>
                    <w:t>*</w:t>
                  </w:r>
                  <w:r>
                    <w:rPr>
                      <w:rFonts w:hint="eastAsia"/>
                      <w:b w:val="0"/>
                      <w:bCs w:val="0"/>
                      <w:color w:val="auto"/>
                    </w:rPr>
                    <w:t>1.8</w:t>
                  </w:r>
                  <w:r>
                    <w:rPr>
                      <w:b w:val="0"/>
                      <w:bCs w:val="0"/>
                      <w:color w:val="auto"/>
                    </w:rPr>
                    <w:t>*</w:t>
                  </w:r>
                  <w:r>
                    <w:rPr>
                      <w:rFonts w:hint="eastAsia"/>
                      <w:b w:val="0"/>
                      <w:bCs w:val="0"/>
                      <w:color w:val="auto"/>
                    </w:rPr>
                    <w:t>1.2</w:t>
                  </w:r>
                  <w:r>
                    <w:rPr>
                      <w:b w:val="0"/>
                      <w:bCs w:val="0"/>
                      <w:color w:val="auto"/>
                    </w:rPr>
                    <w:t>m</w:t>
                  </w:r>
                  <w:r>
                    <w:rPr>
                      <w:rFonts w:hint="eastAsia"/>
                      <w:b w:val="0"/>
                      <w:bCs w:val="0"/>
                      <w:color w:val="auto"/>
                    </w:rPr>
                    <w:t>，</w:t>
                  </w:r>
                </w:p>
                <w:p w14:paraId="67B87092">
                  <w:pPr>
                    <w:jc w:val="center"/>
                    <w:rPr>
                      <w:b w:val="0"/>
                      <w:bCs w:val="0"/>
                      <w:color w:val="auto"/>
                    </w:rPr>
                  </w:pPr>
                  <w:r>
                    <w:rPr>
                      <w:b w:val="0"/>
                      <w:bCs w:val="0"/>
                      <w:color w:val="auto"/>
                    </w:rPr>
                    <w:t>功率</w:t>
                  </w:r>
                  <w:r>
                    <w:rPr>
                      <w:rFonts w:hint="eastAsia"/>
                      <w:b w:val="0"/>
                      <w:bCs w:val="0"/>
                      <w:color w:val="auto"/>
                    </w:rPr>
                    <w:t>380kW，</w:t>
                  </w:r>
                </w:p>
                <w:p w14:paraId="1FF54742">
                  <w:pPr>
                    <w:jc w:val="center"/>
                    <w:rPr>
                      <w:b w:val="0"/>
                      <w:bCs w:val="0"/>
                      <w:color w:val="auto"/>
                    </w:rPr>
                  </w:pPr>
                  <w:r>
                    <w:rPr>
                      <w:rFonts w:hint="eastAsia"/>
                      <w:b w:val="0"/>
                      <w:bCs w:val="0"/>
                      <w:color w:val="auto"/>
                    </w:rPr>
                    <w:t>电加热</w:t>
                  </w:r>
                </w:p>
              </w:tc>
              <w:tc>
                <w:tcPr>
                  <w:tcW w:w="577" w:type="pct"/>
                  <w:vAlign w:val="center"/>
                </w:tcPr>
                <w:p w14:paraId="5F0E325C">
                  <w:pPr>
                    <w:jc w:val="center"/>
                    <w:rPr>
                      <w:b w:val="0"/>
                      <w:bCs w:val="0"/>
                      <w:color w:val="auto"/>
                    </w:rPr>
                  </w:pPr>
                  <w:r>
                    <w:rPr>
                      <w:rFonts w:hint="eastAsia"/>
                      <w:b w:val="0"/>
                      <w:bCs w:val="0"/>
                      <w:color w:val="auto"/>
                    </w:rPr>
                    <w:t>1</w:t>
                  </w:r>
                </w:p>
              </w:tc>
            </w:tr>
            <w:tr w14:paraId="22A537A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6D0866FE">
                  <w:pPr>
                    <w:jc w:val="center"/>
                    <w:rPr>
                      <w:b w:val="0"/>
                      <w:bCs w:val="0"/>
                      <w:color w:val="auto"/>
                    </w:rPr>
                  </w:pPr>
                  <w:r>
                    <w:rPr>
                      <w:b w:val="0"/>
                      <w:bCs w:val="0"/>
                      <w:color w:val="auto"/>
                    </w:rPr>
                    <w:t>16</w:t>
                  </w:r>
                </w:p>
              </w:tc>
              <w:tc>
                <w:tcPr>
                  <w:tcW w:w="614" w:type="pct"/>
                  <w:vMerge w:val="continue"/>
                  <w:vAlign w:val="center"/>
                </w:tcPr>
                <w:p w14:paraId="53D9FB95">
                  <w:pPr>
                    <w:jc w:val="center"/>
                    <w:rPr>
                      <w:b w:val="0"/>
                      <w:bCs w:val="0"/>
                      <w:color w:val="auto"/>
                    </w:rPr>
                  </w:pPr>
                </w:p>
              </w:tc>
              <w:tc>
                <w:tcPr>
                  <w:tcW w:w="737" w:type="pct"/>
                  <w:vMerge w:val="continue"/>
                  <w:vAlign w:val="center"/>
                </w:tcPr>
                <w:p w14:paraId="41F5C6BD">
                  <w:pPr>
                    <w:jc w:val="center"/>
                    <w:rPr>
                      <w:b w:val="0"/>
                      <w:bCs w:val="0"/>
                      <w:color w:val="auto"/>
                    </w:rPr>
                  </w:pPr>
                </w:p>
              </w:tc>
              <w:tc>
                <w:tcPr>
                  <w:tcW w:w="1707" w:type="pct"/>
                  <w:vAlign w:val="center"/>
                </w:tcPr>
                <w:p w14:paraId="568858AC">
                  <w:pPr>
                    <w:jc w:val="center"/>
                    <w:rPr>
                      <w:b w:val="0"/>
                      <w:bCs w:val="0"/>
                      <w:color w:val="auto"/>
                    </w:rPr>
                  </w:pPr>
                  <w:r>
                    <w:rPr>
                      <w:b w:val="0"/>
                      <w:bCs w:val="0"/>
                      <w:color w:val="auto"/>
                    </w:rPr>
                    <w:t>台车式电阻热处理炉（含高温1炉个、中温炉1个）</w:t>
                  </w:r>
                </w:p>
              </w:tc>
              <w:tc>
                <w:tcPr>
                  <w:tcW w:w="992" w:type="pct"/>
                  <w:vAlign w:val="center"/>
                </w:tcPr>
                <w:p w14:paraId="3C433AFA">
                  <w:pPr>
                    <w:jc w:val="center"/>
                    <w:rPr>
                      <w:b w:val="0"/>
                      <w:bCs w:val="0"/>
                      <w:color w:val="auto"/>
                    </w:rPr>
                  </w:pPr>
                  <w:r>
                    <w:rPr>
                      <w:rFonts w:hint="eastAsia"/>
                      <w:b w:val="0"/>
                      <w:bCs w:val="0"/>
                      <w:color w:val="auto"/>
                    </w:rPr>
                    <w:t>/</w:t>
                  </w:r>
                </w:p>
              </w:tc>
              <w:tc>
                <w:tcPr>
                  <w:tcW w:w="577" w:type="pct"/>
                  <w:vAlign w:val="center"/>
                </w:tcPr>
                <w:p w14:paraId="5B77FDC6">
                  <w:pPr>
                    <w:jc w:val="center"/>
                    <w:rPr>
                      <w:b w:val="0"/>
                      <w:bCs w:val="0"/>
                      <w:color w:val="auto"/>
                    </w:rPr>
                  </w:pPr>
                  <w:r>
                    <w:rPr>
                      <w:b w:val="0"/>
                      <w:bCs w:val="0"/>
                      <w:color w:val="auto"/>
                    </w:rPr>
                    <w:t>1</w:t>
                  </w:r>
                </w:p>
              </w:tc>
            </w:tr>
            <w:tr w14:paraId="0A2ECE5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2FB956DD">
                  <w:pPr>
                    <w:jc w:val="center"/>
                    <w:rPr>
                      <w:b w:val="0"/>
                      <w:bCs w:val="0"/>
                      <w:color w:val="auto"/>
                    </w:rPr>
                  </w:pPr>
                  <w:r>
                    <w:rPr>
                      <w:b w:val="0"/>
                      <w:bCs w:val="0"/>
                      <w:color w:val="auto"/>
                    </w:rPr>
                    <w:t>17</w:t>
                  </w:r>
                </w:p>
              </w:tc>
              <w:tc>
                <w:tcPr>
                  <w:tcW w:w="614" w:type="pct"/>
                  <w:vMerge w:val="continue"/>
                  <w:vAlign w:val="center"/>
                </w:tcPr>
                <w:p w14:paraId="40E43D2E">
                  <w:pPr>
                    <w:jc w:val="center"/>
                    <w:rPr>
                      <w:b w:val="0"/>
                      <w:bCs w:val="0"/>
                      <w:color w:val="auto"/>
                    </w:rPr>
                  </w:pPr>
                </w:p>
              </w:tc>
              <w:tc>
                <w:tcPr>
                  <w:tcW w:w="737" w:type="pct"/>
                  <w:vMerge w:val="continue"/>
                  <w:vAlign w:val="center"/>
                </w:tcPr>
                <w:p w14:paraId="68F80CFC">
                  <w:pPr>
                    <w:jc w:val="center"/>
                    <w:rPr>
                      <w:b w:val="0"/>
                      <w:bCs w:val="0"/>
                      <w:color w:val="auto"/>
                    </w:rPr>
                  </w:pPr>
                </w:p>
              </w:tc>
              <w:tc>
                <w:tcPr>
                  <w:tcW w:w="1707" w:type="pct"/>
                  <w:vAlign w:val="center"/>
                </w:tcPr>
                <w:p w14:paraId="772C512B">
                  <w:pPr>
                    <w:jc w:val="center"/>
                    <w:rPr>
                      <w:b w:val="0"/>
                      <w:bCs w:val="0"/>
                      <w:color w:val="auto"/>
                    </w:rPr>
                  </w:pPr>
                  <w:r>
                    <w:rPr>
                      <w:b w:val="0"/>
                      <w:bCs w:val="0"/>
                      <w:color w:val="auto"/>
                    </w:rPr>
                    <w:t>热处理试验箱式电阻炉</w:t>
                  </w:r>
                </w:p>
              </w:tc>
              <w:tc>
                <w:tcPr>
                  <w:tcW w:w="992" w:type="pct"/>
                  <w:vAlign w:val="center"/>
                </w:tcPr>
                <w:p w14:paraId="49A4C0EE">
                  <w:pPr>
                    <w:jc w:val="center"/>
                    <w:rPr>
                      <w:b w:val="0"/>
                      <w:bCs w:val="0"/>
                      <w:color w:val="auto"/>
                    </w:rPr>
                  </w:pPr>
                  <w:r>
                    <w:rPr>
                      <w:rFonts w:hint="eastAsia"/>
                      <w:b w:val="0"/>
                      <w:bCs w:val="0"/>
                      <w:color w:val="auto"/>
                    </w:rPr>
                    <w:t>/</w:t>
                  </w:r>
                </w:p>
              </w:tc>
              <w:tc>
                <w:tcPr>
                  <w:tcW w:w="577" w:type="pct"/>
                  <w:vAlign w:val="center"/>
                </w:tcPr>
                <w:p w14:paraId="673BD4F5">
                  <w:pPr>
                    <w:jc w:val="center"/>
                    <w:rPr>
                      <w:b w:val="0"/>
                      <w:bCs w:val="0"/>
                      <w:color w:val="auto"/>
                    </w:rPr>
                  </w:pPr>
                  <w:r>
                    <w:rPr>
                      <w:b w:val="0"/>
                      <w:bCs w:val="0"/>
                      <w:color w:val="auto"/>
                    </w:rPr>
                    <w:t>1</w:t>
                  </w:r>
                </w:p>
              </w:tc>
            </w:tr>
            <w:tr w14:paraId="4473DA3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008790D8">
                  <w:pPr>
                    <w:jc w:val="center"/>
                    <w:rPr>
                      <w:b w:val="0"/>
                      <w:bCs w:val="0"/>
                      <w:color w:val="auto"/>
                    </w:rPr>
                  </w:pPr>
                  <w:r>
                    <w:rPr>
                      <w:b w:val="0"/>
                      <w:bCs w:val="0"/>
                      <w:color w:val="auto"/>
                    </w:rPr>
                    <w:t>18</w:t>
                  </w:r>
                </w:p>
              </w:tc>
              <w:tc>
                <w:tcPr>
                  <w:tcW w:w="614" w:type="pct"/>
                  <w:vMerge w:val="continue"/>
                  <w:vAlign w:val="center"/>
                </w:tcPr>
                <w:p w14:paraId="2DABD418">
                  <w:pPr>
                    <w:jc w:val="center"/>
                    <w:rPr>
                      <w:b w:val="0"/>
                      <w:bCs w:val="0"/>
                      <w:color w:val="auto"/>
                    </w:rPr>
                  </w:pPr>
                </w:p>
              </w:tc>
              <w:tc>
                <w:tcPr>
                  <w:tcW w:w="737" w:type="pct"/>
                  <w:vMerge w:val="continue"/>
                  <w:vAlign w:val="center"/>
                </w:tcPr>
                <w:p w14:paraId="06BAB8A7">
                  <w:pPr>
                    <w:jc w:val="center"/>
                    <w:rPr>
                      <w:b w:val="0"/>
                      <w:bCs w:val="0"/>
                      <w:color w:val="auto"/>
                    </w:rPr>
                  </w:pPr>
                </w:p>
              </w:tc>
              <w:tc>
                <w:tcPr>
                  <w:tcW w:w="1707" w:type="pct"/>
                  <w:vAlign w:val="center"/>
                </w:tcPr>
                <w:p w14:paraId="7C70316F">
                  <w:pPr>
                    <w:jc w:val="center"/>
                    <w:rPr>
                      <w:b w:val="0"/>
                      <w:bCs w:val="0"/>
                      <w:color w:val="auto"/>
                    </w:rPr>
                  </w:pPr>
                  <w:r>
                    <w:rPr>
                      <w:b w:val="0"/>
                      <w:bCs w:val="0"/>
                      <w:color w:val="auto"/>
                    </w:rPr>
                    <w:t>淬火水冷却系统</w:t>
                  </w:r>
                </w:p>
              </w:tc>
              <w:tc>
                <w:tcPr>
                  <w:tcW w:w="992" w:type="pct"/>
                  <w:vAlign w:val="center"/>
                </w:tcPr>
                <w:p w14:paraId="01DB5BDF">
                  <w:pPr>
                    <w:jc w:val="center"/>
                    <w:rPr>
                      <w:b w:val="0"/>
                      <w:bCs w:val="0"/>
                      <w:color w:val="auto"/>
                    </w:rPr>
                  </w:pPr>
                  <w:r>
                    <w:rPr>
                      <w:b w:val="0"/>
                      <w:bCs w:val="0"/>
                      <w:color w:val="auto"/>
                    </w:rPr>
                    <w:t>闭市、室外</w:t>
                  </w:r>
                </w:p>
              </w:tc>
              <w:tc>
                <w:tcPr>
                  <w:tcW w:w="577" w:type="pct"/>
                  <w:vAlign w:val="center"/>
                </w:tcPr>
                <w:p w14:paraId="00E64FA0">
                  <w:pPr>
                    <w:jc w:val="center"/>
                    <w:rPr>
                      <w:b w:val="0"/>
                      <w:bCs w:val="0"/>
                      <w:color w:val="auto"/>
                    </w:rPr>
                  </w:pPr>
                  <w:r>
                    <w:rPr>
                      <w:b w:val="0"/>
                      <w:bCs w:val="0"/>
                      <w:color w:val="auto"/>
                    </w:rPr>
                    <w:t>1</w:t>
                  </w:r>
                </w:p>
              </w:tc>
            </w:tr>
            <w:tr w14:paraId="6DC3C4C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47700C68">
                  <w:pPr>
                    <w:jc w:val="center"/>
                    <w:rPr>
                      <w:b w:val="0"/>
                      <w:bCs w:val="0"/>
                      <w:color w:val="auto"/>
                    </w:rPr>
                  </w:pPr>
                  <w:r>
                    <w:rPr>
                      <w:b w:val="0"/>
                      <w:bCs w:val="0"/>
                      <w:color w:val="auto"/>
                    </w:rPr>
                    <w:t>19</w:t>
                  </w:r>
                </w:p>
              </w:tc>
              <w:tc>
                <w:tcPr>
                  <w:tcW w:w="614" w:type="pct"/>
                  <w:vMerge w:val="continue"/>
                  <w:vAlign w:val="center"/>
                </w:tcPr>
                <w:p w14:paraId="0FC4FD97">
                  <w:pPr>
                    <w:jc w:val="center"/>
                    <w:rPr>
                      <w:b w:val="0"/>
                      <w:bCs w:val="0"/>
                      <w:color w:val="auto"/>
                    </w:rPr>
                  </w:pPr>
                </w:p>
              </w:tc>
              <w:tc>
                <w:tcPr>
                  <w:tcW w:w="737" w:type="pct"/>
                  <w:vMerge w:val="continue"/>
                  <w:vAlign w:val="center"/>
                </w:tcPr>
                <w:p w14:paraId="2FED47EB">
                  <w:pPr>
                    <w:jc w:val="center"/>
                    <w:rPr>
                      <w:b w:val="0"/>
                      <w:bCs w:val="0"/>
                      <w:color w:val="auto"/>
                    </w:rPr>
                  </w:pPr>
                </w:p>
              </w:tc>
              <w:tc>
                <w:tcPr>
                  <w:tcW w:w="1707" w:type="pct"/>
                  <w:vAlign w:val="center"/>
                </w:tcPr>
                <w:p w14:paraId="2273A3F0">
                  <w:pPr>
                    <w:jc w:val="center"/>
                    <w:rPr>
                      <w:b w:val="0"/>
                      <w:bCs w:val="0"/>
                      <w:color w:val="auto"/>
                    </w:rPr>
                  </w:pPr>
                  <w:r>
                    <w:rPr>
                      <w:b w:val="0"/>
                      <w:bCs w:val="0"/>
                      <w:color w:val="auto"/>
                    </w:rPr>
                    <w:t>淬火水槽</w:t>
                  </w:r>
                </w:p>
              </w:tc>
              <w:tc>
                <w:tcPr>
                  <w:tcW w:w="992" w:type="pct"/>
                  <w:vAlign w:val="center"/>
                </w:tcPr>
                <w:p w14:paraId="10D0E16B">
                  <w:pPr>
                    <w:jc w:val="center"/>
                    <w:rPr>
                      <w:b w:val="0"/>
                      <w:bCs w:val="0"/>
                      <w:color w:val="auto"/>
                    </w:rPr>
                  </w:pPr>
                  <w:r>
                    <w:rPr>
                      <w:b w:val="0"/>
                      <w:bCs w:val="0"/>
                      <w:color w:val="auto"/>
                    </w:rPr>
                    <w:t>12*7*4.5m</w:t>
                  </w:r>
                </w:p>
              </w:tc>
              <w:tc>
                <w:tcPr>
                  <w:tcW w:w="577" w:type="pct"/>
                  <w:vAlign w:val="center"/>
                </w:tcPr>
                <w:p w14:paraId="6FAF33F0">
                  <w:pPr>
                    <w:jc w:val="center"/>
                    <w:rPr>
                      <w:b w:val="0"/>
                      <w:bCs w:val="0"/>
                      <w:color w:val="auto"/>
                    </w:rPr>
                  </w:pPr>
                  <w:r>
                    <w:rPr>
                      <w:b w:val="0"/>
                      <w:bCs w:val="0"/>
                      <w:color w:val="auto"/>
                    </w:rPr>
                    <w:t>2</w:t>
                  </w:r>
                </w:p>
              </w:tc>
            </w:tr>
            <w:tr w14:paraId="43810F6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3767A402">
                  <w:pPr>
                    <w:jc w:val="center"/>
                    <w:rPr>
                      <w:b w:val="0"/>
                      <w:bCs w:val="0"/>
                      <w:color w:val="auto"/>
                    </w:rPr>
                  </w:pPr>
                  <w:r>
                    <w:rPr>
                      <w:b w:val="0"/>
                      <w:bCs w:val="0"/>
                      <w:color w:val="auto"/>
                    </w:rPr>
                    <w:t>20</w:t>
                  </w:r>
                </w:p>
              </w:tc>
              <w:tc>
                <w:tcPr>
                  <w:tcW w:w="614" w:type="pct"/>
                  <w:vMerge w:val="continue"/>
                  <w:vAlign w:val="center"/>
                </w:tcPr>
                <w:p w14:paraId="44B5899D">
                  <w:pPr>
                    <w:jc w:val="center"/>
                    <w:rPr>
                      <w:b w:val="0"/>
                      <w:bCs w:val="0"/>
                      <w:color w:val="auto"/>
                    </w:rPr>
                  </w:pPr>
                </w:p>
              </w:tc>
              <w:tc>
                <w:tcPr>
                  <w:tcW w:w="737" w:type="pct"/>
                  <w:vMerge w:val="continue"/>
                  <w:vAlign w:val="center"/>
                </w:tcPr>
                <w:p w14:paraId="196AB0D7">
                  <w:pPr>
                    <w:jc w:val="center"/>
                    <w:rPr>
                      <w:b w:val="0"/>
                      <w:bCs w:val="0"/>
                      <w:color w:val="auto"/>
                    </w:rPr>
                  </w:pPr>
                </w:p>
              </w:tc>
              <w:tc>
                <w:tcPr>
                  <w:tcW w:w="1707" w:type="pct"/>
                  <w:vAlign w:val="center"/>
                </w:tcPr>
                <w:p w14:paraId="78407672">
                  <w:pPr>
                    <w:jc w:val="center"/>
                    <w:rPr>
                      <w:b w:val="0"/>
                      <w:bCs w:val="0"/>
                      <w:color w:val="auto"/>
                    </w:rPr>
                  </w:pPr>
                  <w:r>
                    <w:rPr>
                      <w:b w:val="0"/>
                      <w:bCs w:val="0"/>
                      <w:color w:val="auto"/>
                    </w:rPr>
                    <w:t>备用</w:t>
                  </w:r>
                  <w:r>
                    <w:rPr>
                      <w:rFonts w:hint="eastAsia"/>
                      <w:b w:val="0"/>
                      <w:bCs w:val="0"/>
                      <w:color w:val="auto"/>
                    </w:rPr>
                    <w:t>水</w:t>
                  </w:r>
                  <w:r>
                    <w:rPr>
                      <w:b w:val="0"/>
                      <w:bCs w:val="0"/>
                      <w:color w:val="auto"/>
                    </w:rPr>
                    <w:t>槽</w:t>
                  </w:r>
                </w:p>
              </w:tc>
              <w:tc>
                <w:tcPr>
                  <w:tcW w:w="992" w:type="pct"/>
                  <w:vAlign w:val="center"/>
                </w:tcPr>
                <w:p w14:paraId="215B8515">
                  <w:pPr>
                    <w:jc w:val="center"/>
                    <w:rPr>
                      <w:b w:val="0"/>
                      <w:bCs w:val="0"/>
                      <w:color w:val="auto"/>
                    </w:rPr>
                  </w:pPr>
                  <w:r>
                    <w:rPr>
                      <w:b w:val="0"/>
                      <w:bCs w:val="0"/>
                      <w:color w:val="auto"/>
                    </w:rPr>
                    <w:t>13*8*6m室外</w:t>
                  </w:r>
                </w:p>
              </w:tc>
              <w:tc>
                <w:tcPr>
                  <w:tcW w:w="577" w:type="pct"/>
                  <w:vAlign w:val="center"/>
                </w:tcPr>
                <w:p w14:paraId="2FD5F4B1">
                  <w:pPr>
                    <w:jc w:val="center"/>
                    <w:rPr>
                      <w:b w:val="0"/>
                      <w:bCs w:val="0"/>
                      <w:color w:val="auto"/>
                    </w:rPr>
                  </w:pPr>
                  <w:r>
                    <w:rPr>
                      <w:b w:val="0"/>
                      <w:bCs w:val="0"/>
                      <w:color w:val="auto"/>
                    </w:rPr>
                    <w:t>1</w:t>
                  </w:r>
                </w:p>
              </w:tc>
            </w:tr>
            <w:tr w14:paraId="2FE3A77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3A4886D9">
                  <w:pPr>
                    <w:jc w:val="center"/>
                    <w:rPr>
                      <w:b w:val="0"/>
                      <w:bCs w:val="0"/>
                      <w:color w:val="auto"/>
                    </w:rPr>
                  </w:pPr>
                  <w:r>
                    <w:rPr>
                      <w:rFonts w:hint="eastAsia"/>
                      <w:b w:val="0"/>
                      <w:bCs w:val="0"/>
                      <w:color w:val="auto"/>
                    </w:rPr>
                    <w:t>21</w:t>
                  </w:r>
                </w:p>
              </w:tc>
              <w:tc>
                <w:tcPr>
                  <w:tcW w:w="614" w:type="pct"/>
                  <w:vMerge w:val="continue"/>
                  <w:vAlign w:val="center"/>
                </w:tcPr>
                <w:p w14:paraId="234D8675">
                  <w:pPr>
                    <w:jc w:val="center"/>
                    <w:rPr>
                      <w:b w:val="0"/>
                      <w:bCs w:val="0"/>
                      <w:color w:val="auto"/>
                    </w:rPr>
                  </w:pPr>
                </w:p>
              </w:tc>
              <w:tc>
                <w:tcPr>
                  <w:tcW w:w="737" w:type="pct"/>
                  <w:vMerge w:val="restart"/>
                  <w:vAlign w:val="center"/>
                </w:tcPr>
                <w:p w14:paraId="3D41811A">
                  <w:pPr>
                    <w:jc w:val="center"/>
                    <w:rPr>
                      <w:b w:val="0"/>
                      <w:bCs w:val="0"/>
                      <w:color w:val="auto"/>
                    </w:rPr>
                  </w:pPr>
                  <w:r>
                    <w:rPr>
                      <w:b w:val="0"/>
                      <w:bCs w:val="0"/>
                      <w:color w:val="auto"/>
                    </w:rPr>
                    <w:t>打磨抛丸</w:t>
                  </w:r>
                </w:p>
              </w:tc>
              <w:tc>
                <w:tcPr>
                  <w:tcW w:w="1707" w:type="pct"/>
                  <w:vAlign w:val="center"/>
                </w:tcPr>
                <w:p w14:paraId="50B3120E">
                  <w:pPr>
                    <w:jc w:val="center"/>
                    <w:rPr>
                      <w:b w:val="0"/>
                      <w:bCs w:val="0"/>
                      <w:color w:val="auto"/>
                    </w:rPr>
                  </w:pPr>
                  <w:r>
                    <w:rPr>
                      <w:b w:val="0"/>
                      <w:bCs w:val="0"/>
                      <w:color w:val="auto"/>
                    </w:rPr>
                    <w:t>雕刻机</w:t>
                  </w:r>
                </w:p>
              </w:tc>
              <w:tc>
                <w:tcPr>
                  <w:tcW w:w="992" w:type="pct"/>
                  <w:vAlign w:val="center"/>
                </w:tcPr>
                <w:p w14:paraId="74D655B3">
                  <w:pPr>
                    <w:jc w:val="center"/>
                    <w:rPr>
                      <w:b w:val="0"/>
                      <w:bCs w:val="0"/>
                      <w:color w:val="auto"/>
                    </w:rPr>
                  </w:pPr>
                  <w:r>
                    <w:rPr>
                      <w:rFonts w:hint="eastAsia"/>
                      <w:b w:val="0"/>
                      <w:bCs w:val="0"/>
                      <w:color w:val="auto"/>
                    </w:rPr>
                    <w:t>/</w:t>
                  </w:r>
                </w:p>
              </w:tc>
              <w:tc>
                <w:tcPr>
                  <w:tcW w:w="577" w:type="pct"/>
                  <w:vAlign w:val="center"/>
                </w:tcPr>
                <w:p w14:paraId="45DD34B0">
                  <w:pPr>
                    <w:jc w:val="center"/>
                    <w:rPr>
                      <w:b w:val="0"/>
                      <w:bCs w:val="0"/>
                      <w:color w:val="auto"/>
                    </w:rPr>
                  </w:pPr>
                  <w:r>
                    <w:rPr>
                      <w:b w:val="0"/>
                      <w:bCs w:val="0"/>
                      <w:color w:val="auto"/>
                    </w:rPr>
                    <w:t>2</w:t>
                  </w:r>
                </w:p>
              </w:tc>
            </w:tr>
            <w:tr w14:paraId="4D6FE3B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Merge w:val="restart"/>
                  <w:vAlign w:val="center"/>
                </w:tcPr>
                <w:p w14:paraId="2FBD920D">
                  <w:pPr>
                    <w:jc w:val="center"/>
                    <w:rPr>
                      <w:b w:val="0"/>
                      <w:bCs w:val="0"/>
                      <w:color w:val="auto"/>
                    </w:rPr>
                  </w:pPr>
                  <w:r>
                    <w:rPr>
                      <w:rFonts w:hint="eastAsia"/>
                      <w:b w:val="0"/>
                      <w:bCs w:val="0"/>
                      <w:color w:val="auto"/>
                    </w:rPr>
                    <w:t>22</w:t>
                  </w:r>
                </w:p>
              </w:tc>
              <w:tc>
                <w:tcPr>
                  <w:tcW w:w="614" w:type="pct"/>
                  <w:vMerge w:val="continue"/>
                  <w:vAlign w:val="center"/>
                </w:tcPr>
                <w:p w14:paraId="0ED6FFB9">
                  <w:pPr>
                    <w:jc w:val="center"/>
                    <w:rPr>
                      <w:b w:val="0"/>
                      <w:bCs w:val="0"/>
                      <w:color w:val="auto"/>
                    </w:rPr>
                  </w:pPr>
                </w:p>
              </w:tc>
              <w:tc>
                <w:tcPr>
                  <w:tcW w:w="737" w:type="pct"/>
                  <w:vMerge w:val="continue"/>
                  <w:vAlign w:val="center"/>
                </w:tcPr>
                <w:p w14:paraId="5C685237">
                  <w:pPr>
                    <w:jc w:val="center"/>
                    <w:rPr>
                      <w:b w:val="0"/>
                      <w:bCs w:val="0"/>
                      <w:color w:val="auto"/>
                    </w:rPr>
                  </w:pPr>
                </w:p>
              </w:tc>
              <w:tc>
                <w:tcPr>
                  <w:tcW w:w="1707" w:type="pct"/>
                  <w:vMerge w:val="restart"/>
                  <w:vAlign w:val="center"/>
                </w:tcPr>
                <w:p w14:paraId="72BA50E5">
                  <w:pPr>
                    <w:jc w:val="center"/>
                    <w:rPr>
                      <w:b w:val="0"/>
                      <w:bCs w:val="0"/>
                      <w:color w:val="auto"/>
                    </w:rPr>
                  </w:pPr>
                  <w:r>
                    <w:rPr>
                      <w:b w:val="0"/>
                      <w:bCs w:val="0"/>
                      <w:color w:val="auto"/>
                    </w:rPr>
                    <w:t>叉车</w:t>
                  </w:r>
                </w:p>
              </w:tc>
              <w:tc>
                <w:tcPr>
                  <w:tcW w:w="992" w:type="pct"/>
                  <w:vAlign w:val="center"/>
                </w:tcPr>
                <w:p w14:paraId="37FC347C">
                  <w:pPr>
                    <w:jc w:val="center"/>
                    <w:rPr>
                      <w:b w:val="0"/>
                      <w:bCs w:val="0"/>
                      <w:color w:val="auto"/>
                    </w:rPr>
                  </w:pPr>
                  <w:r>
                    <w:rPr>
                      <w:b w:val="0"/>
                      <w:bCs w:val="0"/>
                      <w:color w:val="auto"/>
                    </w:rPr>
                    <w:t>合力</w:t>
                  </w:r>
                </w:p>
              </w:tc>
              <w:tc>
                <w:tcPr>
                  <w:tcW w:w="577" w:type="pct"/>
                  <w:vAlign w:val="center"/>
                </w:tcPr>
                <w:p w14:paraId="440F552B">
                  <w:pPr>
                    <w:jc w:val="center"/>
                    <w:rPr>
                      <w:b w:val="0"/>
                      <w:bCs w:val="0"/>
                      <w:color w:val="auto"/>
                    </w:rPr>
                  </w:pPr>
                  <w:r>
                    <w:rPr>
                      <w:b w:val="0"/>
                      <w:bCs w:val="0"/>
                      <w:color w:val="auto"/>
                    </w:rPr>
                    <w:t>1</w:t>
                  </w:r>
                </w:p>
              </w:tc>
            </w:tr>
            <w:tr w14:paraId="6ECB790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Merge w:val="continue"/>
                  <w:vAlign w:val="center"/>
                </w:tcPr>
                <w:p w14:paraId="2B53A55D">
                  <w:pPr>
                    <w:jc w:val="center"/>
                    <w:rPr>
                      <w:b w:val="0"/>
                      <w:bCs w:val="0"/>
                      <w:color w:val="auto"/>
                    </w:rPr>
                  </w:pPr>
                </w:p>
              </w:tc>
              <w:tc>
                <w:tcPr>
                  <w:tcW w:w="614" w:type="pct"/>
                  <w:vMerge w:val="continue"/>
                  <w:vAlign w:val="center"/>
                </w:tcPr>
                <w:p w14:paraId="3A6F58A5">
                  <w:pPr>
                    <w:jc w:val="center"/>
                    <w:rPr>
                      <w:b w:val="0"/>
                      <w:bCs w:val="0"/>
                      <w:color w:val="auto"/>
                    </w:rPr>
                  </w:pPr>
                </w:p>
              </w:tc>
              <w:tc>
                <w:tcPr>
                  <w:tcW w:w="737" w:type="pct"/>
                  <w:vMerge w:val="continue"/>
                  <w:vAlign w:val="center"/>
                </w:tcPr>
                <w:p w14:paraId="40D5F05C">
                  <w:pPr>
                    <w:jc w:val="center"/>
                    <w:rPr>
                      <w:b w:val="0"/>
                      <w:bCs w:val="0"/>
                      <w:color w:val="auto"/>
                    </w:rPr>
                  </w:pPr>
                </w:p>
              </w:tc>
              <w:tc>
                <w:tcPr>
                  <w:tcW w:w="1707" w:type="pct"/>
                  <w:vMerge w:val="continue"/>
                  <w:vAlign w:val="center"/>
                </w:tcPr>
                <w:p w14:paraId="6FF54E6D">
                  <w:pPr>
                    <w:jc w:val="center"/>
                    <w:rPr>
                      <w:b w:val="0"/>
                      <w:bCs w:val="0"/>
                      <w:color w:val="auto"/>
                    </w:rPr>
                  </w:pPr>
                </w:p>
              </w:tc>
              <w:tc>
                <w:tcPr>
                  <w:tcW w:w="992" w:type="pct"/>
                  <w:vAlign w:val="center"/>
                </w:tcPr>
                <w:p w14:paraId="58DA0C71">
                  <w:pPr>
                    <w:jc w:val="center"/>
                    <w:rPr>
                      <w:b w:val="0"/>
                      <w:bCs w:val="0"/>
                      <w:color w:val="auto"/>
                    </w:rPr>
                  </w:pPr>
                  <w:r>
                    <w:rPr>
                      <w:b w:val="0"/>
                      <w:bCs w:val="0"/>
                      <w:color w:val="auto"/>
                    </w:rPr>
                    <w:t>合力</w:t>
                  </w:r>
                </w:p>
              </w:tc>
              <w:tc>
                <w:tcPr>
                  <w:tcW w:w="577" w:type="pct"/>
                  <w:vAlign w:val="center"/>
                </w:tcPr>
                <w:p w14:paraId="5B02CC42">
                  <w:pPr>
                    <w:jc w:val="center"/>
                    <w:rPr>
                      <w:b w:val="0"/>
                      <w:bCs w:val="0"/>
                      <w:color w:val="auto"/>
                    </w:rPr>
                  </w:pPr>
                  <w:r>
                    <w:rPr>
                      <w:b w:val="0"/>
                      <w:bCs w:val="0"/>
                      <w:color w:val="auto"/>
                    </w:rPr>
                    <w:t>1</w:t>
                  </w:r>
                </w:p>
              </w:tc>
            </w:tr>
            <w:tr w14:paraId="7B7C7B9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4967185F">
                  <w:pPr>
                    <w:jc w:val="center"/>
                    <w:rPr>
                      <w:b w:val="0"/>
                      <w:bCs w:val="0"/>
                      <w:color w:val="auto"/>
                    </w:rPr>
                  </w:pPr>
                  <w:r>
                    <w:rPr>
                      <w:rFonts w:hint="eastAsia"/>
                      <w:b w:val="0"/>
                      <w:bCs w:val="0"/>
                      <w:color w:val="auto"/>
                    </w:rPr>
                    <w:t>23</w:t>
                  </w:r>
                </w:p>
              </w:tc>
              <w:tc>
                <w:tcPr>
                  <w:tcW w:w="614" w:type="pct"/>
                  <w:vMerge w:val="continue"/>
                  <w:vAlign w:val="center"/>
                </w:tcPr>
                <w:p w14:paraId="184F26DA">
                  <w:pPr>
                    <w:jc w:val="center"/>
                    <w:rPr>
                      <w:b w:val="0"/>
                      <w:bCs w:val="0"/>
                      <w:color w:val="auto"/>
                    </w:rPr>
                  </w:pPr>
                </w:p>
              </w:tc>
              <w:tc>
                <w:tcPr>
                  <w:tcW w:w="737" w:type="pct"/>
                  <w:vMerge w:val="continue"/>
                  <w:vAlign w:val="center"/>
                </w:tcPr>
                <w:p w14:paraId="2E998DEE">
                  <w:pPr>
                    <w:jc w:val="center"/>
                    <w:rPr>
                      <w:b w:val="0"/>
                      <w:bCs w:val="0"/>
                      <w:color w:val="auto"/>
                    </w:rPr>
                  </w:pPr>
                </w:p>
              </w:tc>
              <w:tc>
                <w:tcPr>
                  <w:tcW w:w="1707" w:type="pct"/>
                  <w:vAlign w:val="center"/>
                </w:tcPr>
                <w:p w14:paraId="7A2F21AC">
                  <w:pPr>
                    <w:jc w:val="center"/>
                    <w:rPr>
                      <w:b w:val="0"/>
                      <w:bCs w:val="0"/>
                      <w:color w:val="auto"/>
                    </w:rPr>
                  </w:pPr>
                  <w:r>
                    <w:rPr>
                      <w:b w:val="0"/>
                      <w:bCs w:val="0"/>
                      <w:color w:val="auto"/>
                    </w:rPr>
                    <w:t>抛丸机</w:t>
                  </w:r>
                </w:p>
              </w:tc>
              <w:tc>
                <w:tcPr>
                  <w:tcW w:w="992" w:type="pct"/>
                  <w:vAlign w:val="center"/>
                </w:tcPr>
                <w:p w14:paraId="514042ED">
                  <w:pPr>
                    <w:jc w:val="center"/>
                    <w:rPr>
                      <w:b w:val="0"/>
                      <w:bCs w:val="0"/>
                      <w:color w:val="auto"/>
                    </w:rPr>
                  </w:pPr>
                  <w:r>
                    <w:rPr>
                      <w:rFonts w:hint="eastAsia"/>
                      <w:b w:val="0"/>
                      <w:bCs w:val="0"/>
                      <w:color w:val="auto"/>
                    </w:rPr>
                    <w:t>/</w:t>
                  </w:r>
                </w:p>
              </w:tc>
              <w:tc>
                <w:tcPr>
                  <w:tcW w:w="577" w:type="pct"/>
                  <w:vAlign w:val="center"/>
                </w:tcPr>
                <w:p w14:paraId="593E8BA1">
                  <w:pPr>
                    <w:jc w:val="center"/>
                    <w:rPr>
                      <w:b w:val="0"/>
                      <w:bCs w:val="0"/>
                      <w:color w:val="auto"/>
                    </w:rPr>
                  </w:pPr>
                  <w:r>
                    <w:rPr>
                      <w:b w:val="0"/>
                      <w:bCs w:val="0"/>
                      <w:color w:val="auto"/>
                    </w:rPr>
                    <w:t>1</w:t>
                  </w:r>
                </w:p>
              </w:tc>
            </w:tr>
            <w:tr w14:paraId="0C6BA69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369" w:type="pct"/>
                  <w:vAlign w:val="center"/>
                </w:tcPr>
                <w:p w14:paraId="599065E5">
                  <w:pPr>
                    <w:jc w:val="center"/>
                    <w:rPr>
                      <w:b w:val="0"/>
                      <w:bCs w:val="0"/>
                      <w:color w:val="auto"/>
                    </w:rPr>
                  </w:pPr>
                  <w:r>
                    <w:rPr>
                      <w:rFonts w:hint="eastAsia"/>
                      <w:b w:val="0"/>
                      <w:bCs w:val="0"/>
                      <w:color w:val="auto"/>
                    </w:rPr>
                    <w:t>24</w:t>
                  </w:r>
                </w:p>
              </w:tc>
              <w:tc>
                <w:tcPr>
                  <w:tcW w:w="614" w:type="pct"/>
                  <w:vMerge w:val="continue"/>
                  <w:vAlign w:val="center"/>
                </w:tcPr>
                <w:p w14:paraId="0709F374">
                  <w:pPr>
                    <w:jc w:val="center"/>
                    <w:rPr>
                      <w:b w:val="0"/>
                      <w:bCs w:val="0"/>
                      <w:color w:val="auto"/>
                    </w:rPr>
                  </w:pPr>
                </w:p>
              </w:tc>
              <w:tc>
                <w:tcPr>
                  <w:tcW w:w="737" w:type="pct"/>
                  <w:vMerge w:val="restart"/>
                  <w:vAlign w:val="center"/>
                </w:tcPr>
                <w:p w14:paraId="02A439F3">
                  <w:pPr>
                    <w:jc w:val="center"/>
                    <w:rPr>
                      <w:b w:val="0"/>
                      <w:bCs w:val="0"/>
                      <w:color w:val="auto"/>
                    </w:rPr>
                  </w:pPr>
                  <w:r>
                    <w:rPr>
                      <w:b w:val="0"/>
                      <w:bCs w:val="0"/>
                      <w:color w:val="auto"/>
                    </w:rPr>
                    <w:t>其他</w:t>
                  </w:r>
                </w:p>
              </w:tc>
              <w:tc>
                <w:tcPr>
                  <w:tcW w:w="1707" w:type="pct"/>
                  <w:vAlign w:val="center"/>
                </w:tcPr>
                <w:p w14:paraId="72C58B73">
                  <w:pPr>
                    <w:jc w:val="center"/>
                    <w:rPr>
                      <w:b w:val="0"/>
                      <w:bCs w:val="0"/>
                      <w:color w:val="auto"/>
                    </w:rPr>
                  </w:pPr>
                  <w:r>
                    <w:rPr>
                      <w:b w:val="0"/>
                      <w:bCs w:val="0"/>
                      <w:color w:val="auto"/>
                    </w:rPr>
                    <w:t>桥式起重机</w:t>
                  </w:r>
                </w:p>
              </w:tc>
              <w:tc>
                <w:tcPr>
                  <w:tcW w:w="992" w:type="pct"/>
                  <w:vAlign w:val="center"/>
                </w:tcPr>
                <w:p w14:paraId="334A29EF">
                  <w:pPr>
                    <w:jc w:val="center"/>
                    <w:rPr>
                      <w:b w:val="0"/>
                      <w:bCs w:val="0"/>
                      <w:color w:val="auto"/>
                    </w:rPr>
                  </w:pPr>
                  <w:r>
                    <w:rPr>
                      <w:b w:val="0"/>
                      <w:bCs w:val="0"/>
                      <w:color w:val="auto"/>
                    </w:rPr>
                    <w:t>10到75吨</w:t>
                  </w:r>
                </w:p>
              </w:tc>
              <w:tc>
                <w:tcPr>
                  <w:tcW w:w="577" w:type="pct"/>
                  <w:vAlign w:val="center"/>
                </w:tcPr>
                <w:p w14:paraId="2AE16CBB">
                  <w:pPr>
                    <w:jc w:val="center"/>
                    <w:rPr>
                      <w:b w:val="0"/>
                      <w:bCs w:val="0"/>
                      <w:color w:val="auto"/>
                    </w:rPr>
                  </w:pPr>
                  <w:r>
                    <w:rPr>
                      <w:b w:val="0"/>
                      <w:bCs w:val="0"/>
                      <w:color w:val="auto"/>
                    </w:rPr>
                    <w:t>3</w:t>
                  </w:r>
                </w:p>
              </w:tc>
            </w:tr>
            <w:tr w14:paraId="17ACD1B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5CECE60B">
                  <w:pPr>
                    <w:jc w:val="center"/>
                    <w:rPr>
                      <w:b w:val="0"/>
                      <w:bCs w:val="0"/>
                      <w:color w:val="auto"/>
                    </w:rPr>
                  </w:pPr>
                  <w:r>
                    <w:rPr>
                      <w:rFonts w:hint="eastAsia"/>
                      <w:b w:val="0"/>
                      <w:bCs w:val="0"/>
                      <w:color w:val="auto"/>
                    </w:rPr>
                    <w:t>25</w:t>
                  </w:r>
                </w:p>
              </w:tc>
              <w:tc>
                <w:tcPr>
                  <w:tcW w:w="614" w:type="pct"/>
                  <w:vMerge w:val="continue"/>
                  <w:vAlign w:val="center"/>
                </w:tcPr>
                <w:p w14:paraId="469A22EF">
                  <w:pPr>
                    <w:jc w:val="center"/>
                    <w:rPr>
                      <w:b w:val="0"/>
                      <w:bCs w:val="0"/>
                      <w:color w:val="auto"/>
                    </w:rPr>
                  </w:pPr>
                </w:p>
              </w:tc>
              <w:tc>
                <w:tcPr>
                  <w:tcW w:w="737" w:type="pct"/>
                  <w:vMerge w:val="continue"/>
                  <w:vAlign w:val="center"/>
                </w:tcPr>
                <w:p w14:paraId="74F28FAF">
                  <w:pPr>
                    <w:jc w:val="center"/>
                    <w:rPr>
                      <w:b w:val="0"/>
                      <w:bCs w:val="0"/>
                      <w:color w:val="auto"/>
                    </w:rPr>
                  </w:pPr>
                </w:p>
              </w:tc>
              <w:tc>
                <w:tcPr>
                  <w:tcW w:w="1707" w:type="pct"/>
                  <w:vAlign w:val="center"/>
                </w:tcPr>
                <w:p w14:paraId="6EC78CF6">
                  <w:pPr>
                    <w:jc w:val="center"/>
                    <w:rPr>
                      <w:b w:val="0"/>
                      <w:bCs w:val="0"/>
                      <w:color w:val="auto"/>
                    </w:rPr>
                  </w:pPr>
                  <w:r>
                    <w:rPr>
                      <w:b w:val="0"/>
                      <w:bCs w:val="0"/>
                      <w:color w:val="auto"/>
                    </w:rPr>
                    <w:t>电动单梁起重机</w:t>
                  </w:r>
                </w:p>
              </w:tc>
              <w:tc>
                <w:tcPr>
                  <w:tcW w:w="992" w:type="pct"/>
                  <w:vAlign w:val="center"/>
                </w:tcPr>
                <w:p w14:paraId="635602C1">
                  <w:pPr>
                    <w:jc w:val="center"/>
                    <w:rPr>
                      <w:b w:val="0"/>
                      <w:bCs w:val="0"/>
                      <w:color w:val="auto"/>
                    </w:rPr>
                  </w:pPr>
                  <w:r>
                    <w:rPr>
                      <w:rFonts w:hint="eastAsia"/>
                      <w:b w:val="0"/>
                      <w:bCs w:val="0"/>
                      <w:color w:val="auto"/>
                    </w:rPr>
                    <w:t>/</w:t>
                  </w:r>
                </w:p>
              </w:tc>
              <w:tc>
                <w:tcPr>
                  <w:tcW w:w="577" w:type="pct"/>
                  <w:vAlign w:val="center"/>
                </w:tcPr>
                <w:p w14:paraId="504B581E">
                  <w:pPr>
                    <w:jc w:val="center"/>
                    <w:rPr>
                      <w:b w:val="0"/>
                      <w:bCs w:val="0"/>
                      <w:color w:val="auto"/>
                    </w:rPr>
                  </w:pPr>
                  <w:r>
                    <w:rPr>
                      <w:b w:val="0"/>
                      <w:bCs w:val="0"/>
                      <w:color w:val="auto"/>
                    </w:rPr>
                    <w:t>2</w:t>
                  </w:r>
                </w:p>
              </w:tc>
            </w:tr>
            <w:tr w14:paraId="7F37FDD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76FBFAE9">
                  <w:pPr>
                    <w:jc w:val="center"/>
                    <w:rPr>
                      <w:b w:val="0"/>
                      <w:bCs w:val="0"/>
                      <w:color w:val="auto"/>
                    </w:rPr>
                  </w:pPr>
                  <w:r>
                    <w:rPr>
                      <w:rFonts w:hint="eastAsia"/>
                      <w:b w:val="0"/>
                      <w:bCs w:val="0"/>
                      <w:color w:val="auto"/>
                    </w:rPr>
                    <w:t>26</w:t>
                  </w:r>
                </w:p>
              </w:tc>
              <w:tc>
                <w:tcPr>
                  <w:tcW w:w="614" w:type="pct"/>
                  <w:vMerge w:val="continue"/>
                  <w:vAlign w:val="center"/>
                </w:tcPr>
                <w:p w14:paraId="261006B2">
                  <w:pPr>
                    <w:jc w:val="center"/>
                    <w:rPr>
                      <w:b w:val="0"/>
                      <w:bCs w:val="0"/>
                      <w:color w:val="auto"/>
                    </w:rPr>
                  </w:pPr>
                </w:p>
              </w:tc>
              <w:tc>
                <w:tcPr>
                  <w:tcW w:w="737" w:type="pct"/>
                  <w:vMerge w:val="continue"/>
                  <w:vAlign w:val="center"/>
                </w:tcPr>
                <w:p w14:paraId="07BE8DC2">
                  <w:pPr>
                    <w:jc w:val="center"/>
                    <w:rPr>
                      <w:b w:val="0"/>
                      <w:bCs w:val="0"/>
                      <w:color w:val="auto"/>
                    </w:rPr>
                  </w:pPr>
                </w:p>
              </w:tc>
              <w:tc>
                <w:tcPr>
                  <w:tcW w:w="1707" w:type="pct"/>
                  <w:vAlign w:val="center"/>
                </w:tcPr>
                <w:p w14:paraId="360D448D">
                  <w:pPr>
                    <w:jc w:val="center"/>
                    <w:rPr>
                      <w:b w:val="0"/>
                      <w:bCs w:val="0"/>
                      <w:color w:val="auto"/>
                    </w:rPr>
                  </w:pPr>
                  <w:r>
                    <w:rPr>
                      <w:b w:val="0"/>
                      <w:bCs w:val="0"/>
                      <w:color w:val="auto"/>
                    </w:rPr>
                    <w:t>悬臂吊</w:t>
                  </w:r>
                </w:p>
              </w:tc>
              <w:tc>
                <w:tcPr>
                  <w:tcW w:w="992" w:type="pct"/>
                  <w:vAlign w:val="center"/>
                </w:tcPr>
                <w:p w14:paraId="7F9AC600">
                  <w:pPr>
                    <w:jc w:val="center"/>
                    <w:rPr>
                      <w:b w:val="0"/>
                      <w:bCs w:val="0"/>
                      <w:color w:val="auto"/>
                    </w:rPr>
                  </w:pPr>
                  <w:r>
                    <w:rPr>
                      <w:rFonts w:hint="eastAsia"/>
                      <w:b w:val="0"/>
                      <w:bCs w:val="0"/>
                      <w:color w:val="auto"/>
                    </w:rPr>
                    <w:t>/</w:t>
                  </w:r>
                </w:p>
              </w:tc>
              <w:tc>
                <w:tcPr>
                  <w:tcW w:w="577" w:type="pct"/>
                  <w:vAlign w:val="center"/>
                </w:tcPr>
                <w:p w14:paraId="06730488">
                  <w:pPr>
                    <w:jc w:val="center"/>
                    <w:rPr>
                      <w:b w:val="0"/>
                      <w:bCs w:val="0"/>
                      <w:color w:val="auto"/>
                    </w:rPr>
                  </w:pPr>
                  <w:r>
                    <w:rPr>
                      <w:b w:val="0"/>
                      <w:bCs w:val="0"/>
                      <w:color w:val="auto"/>
                    </w:rPr>
                    <w:t>4</w:t>
                  </w:r>
                </w:p>
              </w:tc>
            </w:tr>
            <w:tr w14:paraId="0FCA903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4966C0AB">
                  <w:pPr>
                    <w:jc w:val="center"/>
                    <w:rPr>
                      <w:b w:val="0"/>
                      <w:bCs w:val="0"/>
                      <w:color w:val="auto"/>
                    </w:rPr>
                  </w:pPr>
                  <w:r>
                    <w:rPr>
                      <w:b w:val="0"/>
                      <w:bCs w:val="0"/>
                      <w:color w:val="auto"/>
                    </w:rPr>
                    <w:t>1</w:t>
                  </w:r>
                </w:p>
              </w:tc>
              <w:tc>
                <w:tcPr>
                  <w:tcW w:w="614" w:type="pct"/>
                  <w:vMerge w:val="restart"/>
                  <w:vAlign w:val="center"/>
                </w:tcPr>
                <w:p w14:paraId="7367B256">
                  <w:pPr>
                    <w:jc w:val="center"/>
                    <w:rPr>
                      <w:b w:val="0"/>
                      <w:bCs w:val="0"/>
                      <w:color w:val="auto"/>
                    </w:rPr>
                  </w:pPr>
                  <w:r>
                    <w:rPr>
                      <w:b w:val="0"/>
                      <w:bCs w:val="0"/>
                      <w:color w:val="auto"/>
                    </w:rPr>
                    <w:t>重型车间</w:t>
                  </w:r>
                </w:p>
              </w:tc>
              <w:tc>
                <w:tcPr>
                  <w:tcW w:w="737" w:type="pct"/>
                  <w:vMerge w:val="restart"/>
                  <w:vAlign w:val="center"/>
                </w:tcPr>
                <w:p w14:paraId="2DA49F7A">
                  <w:pPr>
                    <w:jc w:val="center"/>
                    <w:rPr>
                      <w:b w:val="0"/>
                      <w:bCs w:val="0"/>
                      <w:color w:val="auto"/>
                    </w:rPr>
                  </w:pPr>
                  <w:r>
                    <w:rPr>
                      <w:b w:val="0"/>
                      <w:bCs w:val="0"/>
                      <w:color w:val="auto"/>
                    </w:rPr>
                    <w:t>机加工</w:t>
                  </w:r>
                </w:p>
              </w:tc>
              <w:tc>
                <w:tcPr>
                  <w:tcW w:w="1707" w:type="pct"/>
                  <w:vAlign w:val="center"/>
                </w:tcPr>
                <w:p w14:paraId="220FABA9">
                  <w:pPr>
                    <w:jc w:val="center"/>
                    <w:rPr>
                      <w:b w:val="0"/>
                      <w:bCs w:val="0"/>
                      <w:color w:val="auto"/>
                    </w:rPr>
                  </w:pPr>
                  <w:r>
                    <w:rPr>
                      <w:b w:val="0"/>
                      <w:bCs w:val="0"/>
                      <w:color w:val="auto"/>
                    </w:rPr>
                    <w:t>布料机</w:t>
                  </w:r>
                </w:p>
              </w:tc>
              <w:tc>
                <w:tcPr>
                  <w:tcW w:w="992" w:type="pct"/>
                  <w:vAlign w:val="center"/>
                </w:tcPr>
                <w:p w14:paraId="026116C7">
                  <w:pPr>
                    <w:jc w:val="center"/>
                    <w:rPr>
                      <w:b w:val="0"/>
                      <w:bCs w:val="0"/>
                      <w:color w:val="auto"/>
                    </w:rPr>
                  </w:pPr>
                  <w:r>
                    <w:rPr>
                      <w:rFonts w:hint="eastAsia"/>
                      <w:b w:val="0"/>
                      <w:bCs w:val="0"/>
                      <w:color w:val="auto"/>
                    </w:rPr>
                    <w:t>/</w:t>
                  </w:r>
                </w:p>
              </w:tc>
              <w:tc>
                <w:tcPr>
                  <w:tcW w:w="577" w:type="pct"/>
                  <w:vAlign w:val="center"/>
                </w:tcPr>
                <w:p w14:paraId="654B9A63">
                  <w:pPr>
                    <w:jc w:val="center"/>
                    <w:rPr>
                      <w:b w:val="0"/>
                      <w:bCs w:val="0"/>
                      <w:color w:val="auto"/>
                    </w:rPr>
                  </w:pPr>
                  <w:r>
                    <w:rPr>
                      <w:b w:val="0"/>
                      <w:bCs w:val="0"/>
                      <w:color w:val="auto"/>
                    </w:rPr>
                    <w:t>1</w:t>
                  </w:r>
                </w:p>
              </w:tc>
            </w:tr>
            <w:tr w14:paraId="5B25E0A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Merge w:val="restart"/>
                  <w:vAlign w:val="center"/>
                </w:tcPr>
                <w:p w14:paraId="55CA5820">
                  <w:pPr>
                    <w:jc w:val="center"/>
                    <w:rPr>
                      <w:b w:val="0"/>
                      <w:bCs w:val="0"/>
                      <w:color w:val="auto"/>
                    </w:rPr>
                  </w:pPr>
                  <w:r>
                    <w:rPr>
                      <w:b w:val="0"/>
                      <w:bCs w:val="0"/>
                      <w:color w:val="auto"/>
                    </w:rPr>
                    <w:t>2</w:t>
                  </w:r>
                </w:p>
              </w:tc>
              <w:tc>
                <w:tcPr>
                  <w:tcW w:w="614" w:type="pct"/>
                  <w:vMerge w:val="continue"/>
                  <w:vAlign w:val="center"/>
                </w:tcPr>
                <w:p w14:paraId="7A3A8606">
                  <w:pPr>
                    <w:jc w:val="center"/>
                    <w:rPr>
                      <w:b w:val="0"/>
                      <w:bCs w:val="0"/>
                      <w:color w:val="auto"/>
                    </w:rPr>
                  </w:pPr>
                </w:p>
              </w:tc>
              <w:tc>
                <w:tcPr>
                  <w:tcW w:w="737" w:type="pct"/>
                  <w:vMerge w:val="continue"/>
                  <w:vAlign w:val="center"/>
                </w:tcPr>
                <w:p w14:paraId="6185D881">
                  <w:pPr>
                    <w:jc w:val="center"/>
                    <w:rPr>
                      <w:b w:val="0"/>
                      <w:bCs w:val="0"/>
                      <w:color w:val="auto"/>
                    </w:rPr>
                  </w:pPr>
                </w:p>
              </w:tc>
              <w:tc>
                <w:tcPr>
                  <w:tcW w:w="1707" w:type="pct"/>
                  <w:vMerge w:val="restart"/>
                  <w:vAlign w:val="center"/>
                </w:tcPr>
                <w:p w14:paraId="27A8BE0E">
                  <w:pPr>
                    <w:jc w:val="center"/>
                    <w:rPr>
                      <w:b w:val="0"/>
                      <w:bCs w:val="0"/>
                      <w:color w:val="auto"/>
                    </w:rPr>
                  </w:pPr>
                  <w:r>
                    <w:rPr>
                      <w:b w:val="0"/>
                      <w:bCs w:val="0"/>
                      <w:color w:val="auto"/>
                    </w:rPr>
                    <w:t>数控车床</w:t>
                  </w:r>
                </w:p>
              </w:tc>
              <w:tc>
                <w:tcPr>
                  <w:tcW w:w="992" w:type="pct"/>
                  <w:vAlign w:val="center"/>
                </w:tcPr>
                <w:p w14:paraId="7349DA5F">
                  <w:pPr>
                    <w:jc w:val="center"/>
                    <w:rPr>
                      <w:b w:val="0"/>
                      <w:bCs w:val="0"/>
                      <w:color w:val="auto"/>
                    </w:rPr>
                  </w:pPr>
                  <w:r>
                    <w:rPr>
                      <w:b w:val="0"/>
                      <w:bCs w:val="0"/>
                      <w:color w:val="auto"/>
                    </w:rPr>
                    <w:t>80型</w:t>
                  </w:r>
                </w:p>
              </w:tc>
              <w:tc>
                <w:tcPr>
                  <w:tcW w:w="577" w:type="pct"/>
                  <w:vAlign w:val="center"/>
                </w:tcPr>
                <w:p w14:paraId="30C268FD">
                  <w:pPr>
                    <w:jc w:val="center"/>
                    <w:rPr>
                      <w:b w:val="0"/>
                      <w:bCs w:val="0"/>
                      <w:color w:val="auto"/>
                    </w:rPr>
                  </w:pPr>
                  <w:r>
                    <w:rPr>
                      <w:b w:val="0"/>
                      <w:bCs w:val="0"/>
                      <w:color w:val="auto"/>
                    </w:rPr>
                    <w:t>1</w:t>
                  </w:r>
                </w:p>
              </w:tc>
            </w:tr>
            <w:tr w14:paraId="13DB4DD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Merge w:val="continue"/>
                  <w:vAlign w:val="center"/>
                </w:tcPr>
                <w:p w14:paraId="511AF494">
                  <w:pPr>
                    <w:jc w:val="center"/>
                    <w:rPr>
                      <w:b w:val="0"/>
                      <w:bCs w:val="0"/>
                      <w:color w:val="auto"/>
                    </w:rPr>
                  </w:pPr>
                </w:p>
              </w:tc>
              <w:tc>
                <w:tcPr>
                  <w:tcW w:w="614" w:type="pct"/>
                  <w:vMerge w:val="continue"/>
                  <w:vAlign w:val="center"/>
                </w:tcPr>
                <w:p w14:paraId="305C48E7">
                  <w:pPr>
                    <w:jc w:val="center"/>
                    <w:rPr>
                      <w:b w:val="0"/>
                      <w:bCs w:val="0"/>
                      <w:color w:val="auto"/>
                    </w:rPr>
                  </w:pPr>
                </w:p>
              </w:tc>
              <w:tc>
                <w:tcPr>
                  <w:tcW w:w="737" w:type="pct"/>
                  <w:vMerge w:val="continue"/>
                  <w:vAlign w:val="center"/>
                </w:tcPr>
                <w:p w14:paraId="03FEC518">
                  <w:pPr>
                    <w:jc w:val="center"/>
                    <w:rPr>
                      <w:b w:val="0"/>
                      <w:bCs w:val="0"/>
                      <w:color w:val="auto"/>
                    </w:rPr>
                  </w:pPr>
                </w:p>
              </w:tc>
              <w:tc>
                <w:tcPr>
                  <w:tcW w:w="1707" w:type="pct"/>
                  <w:vMerge w:val="continue"/>
                  <w:vAlign w:val="center"/>
                </w:tcPr>
                <w:p w14:paraId="72A3DD00">
                  <w:pPr>
                    <w:jc w:val="center"/>
                    <w:rPr>
                      <w:b w:val="0"/>
                      <w:bCs w:val="0"/>
                      <w:color w:val="auto"/>
                    </w:rPr>
                  </w:pPr>
                </w:p>
              </w:tc>
              <w:tc>
                <w:tcPr>
                  <w:tcW w:w="992" w:type="pct"/>
                  <w:vAlign w:val="center"/>
                </w:tcPr>
                <w:p w14:paraId="0312735B">
                  <w:pPr>
                    <w:jc w:val="center"/>
                    <w:rPr>
                      <w:b w:val="0"/>
                      <w:bCs w:val="0"/>
                      <w:color w:val="auto"/>
                    </w:rPr>
                  </w:pPr>
                  <w:r>
                    <w:rPr>
                      <w:b w:val="0"/>
                      <w:bCs w:val="0"/>
                      <w:color w:val="auto"/>
                    </w:rPr>
                    <w:t>50型</w:t>
                  </w:r>
                </w:p>
              </w:tc>
              <w:tc>
                <w:tcPr>
                  <w:tcW w:w="577" w:type="pct"/>
                  <w:vAlign w:val="center"/>
                </w:tcPr>
                <w:p w14:paraId="7D736E35">
                  <w:pPr>
                    <w:jc w:val="center"/>
                    <w:rPr>
                      <w:b w:val="0"/>
                      <w:bCs w:val="0"/>
                      <w:color w:val="auto"/>
                    </w:rPr>
                  </w:pPr>
                  <w:r>
                    <w:rPr>
                      <w:b w:val="0"/>
                      <w:bCs w:val="0"/>
                      <w:color w:val="auto"/>
                    </w:rPr>
                    <w:t>2</w:t>
                  </w:r>
                </w:p>
              </w:tc>
            </w:tr>
            <w:tr w14:paraId="3B15BC5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369" w:type="pct"/>
                  <w:vAlign w:val="center"/>
                </w:tcPr>
                <w:p w14:paraId="2C666C07">
                  <w:pPr>
                    <w:jc w:val="center"/>
                    <w:rPr>
                      <w:b w:val="0"/>
                      <w:bCs w:val="0"/>
                      <w:color w:val="auto"/>
                    </w:rPr>
                  </w:pPr>
                  <w:r>
                    <w:rPr>
                      <w:b w:val="0"/>
                      <w:bCs w:val="0"/>
                      <w:color w:val="auto"/>
                    </w:rPr>
                    <w:t>3</w:t>
                  </w:r>
                </w:p>
              </w:tc>
              <w:tc>
                <w:tcPr>
                  <w:tcW w:w="614" w:type="pct"/>
                  <w:vMerge w:val="continue"/>
                  <w:vAlign w:val="center"/>
                </w:tcPr>
                <w:p w14:paraId="5E33EB0F">
                  <w:pPr>
                    <w:jc w:val="center"/>
                    <w:rPr>
                      <w:b w:val="0"/>
                      <w:bCs w:val="0"/>
                      <w:color w:val="auto"/>
                    </w:rPr>
                  </w:pPr>
                </w:p>
              </w:tc>
              <w:tc>
                <w:tcPr>
                  <w:tcW w:w="737" w:type="pct"/>
                  <w:vMerge w:val="continue"/>
                  <w:vAlign w:val="center"/>
                </w:tcPr>
                <w:p w14:paraId="017A05FE">
                  <w:pPr>
                    <w:jc w:val="center"/>
                    <w:rPr>
                      <w:b w:val="0"/>
                      <w:bCs w:val="0"/>
                      <w:color w:val="auto"/>
                    </w:rPr>
                  </w:pPr>
                </w:p>
              </w:tc>
              <w:tc>
                <w:tcPr>
                  <w:tcW w:w="1707" w:type="pct"/>
                  <w:vAlign w:val="center"/>
                </w:tcPr>
                <w:p w14:paraId="7F6B0651">
                  <w:pPr>
                    <w:jc w:val="center"/>
                    <w:rPr>
                      <w:b w:val="0"/>
                      <w:bCs w:val="0"/>
                      <w:color w:val="auto"/>
                    </w:rPr>
                  </w:pPr>
                  <w:r>
                    <w:rPr>
                      <w:b w:val="0"/>
                      <w:bCs w:val="0"/>
                      <w:color w:val="auto"/>
                    </w:rPr>
                    <w:t>立式加工中心</w:t>
                  </w:r>
                </w:p>
              </w:tc>
              <w:tc>
                <w:tcPr>
                  <w:tcW w:w="992" w:type="pct"/>
                  <w:vAlign w:val="center"/>
                </w:tcPr>
                <w:p w14:paraId="53A543A1">
                  <w:pPr>
                    <w:jc w:val="center"/>
                    <w:rPr>
                      <w:b w:val="0"/>
                      <w:bCs w:val="0"/>
                      <w:color w:val="auto"/>
                    </w:rPr>
                  </w:pPr>
                  <w:r>
                    <w:rPr>
                      <w:b w:val="0"/>
                      <w:bCs w:val="0"/>
                      <w:color w:val="auto"/>
                    </w:rPr>
                    <w:t>VMC1600H</w:t>
                  </w:r>
                </w:p>
              </w:tc>
              <w:tc>
                <w:tcPr>
                  <w:tcW w:w="577" w:type="pct"/>
                  <w:vAlign w:val="center"/>
                </w:tcPr>
                <w:p w14:paraId="279BCB2D">
                  <w:pPr>
                    <w:jc w:val="center"/>
                    <w:rPr>
                      <w:b w:val="0"/>
                      <w:bCs w:val="0"/>
                      <w:color w:val="auto"/>
                    </w:rPr>
                  </w:pPr>
                  <w:r>
                    <w:rPr>
                      <w:b w:val="0"/>
                      <w:bCs w:val="0"/>
                      <w:color w:val="auto"/>
                    </w:rPr>
                    <w:t>1</w:t>
                  </w:r>
                </w:p>
              </w:tc>
            </w:tr>
            <w:tr w14:paraId="62806B5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2340D480">
                  <w:pPr>
                    <w:jc w:val="center"/>
                    <w:rPr>
                      <w:b w:val="0"/>
                      <w:bCs w:val="0"/>
                      <w:color w:val="auto"/>
                    </w:rPr>
                  </w:pPr>
                  <w:r>
                    <w:rPr>
                      <w:b w:val="0"/>
                      <w:bCs w:val="0"/>
                      <w:color w:val="auto"/>
                    </w:rPr>
                    <w:t>4</w:t>
                  </w:r>
                </w:p>
              </w:tc>
              <w:tc>
                <w:tcPr>
                  <w:tcW w:w="614" w:type="pct"/>
                  <w:vMerge w:val="continue"/>
                  <w:vAlign w:val="center"/>
                </w:tcPr>
                <w:p w14:paraId="28417880">
                  <w:pPr>
                    <w:jc w:val="center"/>
                    <w:rPr>
                      <w:b w:val="0"/>
                      <w:bCs w:val="0"/>
                      <w:color w:val="auto"/>
                    </w:rPr>
                  </w:pPr>
                </w:p>
              </w:tc>
              <w:tc>
                <w:tcPr>
                  <w:tcW w:w="737" w:type="pct"/>
                  <w:vMerge w:val="continue"/>
                  <w:vAlign w:val="center"/>
                </w:tcPr>
                <w:p w14:paraId="6349D5C4">
                  <w:pPr>
                    <w:jc w:val="center"/>
                    <w:rPr>
                      <w:b w:val="0"/>
                      <w:bCs w:val="0"/>
                      <w:color w:val="auto"/>
                    </w:rPr>
                  </w:pPr>
                </w:p>
              </w:tc>
              <w:tc>
                <w:tcPr>
                  <w:tcW w:w="1707" w:type="pct"/>
                  <w:vAlign w:val="center"/>
                </w:tcPr>
                <w:p w14:paraId="37A71004">
                  <w:pPr>
                    <w:jc w:val="center"/>
                    <w:rPr>
                      <w:b w:val="0"/>
                      <w:bCs w:val="0"/>
                      <w:color w:val="auto"/>
                    </w:rPr>
                  </w:pPr>
                  <w:r>
                    <w:rPr>
                      <w:b w:val="0"/>
                      <w:bCs w:val="0"/>
                      <w:color w:val="auto"/>
                    </w:rPr>
                    <w:t>加工中心</w:t>
                  </w:r>
                </w:p>
              </w:tc>
              <w:tc>
                <w:tcPr>
                  <w:tcW w:w="992" w:type="pct"/>
                  <w:vAlign w:val="center"/>
                </w:tcPr>
                <w:p w14:paraId="4B013FEB">
                  <w:pPr>
                    <w:jc w:val="center"/>
                    <w:rPr>
                      <w:b w:val="0"/>
                      <w:bCs w:val="0"/>
                      <w:color w:val="auto"/>
                    </w:rPr>
                  </w:pPr>
                  <w:r>
                    <w:rPr>
                      <w:b w:val="0"/>
                      <w:bCs w:val="0"/>
                      <w:color w:val="auto"/>
                    </w:rPr>
                    <w:t>850型</w:t>
                  </w:r>
                </w:p>
              </w:tc>
              <w:tc>
                <w:tcPr>
                  <w:tcW w:w="577" w:type="pct"/>
                  <w:vAlign w:val="center"/>
                </w:tcPr>
                <w:p w14:paraId="75568156">
                  <w:pPr>
                    <w:jc w:val="center"/>
                    <w:rPr>
                      <w:b w:val="0"/>
                      <w:bCs w:val="0"/>
                      <w:color w:val="auto"/>
                    </w:rPr>
                  </w:pPr>
                  <w:r>
                    <w:rPr>
                      <w:b w:val="0"/>
                      <w:bCs w:val="0"/>
                      <w:color w:val="auto"/>
                    </w:rPr>
                    <w:t>1</w:t>
                  </w:r>
                </w:p>
              </w:tc>
            </w:tr>
            <w:tr w14:paraId="1FB4209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3366A698">
                  <w:pPr>
                    <w:jc w:val="center"/>
                    <w:rPr>
                      <w:b w:val="0"/>
                      <w:bCs w:val="0"/>
                      <w:color w:val="auto"/>
                    </w:rPr>
                  </w:pPr>
                  <w:r>
                    <w:rPr>
                      <w:b w:val="0"/>
                      <w:bCs w:val="0"/>
                      <w:color w:val="auto"/>
                    </w:rPr>
                    <w:t>5</w:t>
                  </w:r>
                </w:p>
              </w:tc>
              <w:tc>
                <w:tcPr>
                  <w:tcW w:w="614" w:type="pct"/>
                  <w:vMerge w:val="continue"/>
                  <w:vAlign w:val="center"/>
                </w:tcPr>
                <w:p w14:paraId="54BF12CD">
                  <w:pPr>
                    <w:jc w:val="center"/>
                    <w:rPr>
                      <w:b w:val="0"/>
                      <w:bCs w:val="0"/>
                      <w:color w:val="auto"/>
                    </w:rPr>
                  </w:pPr>
                </w:p>
              </w:tc>
              <w:tc>
                <w:tcPr>
                  <w:tcW w:w="737" w:type="pct"/>
                  <w:vMerge w:val="continue"/>
                  <w:vAlign w:val="center"/>
                </w:tcPr>
                <w:p w14:paraId="0AA7344D">
                  <w:pPr>
                    <w:jc w:val="center"/>
                    <w:rPr>
                      <w:b w:val="0"/>
                      <w:bCs w:val="0"/>
                      <w:color w:val="auto"/>
                    </w:rPr>
                  </w:pPr>
                </w:p>
              </w:tc>
              <w:tc>
                <w:tcPr>
                  <w:tcW w:w="1707" w:type="pct"/>
                  <w:vAlign w:val="center"/>
                </w:tcPr>
                <w:p w14:paraId="7EAA8628">
                  <w:pPr>
                    <w:jc w:val="center"/>
                    <w:rPr>
                      <w:b w:val="0"/>
                      <w:bCs w:val="0"/>
                      <w:color w:val="auto"/>
                    </w:rPr>
                  </w:pPr>
                  <w:r>
                    <w:rPr>
                      <w:b w:val="0"/>
                      <w:bCs w:val="0"/>
                      <w:color w:val="auto"/>
                    </w:rPr>
                    <w:t>磨床</w:t>
                  </w:r>
                </w:p>
              </w:tc>
              <w:tc>
                <w:tcPr>
                  <w:tcW w:w="992" w:type="pct"/>
                  <w:vAlign w:val="center"/>
                </w:tcPr>
                <w:p w14:paraId="3FE3D204">
                  <w:pPr>
                    <w:jc w:val="center"/>
                    <w:rPr>
                      <w:b w:val="0"/>
                      <w:bCs w:val="0"/>
                      <w:color w:val="auto"/>
                    </w:rPr>
                  </w:pPr>
                  <w:r>
                    <w:rPr>
                      <w:rFonts w:hint="eastAsia"/>
                      <w:b w:val="0"/>
                      <w:bCs w:val="0"/>
                      <w:color w:val="auto"/>
                    </w:rPr>
                    <w:t>/</w:t>
                  </w:r>
                </w:p>
              </w:tc>
              <w:tc>
                <w:tcPr>
                  <w:tcW w:w="577" w:type="pct"/>
                  <w:vAlign w:val="center"/>
                </w:tcPr>
                <w:p w14:paraId="0927D8A1">
                  <w:pPr>
                    <w:jc w:val="center"/>
                    <w:rPr>
                      <w:b w:val="0"/>
                      <w:bCs w:val="0"/>
                      <w:color w:val="auto"/>
                    </w:rPr>
                  </w:pPr>
                  <w:r>
                    <w:rPr>
                      <w:b w:val="0"/>
                      <w:bCs w:val="0"/>
                      <w:color w:val="auto"/>
                    </w:rPr>
                    <w:t>1</w:t>
                  </w:r>
                </w:p>
              </w:tc>
            </w:tr>
            <w:tr w14:paraId="7EE6051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369" w:type="pct"/>
                  <w:vAlign w:val="center"/>
                </w:tcPr>
                <w:p w14:paraId="39A63606">
                  <w:pPr>
                    <w:jc w:val="center"/>
                    <w:rPr>
                      <w:b w:val="0"/>
                      <w:bCs w:val="0"/>
                      <w:color w:val="auto"/>
                    </w:rPr>
                  </w:pPr>
                  <w:r>
                    <w:rPr>
                      <w:b w:val="0"/>
                      <w:bCs w:val="0"/>
                      <w:color w:val="auto"/>
                    </w:rPr>
                    <w:t>6</w:t>
                  </w:r>
                </w:p>
              </w:tc>
              <w:tc>
                <w:tcPr>
                  <w:tcW w:w="614" w:type="pct"/>
                  <w:vMerge w:val="continue"/>
                  <w:vAlign w:val="center"/>
                </w:tcPr>
                <w:p w14:paraId="7B13FE1A">
                  <w:pPr>
                    <w:jc w:val="center"/>
                    <w:rPr>
                      <w:b w:val="0"/>
                      <w:bCs w:val="0"/>
                      <w:color w:val="auto"/>
                    </w:rPr>
                  </w:pPr>
                </w:p>
              </w:tc>
              <w:tc>
                <w:tcPr>
                  <w:tcW w:w="737" w:type="pct"/>
                  <w:vMerge w:val="continue"/>
                  <w:vAlign w:val="center"/>
                </w:tcPr>
                <w:p w14:paraId="4486C860">
                  <w:pPr>
                    <w:jc w:val="center"/>
                    <w:rPr>
                      <w:b w:val="0"/>
                      <w:bCs w:val="0"/>
                      <w:color w:val="auto"/>
                    </w:rPr>
                  </w:pPr>
                </w:p>
              </w:tc>
              <w:tc>
                <w:tcPr>
                  <w:tcW w:w="1707" w:type="pct"/>
                  <w:vAlign w:val="center"/>
                </w:tcPr>
                <w:p w14:paraId="2B3F65EA">
                  <w:pPr>
                    <w:jc w:val="center"/>
                    <w:rPr>
                      <w:b w:val="0"/>
                      <w:bCs w:val="0"/>
                      <w:color w:val="auto"/>
                    </w:rPr>
                  </w:pPr>
                  <w:r>
                    <w:rPr>
                      <w:b w:val="0"/>
                      <w:bCs w:val="0"/>
                      <w:color w:val="auto"/>
                    </w:rPr>
                    <w:t>车床</w:t>
                  </w:r>
                </w:p>
              </w:tc>
              <w:tc>
                <w:tcPr>
                  <w:tcW w:w="992" w:type="pct"/>
                  <w:vAlign w:val="center"/>
                </w:tcPr>
                <w:p w14:paraId="655A0954">
                  <w:pPr>
                    <w:jc w:val="center"/>
                    <w:rPr>
                      <w:b w:val="0"/>
                      <w:bCs w:val="0"/>
                      <w:color w:val="auto"/>
                    </w:rPr>
                  </w:pPr>
                  <w:r>
                    <w:rPr>
                      <w:b w:val="0"/>
                      <w:bCs w:val="0"/>
                      <w:color w:val="auto"/>
                    </w:rPr>
                    <w:t>CW6163E/3000</w:t>
                  </w:r>
                </w:p>
              </w:tc>
              <w:tc>
                <w:tcPr>
                  <w:tcW w:w="577" w:type="pct"/>
                  <w:vAlign w:val="center"/>
                </w:tcPr>
                <w:p w14:paraId="7F31CFD2">
                  <w:pPr>
                    <w:jc w:val="center"/>
                    <w:rPr>
                      <w:b w:val="0"/>
                      <w:bCs w:val="0"/>
                      <w:color w:val="auto"/>
                    </w:rPr>
                  </w:pPr>
                  <w:r>
                    <w:rPr>
                      <w:b w:val="0"/>
                      <w:bCs w:val="0"/>
                      <w:color w:val="auto"/>
                    </w:rPr>
                    <w:t>1</w:t>
                  </w:r>
                </w:p>
              </w:tc>
            </w:tr>
            <w:tr w14:paraId="40A1728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369" w:type="pct"/>
                  <w:vAlign w:val="center"/>
                </w:tcPr>
                <w:p w14:paraId="1C728104">
                  <w:pPr>
                    <w:jc w:val="center"/>
                    <w:rPr>
                      <w:b w:val="0"/>
                      <w:bCs w:val="0"/>
                      <w:color w:val="auto"/>
                    </w:rPr>
                  </w:pPr>
                  <w:r>
                    <w:rPr>
                      <w:b w:val="0"/>
                      <w:bCs w:val="0"/>
                      <w:color w:val="auto"/>
                    </w:rPr>
                    <w:t>7</w:t>
                  </w:r>
                </w:p>
              </w:tc>
              <w:tc>
                <w:tcPr>
                  <w:tcW w:w="614" w:type="pct"/>
                  <w:vMerge w:val="continue"/>
                  <w:vAlign w:val="center"/>
                </w:tcPr>
                <w:p w14:paraId="60986C99">
                  <w:pPr>
                    <w:jc w:val="center"/>
                    <w:rPr>
                      <w:b w:val="0"/>
                      <w:bCs w:val="0"/>
                      <w:color w:val="auto"/>
                    </w:rPr>
                  </w:pPr>
                </w:p>
              </w:tc>
              <w:tc>
                <w:tcPr>
                  <w:tcW w:w="737" w:type="pct"/>
                  <w:vMerge w:val="continue"/>
                  <w:vAlign w:val="center"/>
                </w:tcPr>
                <w:p w14:paraId="72460A85">
                  <w:pPr>
                    <w:jc w:val="center"/>
                    <w:rPr>
                      <w:b w:val="0"/>
                      <w:bCs w:val="0"/>
                      <w:color w:val="auto"/>
                    </w:rPr>
                  </w:pPr>
                </w:p>
              </w:tc>
              <w:tc>
                <w:tcPr>
                  <w:tcW w:w="1707" w:type="pct"/>
                  <w:vAlign w:val="center"/>
                </w:tcPr>
                <w:p w14:paraId="2436838A">
                  <w:pPr>
                    <w:jc w:val="center"/>
                    <w:rPr>
                      <w:b w:val="0"/>
                      <w:bCs w:val="0"/>
                      <w:color w:val="auto"/>
                    </w:rPr>
                  </w:pPr>
                  <w:r>
                    <w:rPr>
                      <w:b w:val="0"/>
                      <w:bCs w:val="0"/>
                      <w:color w:val="auto"/>
                    </w:rPr>
                    <w:t>车床</w:t>
                  </w:r>
                </w:p>
              </w:tc>
              <w:tc>
                <w:tcPr>
                  <w:tcW w:w="992" w:type="pct"/>
                  <w:vAlign w:val="center"/>
                </w:tcPr>
                <w:p w14:paraId="41A644BB">
                  <w:pPr>
                    <w:jc w:val="center"/>
                    <w:rPr>
                      <w:b w:val="0"/>
                      <w:bCs w:val="0"/>
                      <w:color w:val="auto"/>
                    </w:rPr>
                  </w:pPr>
                  <w:r>
                    <w:rPr>
                      <w:b w:val="0"/>
                      <w:bCs w:val="0"/>
                      <w:color w:val="auto"/>
                    </w:rPr>
                    <w:t>Ca6140</w:t>
                  </w:r>
                </w:p>
              </w:tc>
              <w:tc>
                <w:tcPr>
                  <w:tcW w:w="577" w:type="pct"/>
                  <w:vAlign w:val="center"/>
                </w:tcPr>
                <w:p w14:paraId="67B13F84">
                  <w:pPr>
                    <w:jc w:val="center"/>
                    <w:rPr>
                      <w:b w:val="0"/>
                      <w:bCs w:val="0"/>
                      <w:color w:val="auto"/>
                    </w:rPr>
                  </w:pPr>
                  <w:r>
                    <w:rPr>
                      <w:b w:val="0"/>
                      <w:bCs w:val="0"/>
                      <w:color w:val="auto"/>
                    </w:rPr>
                    <w:t>1</w:t>
                  </w:r>
                </w:p>
              </w:tc>
            </w:tr>
            <w:tr w14:paraId="2AA8815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369" w:type="pct"/>
                  <w:vAlign w:val="center"/>
                </w:tcPr>
                <w:p w14:paraId="408A7BCA">
                  <w:pPr>
                    <w:jc w:val="center"/>
                    <w:rPr>
                      <w:b w:val="0"/>
                      <w:bCs w:val="0"/>
                      <w:color w:val="auto"/>
                    </w:rPr>
                  </w:pPr>
                  <w:r>
                    <w:rPr>
                      <w:b w:val="0"/>
                      <w:bCs w:val="0"/>
                      <w:color w:val="auto"/>
                    </w:rPr>
                    <w:t>8</w:t>
                  </w:r>
                </w:p>
              </w:tc>
              <w:tc>
                <w:tcPr>
                  <w:tcW w:w="614" w:type="pct"/>
                  <w:vMerge w:val="continue"/>
                  <w:vAlign w:val="center"/>
                </w:tcPr>
                <w:p w14:paraId="76B2B4E1">
                  <w:pPr>
                    <w:jc w:val="center"/>
                    <w:rPr>
                      <w:b w:val="0"/>
                      <w:bCs w:val="0"/>
                      <w:color w:val="auto"/>
                    </w:rPr>
                  </w:pPr>
                </w:p>
              </w:tc>
              <w:tc>
                <w:tcPr>
                  <w:tcW w:w="737" w:type="pct"/>
                  <w:vMerge w:val="continue"/>
                  <w:vAlign w:val="center"/>
                </w:tcPr>
                <w:p w14:paraId="3F627B75">
                  <w:pPr>
                    <w:jc w:val="center"/>
                    <w:rPr>
                      <w:b w:val="0"/>
                      <w:bCs w:val="0"/>
                      <w:color w:val="auto"/>
                    </w:rPr>
                  </w:pPr>
                </w:p>
              </w:tc>
              <w:tc>
                <w:tcPr>
                  <w:tcW w:w="1707" w:type="pct"/>
                  <w:vAlign w:val="center"/>
                </w:tcPr>
                <w:p w14:paraId="41938756">
                  <w:pPr>
                    <w:jc w:val="center"/>
                    <w:rPr>
                      <w:b w:val="0"/>
                      <w:bCs w:val="0"/>
                      <w:color w:val="auto"/>
                    </w:rPr>
                  </w:pPr>
                  <w:r>
                    <w:rPr>
                      <w:b w:val="0"/>
                      <w:bCs w:val="0"/>
                      <w:color w:val="auto"/>
                    </w:rPr>
                    <w:t>攻丝机</w:t>
                  </w:r>
                </w:p>
              </w:tc>
              <w:tc>
                <w:tcPr>
                  <w:tcW w:w="992" w:type="pct"/>
                  <w:vAlign w:val="center"/>
                </w:tcPr>
                <w:p w14:paraId="6B03156A">
                  <w:pPr>
                    <w:jc w:val="center"/>
                    <w:rPr>
                      <w:b w:val="0"/>
                      <w:bCs w:val="0"/>
                      <w:color w:val="auto"/>
                    </w:rPr>
                  </w:pPr>
                  <w:r>
                    <w:rPr>
                      <w:rFonts w:hint="eastAsia"/>
                      <w:b w:val="0"/>
                      <w:bCs w:val="0"/>
                      <w:color w:val="auto"/>
                    </w:rPr>
                    <w:t>/</w:t>
                  </w:r>
                </w:p>
              </w:tc>
              <w:tc>
                <w:tcPr>
                  <w:tcW w:w="577" w:type="pct"/>
                  <w:vAlign w:val="center"/>
                </w:tcPr>
                <w:p w14:paraId="7B6E1CEF">
                  <w:pPr>
                    <w:jc w:val="center"/>
                    <w:rPr>
                      <w:b w:val="0"/>
                      <w:bCs w:val="0"/>
                      <w:color w:val="auto"/>
                    </w:rPr>
                  </w:pPr>
                  <w:r>
                    <w:rPr>
                      <w:b w:val="0"/>
                      <w:bCs w:val="0"/>
                      <w:color w:val="auto"/>
                    </w:rPr>
                    <w:t>1</w:t>
                  </w:r>
                </w:p>
              </w:tc>
            </w:tr>
            <w:tr w14:paraId="172CFCF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369" w:type="pct"/>
                  <w:vAlign w:val="center"/>
                </w:tcPr>
                <w:p w14:paraId="452558B8">
                  <w:pPr>
                    <w:jc w:val="center"/>
                    <w:rPr>
                      <w:b w:val="0"/>
                      <w:bCs w:val="0"/>
                      <w:color w:val="auto"/>
                    </w:rPr>
                  </w:pPr>
                  <w:r>
                    <w:rPr>
                      <w:b w:val="0"/>
                      <w:bCs w:val="0"/>
                      <w:color w:val="auto"/>
                    </w:rPr>
                    <w:t>9</w:t>
                  </w:r>
                </w:p>
              </w:tc>
              <w:tc>
                <w:tcPr>
                  <w:tcW w:w="614" w:type="pct"/>
                  <w:vMerge w:val="continue"/>
                  <w:vAlign w:val="center"/>
                </w:tcPr>
                <w:p w14:paraId="0F0B9B9F">
                  <w:pPr>
                    <w:jc w:val="center"/>
                    <w:rPr>
                      <w:b w:val="0"/>
                      <w:bCs w:val="0"/>
                      <w:color w:val="auto"/>
                    </w:rPr>
                  </w:pPr>
                </w:p>
              </w:tc>
              <w:tc>
                <w:tcPr>
                  <w:tcW w:w="737" w:type="pct"/>
                  <w:vMerge w:val="continue"/>
                  <w:vAlign w:val="center"/>
                </w:tcPr>
                <w:p w14:paraId="517AB841">
                  <w:pPr>
                    <w:jc w:val="center"/>
                    <w:rPr>
                      <w:b w:val="0"/>
                      <w:bCs w:val="0"/>
                      <w:color w:val="auto"/>
                    </w:rPr>
                  </w:pPr>
                </w:p>
              </w:tc>
              <w:tc>
                <w:tcPr>
                  <w:tcW w:w="1707" w:type="pct"/>
                  <w:vAlign w:val="center"/>
                </w:tcPr>
                <w:p w14:paraId="5E0800E2">
                  <w:pPr>
                    <w:jc w:val="center"/>
                    <w:rPr>
                      <w:b w:val="0"/>
                      <w:bCs w:val="0"/>
                      <w:color w:val="auto"/>
                    </w:rPr>
                  </w:pPr>
                  <w:r>
                    <w:rPr>
                      <w:b w:val="0"/>
                      <w:bCs w:val="0"/>
                      <w:color w:val="auto"/>
                    </w:rPr>
                    <w:t>摇臂钻</w:t>
                  </w:r>
                </w:p>
              </w:tc>
              <w:tc>
                <w:tcPr>
                  <w:tcW w:w="992" w:type="pct"/>
                  <w:vAlign w:val="center"/>
                </w:tcPr>
                <w:p w14:paraId="5B1654C5">
                  <w:pPr>
                    <w:jc w:val="center"/>
                    <w:rPr>
                      <w:b w:val="0"/>
                      <w:bCs w:val="0"/>
                      <w:color w:val="auto"/>
                    </w:rPr>
                  </w:pPr>
                  <w:r>
                    <w:rPr>
                      <w:b w:val="0"/>
                      <w:bCs w:val="0"/>
                      <w:color w:val="auto"/>
                    </w:rPr>
                    <w:t>50型</w:t>
                  </w:r>
                </w:p>
              </w:tc>
              <w:tc>
                <w:tcPr>
                  <w:tcW w:w="577" w:type="pct"/>
                  <w:vAlign w:val="center"/>
                </w:tcPr>
                <w:p w14:paraId="3BAFCC9B">
                  <w:pPr>
                    <w:jc w:val="center"/>
                    <w:rPr>
                      <w:b w:val="0"/>
                      <w:bCs w:val="0"/>
                      <w:color w:val="auto"/>
                    </w:rPr>
                  </w:pPr>
                  <w:r>
                    <w:rPr>
                      <w:b w:val="0"/>
                      <w:bCs w:val="0"/>
                      <w:color w:val="auto"/>
                    </w:rPr>
                    <w:t>1</w:t>
                  </w:r>
                </w:p>
              </w:tc>
            </w:tr>
            <w:tr w14:paraId="2160FC8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369" w:type="pct"/>
                  <w:vAlign w:val="center"/>
                </w:tcPr>
                <w:p w14:paraId="30ABE865">
                  <w:pPr>
                    <w:jc w:val="center"/>
                    <w:rPr>
                      <w:b w:val="0"/>
                      <w:bCs w:val="0"/>
                      <w:color w:val="auto"/>
                    </w:rPr>
                  </w:pPr>
                  <w:r>
                    <w:rPr>
                      <w:b w:val="0"/>
                      <w:bCs w:val="0"/>
                      <w:color w:val="auto"/>
                    </w:rPr>
                    <w:t>10</w:t>
                  </w:r>
                </w:p>
              </w:tc>
              <w:tc>
                <w:tcPr>
                  <w:tcW w:w="614" w:type="pct"/>
                  <w:vMerge w:val="continue"/>
                  <w:vAlign w:val="center"/>
                </w:tcPr>
                <w:p w14:paraId="36F36F2E">
                  <w:pPr>
                    <w:jc w:val="center"/>
                    <w:rPr>
                      <w:b w:val="0"/>
                      <w:bCs w:val="0"/>
                      <w:color w:val="auto"/>
                    </w:rPr>
                  </w:pPr>
                </w:p>
              </w:tc>
              <w:tc>
                <w:tcPr>
                  <w:tcW w:w="737" w:type="pct"/>
                  <w:vMerge w:val="continue"/>
                  <w:vAlign w:val="center"/>
                </w:tcPr>
                <w:p w14:paraId="60D7564D">
                  <w:pPr>
                    <w:jc w:val="center"/>
                    <w:rPr>
                      <w:b w:val="0"/>
                      <w:bCs w:val="0"/>
                      <w:color w:val="auto"/>
                    </w:rPr>
                  </w:pPr>
                </w:p>
              </w:tc>
              <w:tc>
                <w:tcPr>
                  <w:tcW w:w="1707" w:type="pct"/>
                  <w:vAlign w:val="center"/>
                </w:tcPr>
                <w:p w14:paraId="17371956">
                  <w:pPr>
                    <w:jc w:val="center"/>
                    <w:rPr>
                      <w:b w:val="0"/>
                      <w:bCs w:val="0"/>
                      <w:color w:val="auto"/>
                    </w:rPr>
                  </w:pPr>
                  <w:r>
                    <w:rPr>
                      <w:b w:val="0"/>
                      <w:bCs w:val="0"/>
                      <w:color w:val="auto"/>
                    </w:rPr>
                    <w:t>数控小铣床</w:t>
                  </w:r>
                </w:p>
              </w:tc>
              <w:tc>
                <w:tcPr>
                  <w:tcW w:w="992" w:type="pct"/>
                  <w:vAlign w:val="center"/>
                </w:tcPr>
                <w:p w14:paraId="67CCB6B6">
                  <w:pPr>
                    <w:jc w:val="center"/>
                    <w:rPr>
                      <w:b w:val="0"/>
                      <w:bCs w:val="0"/>
                      <w:color w:val="auto"/>
                    </w:rPr>
                  </w:pPr>
                  <w:r>
                    <w:rPr>
                      <w:rFonts w:hint="eastAsia"/>
                      <w:b w:val="0"/>
                      <w:bCs w:val="0"/>
                      <w:color w:val="auto"/>
                    </w:rPr>
                    <w:t>/</w:t>
                  </w:r>
                </w:p>
              </w:tc>
              <w:tc>
                <w:tcPr>
                  <w:tcW w:w="577" w:type="pct"/>
                  <w:vAlign w:val="center"/>
                </w:tcPr>
                <w:p w14:paraId="20DF85B9">
                  <w:pPr>
                    <w:jc w:val="center"/>
                    <w:rPr>
                      <w:b w:val="0"/>
                      <w:bCs w:val="0"/>
                      <w:color w:val="auto"/>
                    </w:rPr>
                  </w:pPr>
                  <w:r>
                    <w:rPr>
                      <w:b w:val="0"/>
                      <w:bCs w:val="0"/>
                      <w:color w:val="auto"/>
                    </w:rPr>
                    <w:t>1</w:t>
                  </w:r>
                </w:p>
              </w:tc>
            </w:tr>
            <w:tr w14:paraId="40F8809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729A91F7">
                  <w:pPr>
                    <w:jc w:val="center"/>
                    <w:rPr>
                      <w:b w:val="0"/>
                      <w:bCs w:val="0"/>
                      <w:color w:val="auto"/>
                    </w:rPr>
                  </w:pPr>
                  <w:r>
                    <w:rPr>
                      <w:b w:val="0"/>
                      <w:bCs w:val="0"/>
                      <w:color w:val="auto"/>
                    </w:rPr>
                    <w:t>11</w:t>
                  </w:r>
                </w:p>
              </w:tc>
              <w:tc>
                <w:tcPr>
                  <w:tcW w:w="614" w:type="pct"/>
                  <w:vMerge w:val="continue"/>
                  <w:vAlign w:val="center"/>
                </w:tcPr>
                <w:p w14:paraId="07A6DD77">
                  <w:pPr>
                    <w:jc w:val="center"/>
                    <w:rPr>
                      <w:b w:val="0"/>
                      <w:bCs w:val="0"/>
                      <w:color w:val="auto"/>
                    </w:rPr>
                  </w:pPr>
                </w:p>
              </w:tc>
              <w:tc>
                <w:tcPr>
                  <w:tcW w:w="737" w:type="pct"/>
                  <w:vMerge w:val="continue"/>
                  <w:vAlign w:val="center"/>
                </w:tcPr>
                <w:p w14:paraId="0DCAEF83">
                  <w:pPr>
                    <w:jc w:val="center"/>
                    <w:rPr>
                      <w:b w:val="0"/>
                      <w:bCs w:val="0"/>
                      <w:color w:val="auto"/>
                    </w:rPr>
                  </w:pPr>
                </w:p>
              </w:tc>
              <w:tc>
                <w:tcPr>
                  <w:tcW w:w="1707" w:type="pct"/>
                  <w:vAlign w:val="center"/>
                </w:tcPr>
                <w:p w14:paraId="2A7CDD42">
                  <w:pPr>
                    <w:jc w:val="center"/>
                    <w:rPr>
                      <w:b w:val="0"/>
                      <w:bCs w:val="0"/>
                      <w:color w:val="auto"/>
                    </w:rPr>
                  </w:pPr>
                  <w:r>
                    <w:rPr>
                      <w:b w:val="0"/>
                      <w:bCs w:val="0"/>
                      <w:color w:val="auto"/>
                    </w:rPr>
                    <w:t>摇臂钻</w:t>
                  </w:r>
                </w:p>
              </w:tc>
              <w:tc>
                <w:tcPr>
                  <w:tcW w:w="992" w:type="pct"/>
                  <w:vAlign w:val="center"/>
                </w:tcPr>
                <w:p w14:paraId="3010C2C2">
                  <w:pPr>
                    <w:jc w:val="center"/>
                    <w:rPr>
                      <w:b w:val="0"/>
                      <w:bCs w:val="0"/>
                      <w:color w:val="auto"/>
                    </w:rPr>
                  </w:pPr>
                  <w:r>
                    <w:rPr>
                      <w:b w:val="0"/>
                      <w:bCs w:val="0"/>
                      <w:color w:val="auto"/>
                    </w:rPr>
                    <w:t>80型</w:t>
                  </w:r>
                </w:p>
              </w:tc>
              <w:tc>
                <w:tcPr>
                  <w:tcW w:w="577" w:type="pct"/>
                  <w:vAlign w:val="center"/>
                </w:tcPr>
                <w:p w14:paraId="1D73D331">
                  <w:pPr>
                    <w:jc w:val="center"/>
                    <w:rPr>
                      <w:b w:val="0"/>
                      <w:bCs w:val="0"/>
                      <w:color w:val="auto"/>
                    </w:rPr>
                  </w:pPr>
                  <w:r>
                    <w:rPr>
                      <w:b w:val="0"/>
                      <w:bCs w:val="0"/>
                      <w:color w:val="auto"/>
                    </w:rPr>
                    <w:t>1</w:t>
                  </w:r>
                </w:p>
              </w:tc>
            </w:tr>
            <w:tr w14:paraId="0C11C72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440C405E">
                  <w:pPr>
                    <w:jc w:val="center"/>
                    <w:rPr>
                      <w:b w:val="0"/>
                      <w:bCs w:val="0"/>
                      <w:color w:val="auto"/>
                    </w:rPr>
                  </w:pPr>
                  <w:r>
                    <w:rPr>
                      <w:b w:val="0"/>
                      <w:bCs w:val="0"/>
                      <w:color w:val="auto"/>
                    </w:rPr>
                    <w:t>12</w:t>
                  </w:r>
                </w:p>
              </w:tc>
              <w:tc>
                <w:tcPr>
                  <w:tcW w:w="614" w:type="pct"/>
                  <w:vMerge w:val="continue"/>
                  <w:vAlign w:val="center"/>
                </w:tcPr>
                <w:p w14:paraId="62BB9466">
                  <w:pPr>
                    <w:jc w:val="center"/>
                    <w:rPr>
                      <w:b w:val="0"/>
                      <w:bCs w:val="0"/>
                      <w:color w:val="auto"/>
                    </w:rPr>
                  </w:pPr>
                </w:p>
              </w:tc>
              <w:tc>
                <w:tcPr>
                  <w:tcW w:w="737" w:type="pct"/>
                  <w:vMerge w:val="continue"/>
                  <w:vAlign w:val="center"/>
                </w:tcPr>
                <w:p w14:paraId="5C2F23D4">
                  <w:pPr>
                    <w:jc w:val="center"/>
                    <w:rPr>
                      <w:b w:val="0"/>
                      <w:bCs w:val="0"/>
                      <w:color w:val="auto"/>
                    </w:rPr>
                  </w:pPr>
                </w:p>
              </w:tc>
              <w:tc>
                <w:tcPr>
                  <w:tcW w:w="1707" w:type="pct"/>
                  <w:vAlign w:val="center"/>
                </w:tcPr>
                <w:p w14:paraId="3B1C1136">
                  <w:pPr>
                    <w:jc w:val="center"/>
                    <w:rPr>
                      <w:b w:val="0"/>
                      <w:bCs w:val="0"/>
                      <w:color w:val="auto"/>
                    </w:rPr>
                  </w:pPr>
                  <w:r>
                    <w:rPr>
                      <w:b w:val="0"/>
                      <w:bCs w:val="0"/>
                      <w:color w:val="auto"/>
                    </w:rPr>
                    <w:t>龙门铣</w:t>
                  </w:r>
                </w:p>
              </w:tc>
              <w:tc>
                <w:tcPr>
                  <w:tcW w:w="992" w:type="pct"/>
                  <w:vAlign w:val="center"/>
                </w:tcPr>
                <w:p w14:paraId="0B534328">
                  <w:pPr>
                    <w:jc w:val="center"/>
                    <w:rPr>
                      <w:b w:val="0"/>
                      <w:bCs w:val="0"/>
                      <w:color w:val="auto"/>
                    </w:rPr>
                  </w:pPr>
                  <w:r>
                    <w:rPr>
                      <w:b w:val="0"/>
                      <w:bCs w:val="0"/>
                      <w:color w:val="auto"/>
                    </w:rPr>
                    <w:t>4*12米</w:t>
                  </w:r>
                </w:p>
              </w:tc>
              <w:tc>
                <w:tcPr>
                  <w:tcW w:w="577" w:type="pct"/>
                  <w:vAlign w:val="center"/>
                </w:tcPr>
                <w:p w14:paraId="5F00765F">
                  <w:pPr>
                    <w:jc w:val="center"/>
                    <w:rPr>
                      <w:b w:val="0"/>
                      <w:bCs w:val="0"/>
                      <w:color w:val="auto"/>
                    </w:rPr>
                  </w:pPr>
                  <w:r>
                    <w:rPr>
                      <w:b w:val="0"/>
                      <w:bCs w:val="0"/>
                      <w:color w:val="auto"/>
                    </w:rPr>
                    <w:t>1</w:t>
                  </w:r>
                </w:p>
              </w:tc>
            </w:tr>
            <w:tr w14:paraId="7C1D750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63BEE8DF">
                  <w:pPr>
                    <w:jc w:val="center"/>
                    <w:rPr>
                      <w:b w:val="0"/>
                      <w:bCs w:val="0"/>
                      <w:color w:val="auto"/>
                    </w:rPr>
                  </w:pPr>
                  <w:r>
                    <w:rPr>
                      <w:b w:val="0"/>
                      <w:bCs w:val="0"/>
                      <w:color w:val="auto"/>
                    </w:rPr>
                    <w:t>13</w:t>
                  </w:r>
                </w:p>
              </w:tc>
              <w:tc>
                <w:tcPr>
                  <w:tcW w:w="614" w:type="pct"/>
                  <w:vMerge w:val="continue"/>
                  <w:vAlign w:val="center"/>
                </w:tcPr>
                <w:p w14:paraId="72B325CB">
                  <w:pPr>
                    <w:jc w:val="center"/>
                    <w:rPr>
                      <w:b w:val="0"/>
                      <w:bCs w:val="0"/>
                      <w:color w:val="auto"/>
                    </w:rPr>
                  </w:pPr>
                </w:p>
              </w:tc>
              <w:tc>
                <w:tcPr>
                  <w:tcW w:w="737" w:type="pct"/>
                  <w:vMerge w:val="continue"/>
                  <w:vAlign w:val="center"/>
                </w:tcPr>
                <w:p w14:paraId="3D0309D8">
                  <w:pPr>
                    <w:jc w:val="center"/>
                    <w:rPr>
                      <w:b w:val="0"/>
                      <w:bCs w:val="0"/>
                      <w:color w:val="auto"/>
                    </w:rPr>
                  </w:pPr>
                </w:p>
              </w:tc>
              <w:tc>
                <w:tcPr>
                  <w:tcW w:w="1707" w:type="pct"/>
                  <w:vAlign w:val="center"/>
                </w:tcPr>
                <w:p w14:paraId="72AC0DE6">
                  <w:pPr>
                    <w:jc w:val="center"/>
                    <w:rPr>
                      <w:b w:val="0"/>
                      <w:bCs w:val="0"/>
                      <w:color w:val="auto"/>
                    </w:rPr>
                  </w:pPr>
                  <w:r>
                    <w:rPr>
                      <w:b w:val="0"/>
                      <w:bCs w:val="0"/>
                      <w:color w:val="auto"/>
                    </w:rPr>
                    <w:t>镗铣床</w:t>
                  </w:r>
                </w:p>
              </w:tc>
              <w:tc>
                <w:tcPr>
                  <w:tcW w:w="992" w:type="pct"/>
                  <w:vAlign w:val="center"/>
                </w:tcPr>
                <w:p w14:paraId="1BE96E3A">
                  <w:pPr>
                    <w:jc w:val="center"/>
                    <w:rPr>
                      <w:b w:val="0"/>
                      <w:bCs w:val="0"/>
                      <w:color w:val="auto"/>
                    </w:rPr>
                  </w:pPr>
                  <w:r>
                    <w:rPr>
                      <w:b w:val="0"/>
                      <w:bCs w:val="0"/>
                      <w:color w:val="auto"/>
                    </w:rPr>
                    <w:t>T130</w:t>
                  </w:r>
                </w:p>
              </w:tc>
              <w:tc>
                <w:tcPr>
                  <w:tcW w:w="577" w:type="pct"/>
                  <w:vAlign w:val="center"/>
                </w:tcPr>
                <w:p w14:paraId="033A453F">
                  <w:pPr>
                    <w:jc w:val="center"/>
                    <w:rPr>
                      <w:b w:val="0"/>
                      <w:bCs w:val="0"/>
                      <w:color w:val="auto"/>
                    </w:rPr>
                  </w:pPr>
                  <w:r>
                    <w:rPr>
                      <w:b w:val="0"/>
                      <w:bCs w:val="0"/>
                      <w:color w:val="auto"/>
                    </w:rPr>
                    <w:t>1</w:t>
                  </w:r>
                </w:p>
              </w:tc>
            </w:tr>
            <w:tr w14:paraId="1D4DBCE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67FF3153">
                  <w:pPr>
                    <w:jc w:val="center"/>
                    <w:rPr>
                      <w:b w:val="0"/>
                      <w:bCs w:val="0"/>
                      <w:color w:val="auto"/>
                    </w:rPr>
                  </w:pPr>
                  <w:r>
                    <w:rPr>
                      <w:b w:val="0"/>
                      <w:bCs w:val="0"/>
                      <w:color w:val="auto"/>
                    </w:rPr>
                    <w:t>14</w:t>
                  </w:r>
                </w:p>
              </w:tc>
              <w:tc>
                <w:tcPr>
                  <w:tcW w:w="614" w:type="pct"/>
                  <w:vMerge w:val="continue"/>
                  <w:vAlign w:val="center"/>
                </w:tcPr>
                <w:p w14:paraId="3F8FC7E8">
                  <w:pPr>
                    <w:jc w:val="center"/>
                    <w:rPr>
                      <w:b w:val="0"/>
                      <w:bCs w:val="0"/>
                      <w:color w:val="auto"/>
                    </w:rPr>
                  </w:pPr>
                </w:p>
              </w:tc>
              <w:tc>
                <w:tcPr>
                  <w:tcW w:w="737" w:type="pct"/>
                  <w:vMerge w:val="continue"/>
                  <w:vAlign w:val="center"/>
                </w:tcPr>
                <w:p w14:paraId="4A15F3EF">
                  <w:pPr>
                    <w:jc w:val="center"/>
                    <w:rPr>
                      <w:b w:val="0"/>
                      <w:bCs w:val="0"/>
                      <w:color w:val="auto"/>
                    </w:rPr>
                  </w:pPr>
                </w:p>
              </w:tc>
              <w:tc>
                <w:tcPr>
                  <w:tcW w:w="1707" w:type="pct"/>
                  <w:vAlign w:val="center"/>
                </w:tcPr>
                <w:p w14:paraId="68124E5C">
                  <w:pPr>
                    <w:jc w:val="center"/>
                    <w:rPr>
                      <w:b w:val="0"/>
                      <w:bCs w:val="0"/>
                      <w:color w:val="auto"/>
                    </w:rPr>
                  </w:pPr>
                  <w:r>
                    <w:rPr>
                      <w:b w:val="0"/>
                      <w:bCs w:val="0"/>
                      <w:color w:val="auto"/>
                    </w:rPr>
                    <w:t>数显龙门铣</w:t>
                  </w:r>
                </w:p>
              </w:tc>
              <w:tc>
                <w:tcPr>
                  <w:tcW w:w="992" w:type="pct"/>
                  <w:vAlign w:val="center"/>
                </w:tcPr>
                <w:p w14:paraId="717071F5">
                  <w:pPr>
                    <w:jc w:val="center"/>
                    <w:rPr>
                      <w:b w:val="0"/>
                      <w:bCs w:val="0"/>
                      <w:color w:val="auto"/>
                    </w:rPr>
                  </w:pPr>
                  <w:r>
                    <w:rPr>
                      <w:b w:val="0"/>
                      <w:bCs w:val="0"/>
                      <w:color w:val="auto"/>
                    </w:rPr>
                    <w:t>1.5*5米</w:t>
                  </w:r>
                </w:p>
              </w:tc>
              <w:tc>
                <w:tcPr>
                  <w:tcW w:w="577" w:type="pct"/>
                  <w:vAlign w:val="center"/>
                </w:tcPr>
                <w:p w14:paraId="419ABACB">
                  <w:pPr>
                    <w:jc w:val="center"/>
                    <w:rPr>
                      <w:b w:val="0"/>
                      <w:bCs w:val="0"/>
                      <w:color w:val="auto"/>
                    </w:rPr>
                  </w:pPr>
                  <w:r>
                    <w:rPr>
                      <w:b w:val="0"/>
                      <w:bCs w:val="0"/>
                      <w:color w:val="auto"/>
                    </w:rPr>
                    <w:t>1</w:t>
                  </w:r>
                </w:p>
              </w:tc>
            </w:tr>
            <w:tr w14:paraId="51165D8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3439B029">
                  <w:pPr>
                    <w:jc w:val="center"/>
                    <w:rPr>
                      <w:b w:val="0"/>
                      <w:bCs w:val="0"/>
                      <w:color w:val="auto"/>
                    </w:rPr>
                  </w:pPr>
                  <w:r>
                    <w:rPr>
                      <w:b w:val="0"/>
                      <w:bCs w:val="0"/>
                      <w:color w:val="auto"/>
                    </w:rPr>
                    <w:t>15</w:t>
                  </w:r>
                </w:p>
              </w:tc>
              <w:tc>
                <w:tcPr>
                  <w:tcW w:w="614" w:type="pct"/>
                  <w:vMerge w:val="continue"/>
                  <w:vAlign w:val="center"/>
                </w:tcPr>
                <w:p w14:paraId="1A6AE884">
                  <w:pPr>
                    <w:jc w:val="center"/>
                    <w:rPr>
                      <w:b w:val="0"/>
                      <w:bCs w:val="0"/>
                      <w:color w:val="auto"/>
                    </w:rPr>
                  </w:pPr>
                </w:p>
              </w:tc>
              <w:tc>
                <w:tcPr>
                  <w:tcW w:w="737" w:type="pct"/>
                  <w:vMerge w:val="continue"/>
                  <w:vAlign w:val="center"/>
                </w:tcPr>
                <w:p w14:paraId="77B2DD97">
                  <w:pPr>
                    <w:jc w:val="center"/>
                    <w:rPr>
                      <w:b w:val="0"/>
                      <w:bCs w:val="0"/>
                      <w:color w:val="auto"/>
                    </w:rPr>
                  </w:pPr>
                </w:p>
              </w:tc>
              <w:tc>
                <w:tcPr>
                  <w:tcW w:w="1707" w:type="pct"/>
                  <w:vAlign w:val="center"/>
                </w:tcPr>
                <w:p w14:paraId="5DF4E573">
                  <w:pPr>
                    <w:jc w:val="center"/>
                    <w:rPr>
                      <w:b w:val="0"/>
                      <w:bCs w:val="0"/>
                      <w:color w:val="auto"/>
                    </w:rPr>
                  </w:pPr>
                  <w:r>
                    <w:rPr>
                      <w:b w:val="0"/>
                      <w:bCs w:val="0"/>
                      <w:color w:val="auto"/>
                    </w:rPr>
                    <w:t>立车</w:t>
                  </w:r>
                </w:p>
              </w:tc>
              <w:tc>
                <w:tcPr>
                  <w:tcW w:w="992" w:type="pct"/>
                  <w:vAlign w:val="center"/>
                </w:tcPr>
                <w:p w14:paraId="7C3EBF69">
                  <w:pPr>
                    <w:jc w:val="center"/>
                    <w:rPr>
                      <w:b w:val="0"/>
                      <w:bCs w:val="0"/>
                      <w:color w:val="auto"/>
                    </w:rPr>
                  </w:pPr>
                  <w:r>
                    <w:rPr>
                      <w:b w:val="0"/>
                      <w:bCs w:val="0"/>
                      <w:color w:val="auto"/>
                    </w:rPr>
                    <w:t>305米</w:t>
                  </w:r>
                </w:p>
              </w:tc>
              <w:tc>
                <w:tcPr>
                  <w:tcW w:w="577" w:type="pct"/>
                  <w:vAlign w:val="center"/>
                </w:tcPr>
                <w:p w14:paraId="5C4318CD">
                  <w:pPr>
                    <w:jc w:val="center"/>
                    <w:rPr>
                      <w:b w:val="0"/>
                      <w:bCs w:val="0"/>
                      <w:color w:val="auto"/>
                    </w:rPr>
                  </w:pPr>
                  <w:r>
                    <w:rPr>
                      <w:b w:val="0"/>
                      <w:bCs w:val="0"/>
                      <w:color w:val="auto"/>
                    </w:rPr>
                    <w:t>1</w:t>
                  </w:r>
                </w:p>
              </w:tc>
            </w:tr>
            <w:tr w14:paraId="2D235E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2000922A">
                  <w:pPr>
                    <w:jc w:val="center"/>
                    <w:rPr>
                      <w:b w:val="0"/>
                      <w:bCs w:val="0"/>
                      <w:color w:val="auto"/>
                    </w:rPr>
                  </w:pPr>
                  <w:r>
                    <w:rPr>
                      <w:b w:val="0"/>
                      <w:bCs w:val="0"/>
                      <w:color w:val="auto"/>
                    </w:rPr>
                    <w:t>16</w:t>
                  </w:r>
                </w:p>
              </w:tc>
              <w:tc>
                <w:tcPr>
                  <w:tcW w:w="614" w:type="pct"/>
                  <w:vMerge w:val="continue"/>
                  <w:vAlign w:val="center"/>
                </w:tcPr>
                <w:p w14:paraId="7AFA8DED">
                  <w:pPr>
                    <w:jc w:val="center"/>
                    <w:rPr>
                      <w:b w:val="0"/>
                      <w:bCs w:val="0"/>
                      <w:color w:val="auto"/>
                    </w:rPr>
                  </w:pPr>
                </w:p>
              </w:tc>
              <w:tc>
                <w:tcPr>
                  <w:tcW w:w="737" w:type="pct"/>
                  <w:vMerge w:val="continue"/>
                  <w:vAlign w:val="center"/>
                </w:tcPr>
                <w:p w14:paraId="35B5F09E">
                  <w:pPr>
                    <w:jc w:val="center"/>
                    <w:rPr>
                      <w:b w:val="0"/>
                      <w:bCs w:val="0"/>
                      <w:color w:val="auto"/>
                    </w:rPr>
                  </w:pPr>
                </w:p>
              </w:tc>
              <w:tc>
                <w:tcPr>
                  <w:tcW w:w="1707" w:type="pct"/>
                  <w:vAlign w:val="center"/>
                </w:tcPr>
                <w:p w14:paraId="70CDF0FA">
                  <w:pPr>
                    <w:jc w:val="center"/>
                    <w:rPr>
                      <w:b w:val="0"/>
                      <w:bCs w:val="0"/>
                      <w:color w:val="auto"/>
                    </w:rPr>
                  </w:pPr>
                  <w:r>
                    <w:rPr>
                      <w:b w:val="0"/>
                      <w:bCs w:val="0"/>
                      <w:color w:val="auto"/>
                    </w:rPr>
                    <w:t>通过式抛丸机</w:t>
                  </w:r>
                </w:p>
              </w:tc>
              <w:tc>
                <w:tcPr>
                  <w:tcW w:w="992" w:type="pct"/>
                  <w:vAlign w:val="center"/>
                </w:tcPr>
                <w:p w14:paraId="178E16A8">
                  <w:pPr>
                    <w:jc w:val="center"/>
                    <w:rPr>
                      <w:b w:val="0"/>
                      <w:bCs w:val="0"/>
                      <w:color w:val="auto"/>
                    </w:rPr>
                  </w:pPr>
                  <w:r>
                    <w:rPr>
                      <w:rFonts w:hint="eastAsia"/>
                      <w:b w:val="0"/>
                      <w:bCs w:val="0"/>
                      <w:color w:val="auto"/>
                    </w:rPr>
                    <w:t>DTH2025-12</w:t>
                  </w:r>
                </w:p>
                <w:p w14:paraId="5C918140">
                  <w:pPr>
                    <w:jc w:val="center"/>
                    <w:rPr>
                      <w:b w:val="0"/>
                      <w:bCs w:val="0"/>
                      <w:color w:val="auto"/>
                    </w:rPr>
                  </w:pPr>
                  <w:r>
                    <w:rPr>
                      <w:rFonts w:hint="eastAsia"/>
                      <w:b w:val="0"/>
                      <w:bCs w:val="0"/>
                      <w:color w:val="auto"/>
                    </w:rPr>
                    <w:t>（附带1套二级滤筒除尘器）</w:t>
                  </w:r>
                </w:p>
              </w:tc>
              <w:tc>
                <w:tcPr>
                  <w:tcW w:w="577" w:type="pct"/>
                  <w:vAlign w:val="center"/>
                </w:tcPr>
                <w:p w14:paraId="55534EF7">
                  <w:pPr>
                    <w:jc w:val="center"/>
                    <w:rPr>
                      <w:b w:val="0"/>
                      <w:bCs w:val="0"/>
                      <w:color w:val="auto"/>
                    </w:rPr>
                  </w:pPr>
                  <w:r>
                    <w:rPr>
                      <w:rFonts w:hint="eastAsia"/>
                      <w:b w:val="0"/>
                      <w:bCs w:val="0"/>
                      <w:color w:val="auto"/>
                    </w:rPr>
                    <w:t>1</w:t>
                  </w:r>
                </w:p>
              </w:tc>
            </w:tr>
            <w:tr w14:paraId="0A5D7C2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285B0615">
                  <w:pPr>
                    <w:jc w:val="center"/>
                    <w:rPr>
                      <w:b w:val="0"/>
                      <w:bCs w:val="0"/>
                      <w:color w:val="auto"/>
                    </w:rPr>
                  </w:pPr>
                  <w:r>
                    <w:rPr>
                      <w:b w:val="0"/>
                      <w:bCs w:val="0"/>
                      <w:color w:val="auto"/>
                    </w:rPr>
                    <w:t>17</w:t>
                  </w:r>
                </w:p>
              </w:tc>
              <w:tc>
                <w:tcPr>
                  <w:tcW w:w="614" w:type="pct"/>
                  <w:vMerge w:val="continue"/>
                  <w:vAlign w:val="center"/>
                </w:tcPr>
                <w:p w14:paraId="0058AC02">
                  <w:pPr>
                    <w:jc w:val="center"/>
                    <w:rPr>
                      <w:b w:val="0"/>
                      <w:bCs w:val="0"/>
                      <w:color w:val="auto"/>
                    </w:rPr>
                  </w:pPr>
                </w:p>
              </w:tc>
              <w:tc>
                <w:tcPr>
                  <w:tcW w:w="737" w:type="pct"/>
                  <w:vAlign w:val="center"/>
                </w:tcPr>
                <w:p w14:paraId="1E47AE8F">
                  <w:pPr>
                    <w:jc w:val="center"/>
                    <w:rPr>
                      <w:b w:val="0"/>
                      <w:bCs w:val="0"/>
                      <w:color w:val="auto"/>
                    </w:rPr>
                  </w:pPr>
                  <w:r>
                    <w:rPr>
                      <w:b w:val="0"/>
                      <w:bCs w:val="0"/>
                      <w:color w:val="auto"/>
                    </w:rPr>
                    <w:t>缠绕</w:t>
                  </w:r>
                </w:p>
              </w:tc>
              <w:tc>
                <w:tcPr>
                  <w:tcW w:w="1707" w:type="pct"/>
                  <w:vAlign w:val="center"/>
                </w:tcPr>
                <w:p w14:paraId="521AF77E">
                  <w:pPr>
                    <w:jc w:val="center"/>
                    <w:rPr>
                      <w:b w:val="0"/>
                      <w:bCs w:val="0"/>
                      <w:color w:val="auto"/>
                    </w:rPr>
                  </w:pPr>
                  <w:r>
                    <w:rPr>
                      <w:b w:val="0"/>
                      <w:bCs w:val="0"/>
                      <w:color w:val="auto"/>
                    </w:rPr>
                    <w:t>缠绕设备</w:t>
                  </w:r>
                </w:p>
              </w:tc>
              <w:tc>
                <w:tcPr>
                  <w:tcW w:w="992" w:type="pct"/>
                  <w:vAlign w:val="center"/>
                </w:tcPr>
                <w:p w14:paraId="16D00F03">
                  <w:pPr>
                    <w:jc w:val="center"/>
                    <w:rPr>
                      <w:b w:val="0"/>
                      <w:bCs w:val="0"/>
                      <w:color w:val="auto"/>
                    </w:rPr>
                  </w:pPr>
                  <w:r>
                    <w:rPr>
                      <w:rFonts w:hint="eastAsia"/>
                      <w:b w:val="0"/>
                      <w:bCs w:val="0"/>
                      <w:color w:val="auto"/>
                    </w:rPr>
                    <w:t>/</w:t>
                  </w:r>
                </w:p>
              </w:tc>
              <w:tc>
                <w:tcPr>
                  <w:tcW w:w="577" w:type="pct"/>
                  <w:vAlign w:val="center"/>
                </w:tcPr>
                <w:p w14:paraId="2E7B85F4">
                  <w:pPr>
                    <w:jc w:val="center"/>
                    <w:rPr>
                      <w:b w:val="0"/>
                      <w:bCs w:val="0"/>
                      <w:color w:val="auto"/>
                    </w:rPr>
                  </w:pPr>
                  <w:r>
                    <w:rPr>
                      <w:b w:val="0"/>
                      <w:bCs w:val="0"/>
                      <w:color w:val="auto"/>
                    </w:rPr>
                    <w:t>3（套）</w:t>
                  </w:r>
                </w:p>
              </w:tc>
            </w:tr>
            <w:tr w14:paraId="122B6E5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369" w:type="pct"/>
                  <w:vMerge w:val="restart"/>
                  <w:vAlign w:val="center"/>
                </w:tcPr>
                <w:p w14:paraId="1044BB77">
                  <w:pPr>
                    <w:jc w:val="center"/>
                    <w:rPr>
                      <w:b w:val="0"/>
                      <w:bCs w:val="0"/>
                      <w:color w:val="auto"/>
                    </w:rPr>
                  </w:pPr>
                  <w:r>
                    <w:rPr>
                      <w:b w:val="0"/>
                      <w:bCs w:val="0"/>
                      <w:color w:val="auto"/>
                    </w:rPr>
                    <w:t>18</w:t>
                  </w:r>
                </w:p>
              </w:tc>
              <w:tc>
                <w:tcPr>
                  <w:tcW w:w="614" w:type="pct"/>
                  <w:vMerge w:val="continue"/>
                  <w:vAlign w:val="center"/>
                </w:tcPr>
                <w:p w14:paraId="6C41829C">
                  <w:pPr>
                    <w:jc w:val="center"/>
                    <w:rPr>
                      <w:b w:val="0"/>
                      <w:bCs w:val="0"/>
                      <w:color w:val="auto"/>
                    </w:rPr>
                  </w:pPr>
                </w:p>
              </w:tc>
              <w:tc>
                <w:tcPr>
                  <w:tcW w:w="737" w:type="pct"/>
                  <w:vMerge w:val="restart"/>
                  <w:vAlign w:val="center"/>
                </w:tcPr>
                <w:p w14:paraId="301A832F">
                  <w:pPr>
                    <w:jc w:val="center"/>
                    <w:rPr>
                      <w:b w:val="0"/>
                      <w:bCs w:val="0"/>
                      <w:color w:val="auto"/>
                    </w:rPr>
                  </w:pPr>
                  <w:r>
                    <w:rPr>
                      <w:b w:val="0"/>
                      <w:bCs w:val="0"/>
                      <w:color w:val="auto"/>
                    </w:rPr>
                    <w:t>静电喷涂</w:t>
                  </w:r>
                </w:p>
              </w:tc>
              <w:tc>
                <w:tcPr>
                  <w:tcW w:w="1707" w:type="pct"/>
                  <w:vAlign w:val="center"/>
                </w:tcPr>
                <w:p w14:paraId="79CDCDCB">
                  <w:pPr>
                    <w:jc w:val="center"/>
                    <w:rPr>
                      <w:b w:val="0"/>
                      <w:bCs w:val="0"/>
                      <w:color w:val="auto"/>
                    </w:rPr>
                  </w:pPr>
                  <w:r>
                    <w:rPr>
                      <w:b w:val="0"/>
                      <w:bCs w:val="0"/>
                      <w:color w:val="auto"/>
                    </w:rPr>
                    <w:t>静电喷涂设备</w:t>
                  </w:r>
                  <w:r>
                    <w:rPr>
                      <w:rFonts w:hint="eastAsia"/>
                      <w:b w:val="0"/>
                      <w:bCs w:val="0"/>
                      <w:color w:val="auto"/>
                    </w:rPr>
                    <w:t>（喷粉室）</w:t>
                  </w:r>
                </w:p>
              </w:tc>
              <w:tc>
                <w:tcPr>
                  <w:tcW w:w="992" w:type="pct"/>
                  <w:vAlign w:val="center"/>
                </w:tcPr>
                <w:p w14:paraId="2A849AA8">
                  <w:pPr>
                    <w:jc w:val="center"/>
                    <w:rPr>
                      <w:b w:val="0"/>
                      <w:bCs w:val="0"/>
                      <w:color w:val="auto"/>
                    </w:rPr>
                  </w:pPr>
                  <w:r>
                    <w:rPr>
                      <w:rFonts w:hint="eastAsia"/>
                      <w:b w:val="0"/>
                      <w:bCs w:val="0"/>
                      <w:color w:val="auto"/>
                    </w:rPr>
                    <w:t>11m*6.2m*5m</w:t>
                  </w:r>
                </w:p>
              </w:tc>
              <w:tc>
                <w:tcPr>
                  <w:tcW w:w="577" w:type="pct"/>
                  <w:vAlign w:val="center"/>
                </w:tcPr>
                <w:p w14:paraId="758D2BB7">
                  <w:pPr>
                    <w:jc w:val="center"/>
                    <w:rPr>
                      <w:b w:val="0"/>
                      <w:bCs w:val="0"/>
                      <w:color w:val="auto"/>
                    </w:rPr>
                  </w:pPr>
                  <w:r>
                    <w:rPr>
                      <w:b w:val="0"/>
                      <w:bCs w:val="0"/>
                      <w:color w:val="auto"/>
                    </w:rPr>
                    <w:t>1（套）</w:t>
                  </w:r>
                </w:p>
              </w:tc>
            </w:tr>
            <w:tr w14:paraId="0988A10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369" w:type="pct"/>
                  <w:vMerge w:val="continue"/>
                  <w:vAlign w:val="center"/>
                </w:tcPr>
                <w:p w14:paraId="37E45E20">
                  <w:pPr>
                    <w:jc w:val="center"/>
                    <w:rPr>
                      <w:b w:val="0"/>
                      <w:bCs w:val="0"/>
                      <w:color w:val="auto"/>
                    </w:rPr>
                  </w:pPr>
                </w:p>
              </w:tc>
              <w:tc>
                <w:tcPr>
                  <w:tcW w:w="614" w:type="pct"/>
                  <w:vMerge w:val="continue"/>
                  <w:vAlign w:val="center"/>
                </w:tcPr>
                <w:p w14:paraId="61E579D7">
                  <w:pPr>
                    <w:jc w:val="center"/>
                    <w:rPr>
                      <w:b w:val="0"/>
                      <w:bCs w:val="0"/>
                      <w:color w:val="auto"/>
                    </w:rPr>
                  </w:pPr>
                </w:p>
              </w:tc>
              <w:tc>
                <w:tcPr>
                  <w:tcW w:w="737" w:type="pct"/>
                  <w:vMerge w:val="continue"/>
                  <w:vAlign w:val="center"/>
                </w:tcPr>
                <w:p w14:paraId="223264F4">
                  <w:pPr>
                    <w:jc w:val="center"/>
                    <w:rPr>
                      <w:b w:val="0"/>
                      <w:bCs w:val="0"/>
                      <w:color w:val="auto"/>
                    </w:rPr>
                  </w:pPr>
                </w:p>
              </w:tc>
              <w:tc>
                <w:tcPr>
                  <w:tcW w:w="1707" w:type="pct"/>
                  <w:vAlign w:val="center"/>
                </w:tcPr>
                <w:p w14:paraId="69E5A10D">
                  <w:pPr>
                    <w:jc w:val="center"/>
                    <w:rPr>
                      <w:b w:val="0"/>
                      <w:bCs w:val="0"/>
                      <w:color w:val="auto"/>
                    </w:rPr>
                  </w:pPr>
                  <w:r>
                    <w:rPr>
                      <w:rFonts w:hint="eastAsia"/>
                      <w:b w:val="0"/>
                      <w:bCs w:val="0"/>
                      <w:color w:val="auto"/>
                    </w:rPr>
                    <w:t>固化室</w:t>
                  </w:r>
                </w:p>
              </w:tc>
              <w:tc>
                <w:tcPr>
                  <w:tcW w:w="992" w:type="pct"/>
                  <w:vAlign w:val="center"/>
                </w:tcPr>
                <w:p w14:paraId="6E9B4762">
                  <w:pPr>
                    <w:jc w:val="center"/>
                    <w:rPr>
                      <w:b w:val="0"/>
                      <w:bCs w:val="0"/>
                      <w:color w:val="auto"/>
                    </w:rPr>
                  </w:pPr>
                  <w:r>
                    <w:rPr>
                      <w:rFonts w:hint="eastAsia"/>
                      <w:b w:val="0"/>
                      <w:bCs w:val="0"/>
                      <w:color w:val="auto"/>
                    </w:rPr>
                    <w:t>10m*5m*4m</w:t>
                  </w:r>
                </w:p>
              </w:tc>
              <w:tc>
                <w:tcPr>
                  <w:tcW w:w="577" w:type="pct"/>
                  <w:vAlign w:val="center"/>
                </w:tcPr>
                <w:p w14:paraId="3BEF8660">
                  <w:pPr>
                    <w:jc w:val="center"/>
                    <w:rPr>
                      <w:b w:val="0"/>
                      <w:bCs w:val="0"/>
                      <w:color w:val="auto"/>
                    </w:rPr>
                  </w:pPr>
                  <w:r>
                    <w:rPr>
                      <w:b w:val="0"/>
                      <w:bCs w:val="0"/>
                      <w:color w:val="auto"/>
                    </w:rPr>
                    <w:t>1（套）</w:t>
                  </w:r>
                </w:p>
              </w:tc>
            </w:tr>
            <w:tr w14:paraId="64A2430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006AE389">
                  <w:pPr>
                    <w:jc w:val="center"/>
                    <w:rPr>
                      <w:b w:val="0"/>
                      <w:bCs w:val="0"/>
                      <w:color w:val="auto"/>
                    </w:rPr>
                  </w:pPr>
                  <w:r>
                    <w:rPr>
                      <w:rFonts w:hint="eastAsia"/>
                      <w:b w:val="0"/>
                      <w:bCs w:val="0"/>
                      <w:color w:val="auto"/>
                    </w:rPr>
                    <w:t>19</w:t>
                  </w:r>
                </w:p>
              </w:tc>
              <w:tc>
                <w:tcPr>
                  <w:tcW w:w="614" w:type="pct"/>
                  <w:vMerge w:val="continue"/>
                  <w:vAlign w:val="center"/>
                </w:tcPr>
                <w:p w14:paraId="4B491599">
                  <w:pPr>
                    <w:jc w:val="center"/>
                    <w:rPr>
                      <w:b w:val="0"/>
                      <w:bCs w:val="0"/>
                      <w:color w:val="auto"/>
                    </w:rPr>
                  </w:pPr>
                </w:p>
              </w:tc>
              <w:tc>
                <w:tcPr>
                  <w:tcW w:w="737" w:type="pct"/>
                  <w:vMerge w:val="restart"/>
                  <w:vAlign w:val="center"/>
                </w:tcPr>
                <w:p w14:paraId="4F9493E9">
                  <w:pPr>
                    <w:jc w:val="center"/>
                    <w:rPr>
                      <w:b w:val="0"/>
                      <w:bCs w:val="0"/>
                      <w:color w:val="auto"/>
                    </w:rPr>
                  </w:pPr>
                  <w:r>
                    <w:rPr>
                      <w:b w:val="0"/>
                      <w:bCs w:val="0"/>
                      <w:color w:val="auto"/>
                    </w:rPr>
                    <w:t>铆焊区</w:t>
                  </w:r>
                </w:p>
              </w:tc>
              <w:tc>
                <w:tcPr>
                  <w:tcW w:w="1707" w:type="pct"/>
                  <w:vAlign w:val="center"/>
                </w:tcPr>
                <w:p w14:paraId="438F61D1">
                  <w:pPr>
                    <w:jc w:val="center"/>
                    <w:rPr>
                      <w:b w:val="0"/>
                      <w:bCs w:val="0"/>
                      <w:color w:val="auto"/>
                    </w:rPr>
                  </w:pPr>
                  <w:r>
                    <w:rPr>
                      <w:b w:val="0"/>
                      <w:bCs w:val="0"/>
                      <w:color w:val="auto"/>
                    </w:rPr>
                    <w:t>新型材料切割机</w:t>
                  </w:r>
                </w:p>
              </w:tc>
              <w:tc>
                <w:tcPr>
                  <w:tcW w:w="992" w:type="pct"/>
                  <w:vAlign w:val="center"/>
                </w:tcPr>
                <w:p w14:paraId="733EC23F">
                  <w:pPr>
                    <w:jc w:val="center"/>
                    <w:rPr>
                      <w:b w:val="0"/>
                      <w:bCs w:val="0"/>
                      <w:color w:val="auto"/>
                    </w:rPr>
                  </w:pPr>
                  <w:r>
                    <w:rPr>
                      <w:b w:val="0"/>
                      <w:bCs w:val="0"/>
                      <w:color w:val="auto"/>
                    </w:rPr>
                    <w:t>5*20</w:t>
                  </w:r>
                </w:p>
              </w:tc>
              <w:tc>
                <w:tcPr>
                  <w:tcW w:w="577" w:type="pct"/>
                  <w:vAlign w:val="center"/>
                </w:tcPr>
                <w:p w14:paraId="476469C9">
                  <w:pPr>
                    <w:jc w:val="center"/>
                    <w:rPr>
                      <w:b w:val="0"/>
                      <w:bCs w:val="0"/>
                      <w:color w:val="auto"/>
                    </w:rPr>
                  </w:pPr>
                  <w:r>
                    <w:rPr>
                      <w:b w:val="0"/>
                      <w:bCs w:val="0"/>
                      <w:color w:val="auto"/>
                    </w:rPr>
                    <w:t>1</w:t>
                  </w:r>
                </w:p>
              </w:tc>
            </w:tr>
            <w:tr w14:paraId="55DA2DF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369" w:type="pct"/>
                  <w:vAlign w:val="center"/>
                </w:tcPr>
                <w:p w14:paraId="5CDB6199">
                  <w:pPr>
                    <w:jc w:val="center"/>
                    <w:rPr>
                      <w:b w:val="0"/>
                      <w:bCs w:val="0"/>
                      <w:color w:val="auto"/>
                    </w:rPr>
                  </w:pPr>
                  <w:r>
                    <w:rPr>
                      <w:b w:val="0"/>
                      <w:bCs w:val="0"/>
                      <w:color w:val="auto"/>
                    </w:rPr>
                    <w:t>20</w:t>
                  </w:r>
                </w:p>
              </w:tc>
              <w:tc>
                <w:tcPr>
                  <w:tcW w:w="614" w:type="pct"/>
                  <w:vMerge w:val="continue"/>
                  <w:vAlign w:val="center"/>
                </w:tcPr>
                <w:p w14:paraId="627AFAF8">
                  <w:pPr>
                    <w:jc w:val="center"/>
                    <w:rPr>
                      <w:b w:val="0"/>
                      <w:bCs w:val="0"/>
                      <w:color w:val="auto"/>
                    </w:rPr>
                  </w:pPr>
                </w:p>
              </w:tc>
              <w:tc>
                <w:tcPr>
                  <w:tcW w:w="737" w:type="pct"/>
                  <w:vMerge w:val="continue"/>
                  <w:vAlign w:val="center"/>
                </w:tcPr>
                <w:p w14:paraId="21F8C87D">
                  <w:pPr>
                    <w:jc w:val="center"/>
                    <w:rPr>
                      <w:b w:val="0"/>
                      <w:bCs w:val="0"/>
                      <w:color w:val="auto"/>
                    </w:rPr>
                  </w:pPr>
                </w:p>
              </w:tc>
              <w:tc>
                <w:tcPr>
                  <w:tcW w:w="1707" w:type="pct"/>
                  <w:vAlign w:val="center"/>
                </w:tcPr>
                <w:p w14:paraId="33B346EE">
                  <w:pPr>
                    <w:jc w:val="center"/>
                    <w:rPr>
                      <w:b w:val="0"/>
                      <w:bCs w:val="0"/>
                      <w:color w:val="auto"/>
                    </w:rPr>
                  </w:pPr>
                  <w:r>
                    <w:rPr>
                      <w:b w:val="0"/>
                      <w:bCs w:val="0"/>
                      <w:color w:val="auto"/>
                    </w:rPr>
                    <w:t>激光切割机</w:t>
                  </w:r>
                </w:p>
              </w:tc>
              <w:tc>
                <w:tcPr>
                  <w:tcW w:w="992" w:type="pct"/>
                  <w:vAlign w:val="center"/>
                </w:tcPr>
                <w:p w14:paraId="4DB357A1">
                  <w:pPr>
                    <w:jc w:val="center"/>
                    <w:rPr>
                      <w:b w:val="0"/>
                      <w:bCs w:val="0"/>
                      <w:color w:val="auto"/>
                    </w:rPr>
                  </w:pPr>
                  <w:r>
                    <w:rPr>
                      <w:b w:val="0"/>
                      <w:bCs w:val="0"/>
                      <w:color w:val="auto"/>
                    </w:rPr>
                    <w:t>5*20</w:t>
                  </w:r>
                </w:p>
              </w:tc>
              <w:tc>
                <w:tcPr>
                  <w:tcW w:w="577" w:type="pct"/>
                  <w:vAlign w:val="center"/>
                </w:tcPr>
                <w:p w14:paraId="39837C01">
                  <w:pPr>
                    <w:jc w:val="center"/>
                    <w:rPr>
                      <w:b w:val="0"/>
                      <w:bCs w:val="0"/>
                      <w:color w:val="auto"/>
                    </w:rPr>
                  </w:pPr>
                  <w:r>
                    <w:rPr>
                      <w:b w:val="0"/>
                      <w:bCs w:val="0"/>
                      <w:color w:val="auto"/>
                    </w:rPr>
                    <w:t>1</w:t>
                  </w:r>
                </w:p>
              </w:tc>
            </w:tr>
            <w:tr w14:paraId="7D51A2D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2351A872">
                  <w:pPr>
                    <w:jc w:val="center"/>
                    <w:rPr>
                      <w:b w:val="0"/>
                      <w:bCs w:val="0"/>
                      <w:color w:val="auto"/>
                    </w:rPr>
                  </w:pPr>
                  <w:r>
                    <w:rPr>
                      <w:b w:val="0"/>
                      <w:bCs w:val="0"/>
                      <w:color w:val="auto"/>
                    </w:rPr>
                    <w:t>21</w:t>
                  </w:r>
                </w:p>
              </w:tc>
              <w:tc>
                <w:tcPr>
                  <w:tcW w:w="614" w:type="pct"/>
                  <w:vMerge w:val="continue"/>
                  <w:vAlign w:val="center"/>
                </w:tcPr>
                <w:p w14:paraId="4F17F058">
                  <w:pPr>
                    <w:jc w:val="center"/>
                    <w:rPr>
                      <w:b w:val="0"/>
                      <w:bCs w:val="0"/>
                      <w:color w:val="auto"/>
                    </w:rPr>
                  </w:pPr>
                </w:p>
              </w:tc>
              <w:tc>
                <w:tcPr>
                  <w:tcW w:w="737" w:type="pct"/>
                  <w:vMerge w:val="continue"/>
                  <w:vAlign w:val="center"/>
                </w:tcPr>
                <w:p w14:paraId="54C8A519">
                  <w:pPr>
                    <w:jc w:val="center"/>
                    <w:rPr>
                      <w:b w:val="0"/>
                      <w:bCs w:val="0"/>
                      <w:color w:val="auto"/>
                    </w:rPr>
                  </w:pPr>
                </w:p>
              </w:tc>
              <w:tc>
                <w:tcPr>
                  <w:tcW w:w="1707" w:type="pct"/>
                  <w:vAlign w:val="center"/>
                </w:tcPr>
                <w:p w14:paraId="7BB2A1FB">
                  <w:pPr>
                    <w:jc w:val="center"/>
                    <w:rPr>
                      <w:b w:val="0"/>
                      <w:bCs w:val="0"/>
                      <w:color w:val="auto"/>
                    </w:rPr>
                  </w:pPr>
                  <w:r>
                    <w:rPr>
                      <w:b w:val="0"/>
                      <w:bCs w:val="0"/>
                      <w:color w:val="auto"/>
                    </w:rPr>
                    <w:t>数控折弯机</w:t>
                  </w:r>
                </w:p>
              </w:tc>
              <w:tc>
                <w:tcPr>
                  <w:tcW w:w="992" w:type="pct"/>
                  <w:vAlign w:val="center"/>
                </w:tcPr>
                <w:p w14:paraId="7B68D1A0">
                  <w:pPr>
                    <w:jc w:val="center"/>
                    <w:rPr>
                      <w:b w:val="0"/>
                      <w:bCs w:val="0"/>
                      <w:color w:val="auto"/>
                    </w:rPr>
                  </w:pPr>
                  <w:r>
                    <w:rPr>
                      <w:rFonts w:hint="eastAsia"/>
                      <w:b w:val="0"/>
                      <w:bCs w:val="0"/>
                      <w:color w:val="auto"/>
                    </w:rPr>
                    <w:t>/</w:t>
                  </w:r>
                </w:p>
              </w:tc>
              <w:tc>
                <w:tcPr>
                  <w:tcW w:w="577" w:type="pct"/>
                  <w:vAlign w:val="center"/>
                </w:tcPr>
                <w:p w14:paraId="5661CE23">
                  <w:pPr>
                    <w:jc w:val="center"/>
                    <w:rPr>
                      <w:b w:val="0"/>
                      <w:bCs w:val="0"/>
                      <w:color w:val="auto"/>
                    </w:rPr>
                  </w:pPr>
                  <w:r>
                    <w:rPr>
                      <w:b w:val="0"/>
                      <w:bCs w:val="0"/>
                      <w:color w:val="auto"/>
                    </w:rPr>
                    <w:t>1</w:t>
                  </w:r>
                </w:p>
              </w:tc>
            </w:tr>
            <w:tr w14:paraId="0488BD7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5EFE6394">
                  <w:pPr>
                    <w:jc w:val="center"/>
                    <w:rPr>
                      <w:b w:val="0"/>
                      <w:bCs w:val="0"/>
                      <w:color w:val="auto"/>
                    </w:rPr>
                  </w:pPr>
                  <w:r>
                    <w:rPr>
                      <w:b w:val="0"/>
                      <w:bCs w:val="0"/>
                      <w:color w:val="auto"/>
                    </w:rPr>
                    <w:t>22</w:t>
                  </w:r>
                </w:p>
              </w:tc>
              <w:tc>
                <w:tcPr>
                  <w:tcW w:w="614" w:type="pct"/>
                  <w:vMerge w:val="continue"/>
                  <w:vAlign w:val="center"/>
                </w:tcPr>
                <w:p w14:paraId="23BA85CA">
                  <w:pPr>
                    <w:jc w:val="center"/>
                    <w:rPr>
                      <w:b w:val="0"/>
                      <w:bCs w:val="0"/>
                      <w:color w:val="auto"/>
                    </w:rPr>
                  </w:pPr>
                </w:p>
              </w:tc>
              <w:tc>
                <w:tcPr>
                  <w:tcW w:w="737" w:type="pct"/>
                  <w:vMerge w:val="continue"/>
                  <w:vAlign w:val="center"/>
                </w:tcPr>
                <w:p w14:paraId="327B10EB">
                  <w:pPr>
                    <w:jc w:val="center"/>
                    <w:rPr>
                      <w:b w:val="0"/>
                      <w:bCs w:val="0"/>
                      <w:color w:val="auto"/>
                    </w:rPr>
                  </w:pPr>
                </w:p>
              </w:tc>
              <w:tc>
                <w:tcPr>
                  <w:tcW w:w="1707" w:type="pct"/>
                  <w:vAlign w:val="center"/>
                </w:tcPr>
                <w:p w14:paraId="3EA847C4">
                  <w:pPr>
                    <w:jc w:val="center"/>
                    <w:rPr>
                      <w:b w:val="0"/>
                      <w:bCs w:val="0"/>
                      <w:color w:val="auto"/>
                    </w:rPr>
                  </w:pPr>
                  <w:r>
                    <w:rPr>
                      <w:b w:val="0"/>
                      <w:bCs w:val="0"/>
                      <w:color w:val="auto"/>
                    </w:rPr>
                    <w:t>管道焊接机器人</w:t>
                  </w:r>
                </w:p>
              </w:tc>
              <w:tc>
                <w:tcPr>
                  <w:tcW w:w="992" w:type="pct"/>
                  <w:vAlign w:val="center"/>
                </w:tcPr>
                <w:p w14:paraId="6105BE75">
                  <w:pPr>
                    <w:jc w:val="center"/>
                    <w:rPr>
                      <w:b w:val="0"/>
                      <w:bCs w:val="0"/>
                      <w:color w:val="auto"/>
                    </w:rPr>
                  </w:pPr>
                  <w:r>
                    <w:rPr>
                      <w:rFonts w:hint="eastAsia"/>
                      <w:b w:val="0"/>
                      <w:bCs w:val="0"/>
                      <w:color w:val="auto"/>
                    </w:rPr>
                    <w:t>/</w:t>
                  </w:r>
                </w:p>
              </w:tc>
              <w:tc>
                <w:tcPr>
                  <w:tcW w:w="577" w:type="pct"/>
                  <w:vAlign w:val="center"/>
                </w:tcPr>
                <w:p w14:paraId="6915D5B9">
                  <w:pPr>
                    <w:jc w:val="center"/>
                    <w:rPr>
                      <w:b w:val="0"/>
                      <w:bCs w:val="0"/>
                      <w:color w:val="auto"/>
                    </w:rPr>
                  </w:pPr>
                  <w:r>
                    <w:rPr>
                      <w:b w:val="0"/>
                      <w:bCs w:val="0"/>
                      <w:color w:val="auto"/>
                    </w:rPr>
                    <w:t>1</w:t>
                  </w:r>
                </w:p>
              </w:tc>
            </w:tr>
            <w:tr w14:paraId="723408D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1DC2696A">
                  <w:pPr>
                    <w:jc w:val="center"/>
                    <w:rPr>
                      <w:b w:val="0"/>
                      <w:bCs w:val="0"/>
                      <w:color w:val="auto"/>
                    </w:rPr>
                  </w:pPr>
                  <w:r>
                    <w:rPr>
                      <w:b w:val="0"/>
                      <w:bCs w:val="0"/>
                      <w:color w:val="auto"/>
                    </w:rPr>
                    <w:t>23</w:t>
                  </w:r>
                </w:p>
              </w:tc>
              <w:tc>
                <w:tcPr>
                  <w:tcW w:w="614" w:type="pct"/>
                  <w:vMerge w:val="continue"/>
                  <w:vAlign w:val="center"/>
                </w:tcPr>
                <w:p w14:paraId="14F05AB4">
                  <w:pPr>
                    <w:jc w:val="center"/>
                    <w:rPr>
                      <w:b w:val="0"/>
                      <w:bCs w:val="0"/>
                      <w:color w:val="auto"/>
                    </w:rPr>
                  </w:pPr>
                </w:p>
              </w:tc>
              <w:tc>
                <w:tcPr>
                  <w:tcW w:w="737" w:type="pct"/>
                  <w:vMerge w:val="continue"/>
                  <w:vAlign w:val="center"/>
                </w:tcPr>
                <w:p w14:paraId="3CD0B4DC">
                  <w:pPr>
                    <w:jc w:val="center"/>
                    <w:rPr>
                      <w:b w:val="0"/>
                      <w:bCs w:val="0"/>
                      <w:color w:val="auto"/>
                    </w:rPr>
                  </w:pPr>
                </w:p>
              </w:tc>
              <w:tc>
                <w:tcPr>
                  <w:tcW w:w="1707" w:type="pct"/>
                  <w:vAlign w:val="center"/>
                </w:tcPr>
                <w:p w14:paraId="44DB2765">
                  <w:pPr>
                    <w:jc w:val="center"/>
                    <w:rPr>
                      <w:b w:val="0"/>
                      <w:bCs w:val="0"/>
                      <w:color w:val="auto"/>
                    </w:rPr>
                  </w:pPr>
                  <w:r>
                    <w:rPr>
                      <w:b w:val="0"/>
                      <w:bCs w:val="0"/>
                      <w:color w:val="auto"/>
                    </w:rPr>
                    <w:t>莱斯厚板焊接机器人</w:t>
                  </w:r>
                </w:p>
              </w:tc>
              <w:tc>
                <w:tcPr>
                  <w:tcW w:w="992" w:type="pct"/>
                  <w:vAlign w:val="center"/>
                </w:tcPr>
                <w:p w14:paraId="6DDA9384">
                  <w:pPr>
                    <w:jc w:val="center"/>
                    <w:rPr>
                      <w:b w:val="0"/>
                      <w:bCs w:val="0"/>
                      <w:color w:val="auto"/>
                    </w:rPr>
                  </w:pPr>
                  <w:r>
                    <w:rPr>
                      <w:rFonts w:hint="eastAsia"/>
                      <w:b w:val="0"/>
                      <w:bCs w:val="0"/>
                      <w:color w:val="auto"/>
                    </w:rPr>
                    <w:t>/</w:t>
                  </w:r>
                </w:p>
              </w:tc>
              <w:tc>
                <w:tcPr>
                  <w:tcW w:w="577" w:type="pct"/>
                  <w:vAlign w:val="center"/>
                </w:tcPr>
                <w:p w14:paraId="69863F77">
                  <w:pPr>
                    <w:jc w:val="center"/>
                    <w:rPr>
                      <w:b w:val="0"/>
                      <w:bCs w:val="0"/>
                      <w:color w:val="auto"/>
                    </w:rPr>
                  </w:pPr>
                  <w:r>
                    <w:rPr>
                      <w:b w:val="0"/>
                      <w:bCs w:val="0"/>
                      <w:color w:val="auto"/>
                    </w:rPr>
                    <w:t>1</w:t>
                  </w:r>
                </w:p>
              </w:tc>
            </w:tr>
            <w:tr w14:paraId="6A0272C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1E0D3737">
                  <w:pPr>
                    <w:jc w:val="center"/>
                    <w:rPr>
                      <w:b w:val="0"/>
                      <w:bCs w:val="0"/>
                      <w:color w:val="auto"/>
                    </w:rPr>
                  </w:pPr>
                  <w:r>
                    <w:rPr>
                      <w:b w:val="0"/>
                      <w:bCs w:val="0"/>
                      <w:color w:val="auto"/>
                    </w:rPr>
                    <w:t>24</w:t>
                  </w:r>
                </w:p>
              </w:tc>
              <w:tc>
                <w:tcPr>
                  <w:tcW w:w="614" w:type="pct"/>
                  <w:vMerge w:val="continue"/>
                  <w:vAlign w:val="center"/>
                </w:tcPr>
                <w:p w14:paraId="1063568C">
                  <w:pPr>
                    <w:jc w:val="center"/>
                    <w:rPr>
                      <w:b w:val="0"/>
                      <w:bCs w:val="0"/>
                      <w:color w:val="auto"/>
                    </w:rPr>
                  </w:pPr>
                </w:p>
              </w:tc>
              <w:tc>
                <w:tcPr>
                  <w:tcW w:w="737" w:type="pct"/>
                  <w:vMerge w:val="continue"/>
                  <w:vAlign w:val="center"/>
                </w:tcPr>
                <w:p w14:paraId="5B18B901">
                  <w:pPr>
                    <w:jc w:val="center"/>
                    <w:rPr>
                      <w:b w:val="0"/>
                      <w:bCs w:val="0"/>
                      <w:color w:val="auto"/>
                    </w:rPr>
                  </w:pPr>
                </w:p>
              </w:tc>
              <w:tc>
                <w:tcPr>
                  <w:tcW w:w="1707" w:type="pct"/>
                  <w:vAlign w:val="center"/>
                </w:tcPr>
                <w:p w14:paraId="0CB899B4">
                  <w:pPr>
                    <w:jc w:val="center"/>
                    <w:rPr>
                      <w:b w:val="0"/>
                      <w:bCs w:val="0"/>
                      <w:color w:val="auto"/>
                    </w:rPr>
                  </w:pPr>
                  <w:r>
                    <w:rPr>
                      <w:b w:val="0"/>
                      <w:bCs w:val="0"/>
                      <w:color w:val="auto"/>
                    </w:rPr>
                    <w:t>窄缝焊接机</w:t>
                  </w:r>
                </w:p>
              </w:tc>
              <w:tc>
                <w:tcPr>
                  <w:tcW w:w="992" w:type="pct"/>
                  <w:vAlign w:val="center"/>
                </w:tcPr>
                <w:p w14:paraId="3130C795">
                  <w:pPr>
                    <w:jc w:val="center"/>
                    <w:rPr>
                      <w:b w:val="0"/>
                      <w:bCs w:val="0"/>
                      <w:color w:val="auto"/>
                    </w:rPr>
                  </w:pPr>
                  <w:r>
                    <w:rPr>
                      <w:rFonts w:hint="eastAsia"/>
                      <w:b w:val="0"/>
                      <w:bCs w:val="0"/>
                      <w:color w:val="auto"/>
                    </w:rPr>
                    <w:t>/</w:t>
                  </w:r>
                </w:p>
              </w:tc>
              <w:tc>
                <w:tcPr>
                  <w:tcW w:w="577" w:type="pct"/>
                  <w:vAlign w:val="center"/>
                </w:tcPr>
                <w:p w14:paraId="4F70985D">
                  <w:pPr>
                    <w:jc w:val="center"/>
                    <w:rPr>
                      <w:b w:val="0"/>
                      <w:bCs w:val="0"/>
                      <w:color w:val="auto"/>
                    </w:rPr>
                  </w:pPr>
                  <w:r>
                    <w:rPr>
                      <w:b w:val="0"/>
                      <w:bCs w:val="0"/>
                      <w:color w:val="auto"/>
                    </w:rPr>
                    <w:t>1</w:t>
                  </w:r>
                </w:p>
              </w:tc>
            </w:tr>
            <w:tr w14:paraId="51C81E9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6F91E329">
                  <w:pPr>
                    <w:jc w:val="center"/>
                    <w:rPr>
                      <w:b w:val="0"/>
                      <w:bCs w:val="0"/>
                      <w:color w:val="auto"/>
                    </w:rPr>
                  </w:pPr>
                  <w:r>
                    <w:rPr>
                      <w:b w:val="0"/>
                      <w:bCs w:val="0"/>
                      <w:color w:val="auto"/>
                    </w:rPr>
                    <w:t>25</w:t>
                  </w:r>
                </w:p>
              </w:tc>
              <w:tc>
                <w:tcPr>
                  <w:tcW w:w="614" w:type="pct"/>
                  <w:vMerge w:val="continue"/>
                  <w:vAlign w:val="center"/>
                </w:tcPr>
                <w:p w14:paraId="7B3AFD2F">
                  <w:pPr>
                    <w:jc w:val="center"/>
                    <w:rPr>
                      <w:b w:val="0"/>
                      <w:bCs w:val="0"/>
                      <w:color w:val="auto"/>
                    </w:rPr>
                  </w:pPr>
                </w:p>
              </w:tc>
              <w:tc>
                <w:tcPr>
                  <w:tcW w:w="737" w:type="pct"/>
                  <w:vMerge w:val="continue"/>
                  <w:vAlign w:val="center"/>
                </w:tcPr>
                <w:p w14:paraId="311F3968">
                  <w:pPr>
                    <w:jc w:val="center"/>
                    <w:rPr>
                      <w:b w:val="0"/>
                      <w:bCs w:val="0"/>
                      <w:color w:val="auto"/>
                    </w:rPr>
                  </w:pPr>
                </w:p>
              </w:tc>
              <w:tc>
                <w:tcPr>
                  <w:tcW w:w="1707" w:type="pct"/>
                  <w:vAlign w:val="center"/>
                </w:tcPr>
                <w:p w14:paraId="3D364FFD">
                  <w:pPr>
                    <w:jc w:val="center"/>
                    <w:rPr>
                      <w:b w:val="0"/>
                      <w:bCs w:val="0"/>
                      <w:color w:val="auto"/>
                    </w:rPr>
                  </w:pPr>
                  <w:r>
                    <w:rPr>
                      <w:b w:val="0"/>
                      <w:bCs w:val="0"/>
                      <w:color w:val="auto"/>
                    </w:rPr>
                    <w:t>卷板机</w:t>
                  </w:r>
                </w:p>
              </w:tc>
              <w:tc>
                <w:tcPr>
                  <w:tcW w:w="992" w:type="pct"/>
                  <w:vAlign w:val="center"/>
                </w:tcPr>
                <w:p w14:paraId="03B01487">
                  <w:pPr>
                    <w:jc w:val="center"/>
                    <w:rPr>
                      <w:b w:val="0"/>
                      <w:bCs w:val="0"/>
                      <w:color w:val="auto"/>
                    </w:rPr>
                  </w:pPr>
                  <w:r>
                    <w:rPr>
                      <w:rFonts w:hint="eastAsia"/>
                      <w:b w:val="0"/>
                      <w:bCs w:val="0"/>
                      <w:color w:val="auto"/>
                    </w:rPr>
                    <w:t>/</w:t>
                  </w:r>
                </w:p>
              </w:tc>
              <w:tc>
                <w:tcPr>
                  <w:tcW w:w="577" w:type="pct"/>
                  <w:vAlign w:val="center"/>
                </w:tcPr>
                <w:p w14:paraId="4268E967">
                  <w:pPr>
                    <w:jc w:val="center"/>
                    <w:rPr>
                      <w:b w:val="0"/>
                      <w:bCs w:val="0"/>
                      <w:color w:val="auto"/>
                    </w:rPr>
                  </w:pPr>
                  <w:r>
                    <w:rPr>
                      <w:b w:val="0"/>
                      <w:bCs w:val="0"/>
                      <w:color w:val="auto"/>
                    </w:rPr>
                    <w:t>3</w:t>
                  </w:r>
                </w:p>
              </w:tc>
            </w:tr>
            <w:tr w14:paraId="0F6256F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26B87060">
                  <w:pPr>
                    <w:jc w:val="center"/>
                    <w:rPr>
                      <w:b w:val="0"/>
                      <w:bCs w:val="0"/>
                      <w:color w:val="auto"/>
                    </w:rPr>
                  </w:pPr>
                  <w:r>
                    <w:rPr>
                      <w:rFonts w:hint="eastAsia"/>
                      <w:b w:val="0"/>
                      <w:bCs w:val="0"/>
                      <w:color w:val="auto"/>
                    </w:rPr>
                    <w:t>26</w:t>
                  </w:r>
                </w:p>
              </w:tc>
              <w:tc>
                <w:tcPr>
                  <w:tcW w:w="614" w:type="pct"/>
                  <w:vMerge w:val="continue"/>
                  <w:vAlign w:val="center"/>
                </w:tcPr>
                <w:p w14:paraId="722349B8">
                  <w:pPr>
                    <w:jc w:val="center"/>
                    <w:rPr>
                      <w:b w:val="0"/>
                      <w:bCs w:val="0"/>
                      <w:color w:val="auto"/>
                    </w:rPr>
                  </w:pPr>
                </w:p>
              </w:tc>
              <w:tc>
                <w:tcPr>
                  <w:tcW w:w="737" w:type="pct"/>
                  <w:vMerge w:val="continue"/>
                  <w:vAlign w:val="center"/>
                </w:tcPr>
                <w:p w14:paraId="30F18534">
                  <w:pPr>
                    <w:jc w:val="center"/>
                    <w:rPr>
                      <w:b w:val="0"/>
                      <w:bCs w:val="0"/>
                      <w:color w:val="auto"/>
                    </w:rPr>
                  </w:pPr>
                </w:p>
              </w:tc>
              <w:tc>
                <w:tcPr>
                  <w:tcW w:w="1707" w:type="pct"/>
                  <w:vAlign w:val="center"/>
                </w:tcPr>
                <w:p w14:paraId="3E2E6119">
                  <w:pPr>
                    <w:jc w:val="center"/>
                    <w:rPr>
                      <w:b w:val="0"/>
                      <w:bCs w:val="0"/>
                      <w:color w:val="auto"/>
                    </w:rPr>
                  </w:pPr>
                  <w:r>
                    <w:rPr>
                      <w:b w:val="0"/>
                      <w:bCs w:val="0"/>
                      <w:color w:val="auto"/>
                    </w:rPr>
                    <w:t>带锯床</w:t>
                  </w:r>
                </w:p>
              </w:tc>
              <w:tc>
                <w:tcPr>
                  <w:tcW w:w="992" w:type="pct"/>
                  <w:vAlign w:val="center"/>
                </w:tcPr>
                <w:p w14:paraId="05EF53DF">
                  <w:pPr>
                    <w:jc w:val="center"/>
                    <w:rPr>
                      <w:b w:val="0"/>
                      <w:bCs w:val="0"/>
                      <w:color w:val="auto"/>
                    </w:rPr>
                  </w:pPr>
                  <w:r>
                    <w:rPr>
                      <w:rFonts w:hint="eastAsia"/>
                      <w:b w:val="0"/>
                      <w:bCs w:val="0"/>
                      <w:color w:val="auto"/>
                    </w:rPr>
                    <w:t>/</w:t>
                  </w:r>
                </w:p>
              </w:tc>
              <w:tc>
                <w:tcPr>
                  <w:tcW w:w="577" w:type="pct"/>
                  <w:vAlign w:val="center"/>
                </w:tcPr>
                <w:p w14:paraId="59187785">
                  <w:pPr>
                    <w:jc w:val="center"/>
                    <w:rPr>
                      <w:b w:val="0"/>
                      <w:bCs w:val="0"/>
                      <w:color w:val="auto"/>
                    </w:rPr>
                  </w:pPr>
                  <w:r>
                    <w:rPr>
                      <w:b w:val="0"/>
                      <w:bCs w:val="0"/>
                      <w:color w:val="auto"/>
                    </w:rPr>
                    <w:t>3</w:t>
                  </w:r>
                </w:p>
              </w:tc>
            </w:tr>
            <w:tr w14:paraId="06A8F1A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25DA1184">
                  <w:pPr>
                    <w:jc w:val="center"/>
                    <w:rPr>
                      <w:b w:val="0"/>
                      <w:bCs w:val="0"/>
                      <w:color w:val="auto"/>
                    </w:rPr>
                  </w:pPr>
                  <w:r>
                    <w:rPr>
                      <w:rFonts w:hint="eastAsia"/>
                      <w:b w:val="0"/>
                      <w:bCs w:val="0"/>
                      <w:color w:val="auto"/>
                    </w:rPr>
                    <w:t>27</w:t>
                  </w:r>
                </w:p>
              </w:tc>
              <w:tc>
                <w:tcPr>
                  <w:tcW w:w="614" w:type="pct"/>
                  <w:vMerge w:val="continue"/>
                  <w:vAlign w:val="center"/>
                </w:tcPr>
                <w:p w14:paraId="6324C62E">
                  <w:pPr>
                    <w:jc w:val="center"/>
                    <w:rPr>
                      <w:b w:val="0"/>
                      <w:bCs w:val="0"/>
                      <w:color w:val="auto"/>
                    </w:rPr>
                  </w:pPr>
                </w:p>
              </w:tc>
              <w:tc>
                <w:tcPr>
                  <w:tcW w:w="737" w:type="pct"/>
                  <w:vMerge w:val="continue"/>
                  <w:vAlign w:val="center"/>
                </w:tcPr>
                <w:p w14:paraId="7E874345">
                  <w:pPr>
                    <w:jc w:val="center"/>
                    <w:rPr>
                      <w:b w:val="0"/>
                      <w:bCs w:val="0"/>
                      <w:color w:val="auto"/>
                    </w:rPr>
                  </w:pPr>
                </w:p>
              </w:tc>
              <w:tc>
                <w:tcPr>
                  <w:tcW w:w="1707" w:type="pct"/>
                  <w:vAlign w:val="center"/>
                </w:tcPr>
                <w:p w14:paraId="7CDFA2F0">
                  <w:pPr>
                    <w:jc w:val="center"/>
                    <w:rPr>
                      <w:b w:val="0"/>
                      <w:bCs w:val="0"/>
                      <w:color w:val="auto"/>
                    </w:rPr>
                  </w:pPr>
                  <w:r>
                    <w:rPr>
                      <w:b w:val="0"/>
                      <w:bCs w:val="0"/>
                      <w:color w:val="auto"/>
                    </w:rPr>
                    <w:t>火焰切割机</w:t>
                  </w:r>
                </w:p>
              </w:tc>
              <w:tc>
                <w:tcPr>
                  <w:tcW w:w="992" w:type="pct"/>
                  <w:vAlign w:val="center"/>
                </w:tcPr>
                <w:p w14:paraId="59ECE04A">
                  <w:pPr>
                    <w:jc w:val="center"/>
                    <w:rPr>
                      <w:b w:val="0"/>
                      <w:bCs w:val="0"/>
                      <w:color w:val="auto"/>
                    </w:rPr>
                  </w:pPr>
                  <w:r>
                    <w:rPr>
                      <w:b w:val="0"/>
                      <w:bCs w:val="0"/>
                      <w:color w:val="auto"/>
                    </w:rPr>
                    <w:t>5*24</w:t>
                  </w:r>
                </w:p>
              </w:tc>
              <w:tc>
                <w:tcPr>
                  <w:tcW w:w="577" w:type="pct"/>
                  <w:vAlign w:val="center"/>
                </w:tcPr>
                <w:p w14:paraId="68864544">
                  <w:pPr>
                    <w:jc w:val="center"/>
                    <w:rPr>
                      <w:b w:val="0"/>
                      <w:bCs w:val="0"/>
                      <w:color w:val="auto"/>
                    </w:rPr>
                  </w:pPr>
                  <w:r>
                    <w:rPr>
                      <w:b w:val="0"/>
                      <w:bCs w:val="0"/>
                      <w:color w:val="auto"/>
                    </w:rPr>
                    <w:t>1</w:t>
                  </w:r>
                </w:p>
              </w:tc>
            </w:tr>
            <w:tr w14:paraId="0D2F93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3EB39D51">
                  <w:pPr>
                    <w:jc w:val="center"/>
                    <w:rPr>
                      <w:b w:val="0"/>
                      <w:bCs w:val="0"/>
                      <w:color w:val="auto"/>
                    </w:rPr>
                  </w:pPr>
                  <w:r>
                    <w:rPr>
                      <w:rFonts w:hint="eastAsia"/>
                      <w:b w:val="0"/>
                      <w:bCs w:val="0"/>
                      <w:color w:val="auto"/>
                    </w:rPr>
                    <w:t>28</w:t>
                  </w:r>
                </w:p>
              </w:tc>
              <w:tc>
                <w:tcPr>
                  <w:tcW w:w="614" w:type="pct"/>
                  <w:vMerge w:val="continue"/>
                  <w:vAlign w:val="center"/>
                </w:tcPr>
                <w:p w14:paraId="528B17D4">
                  <w:pPr>
                    <w:jc w:val="center"/>
                    <w:rPr>
                      <w:b w:val="0"/>
                      <w:bCs w:val="0"/>
                      <w:color w:val="auto"/>
                    </w:rPr>
                  </w:pPr>
                </w:p>
              </w:tc>
              <w:tc>
                <w:tcPr>
                  <w:tcW w:w="737" w:type="pct"/>
                  <w:vMerge w:val="continue"/>
                  <w:vAlign w:val="center"/>
                </w:tcPr>
                <w:p w14:paraId="515CF4D3">
                  <w:pPr>
                    <w:jc w:val="center"/>
                    <w:rPr>
                      <w:b w:val="0"/>
                      <w:bCs w:val="0"/>
                      <w:color w:val="auto"/>
                    </w:rPr>
                  </w:pPr>
                </w:p>
              </w:tc>
              <w:tc>
                <w:tcPr>
                  <w:tcW w:w="1707" w:type="pct"/>
                  <w:vAlign w:val="center"/>
                </w:tcPr>
                <w:p w14:paraId="6618B583">
                  <w:pPr>
                    <w:jc w:val="center"/>
                    <w:rPr>
                      <w:b w:val="0"/>
                      <w:bCs w:val="0"/>
                      <w:color w:val="auto"/>
                    </w:rPr>
                  </w:pPr>
                  <w:r>
                    <w:rPr>
                      <w:b w:val="0"/>
                      <w:bCs w:val="0"/>
                      <w:color w:val="auto"/>
                    </w:rPr>
                    <w:t>剪板机</w:t>
                  </w:r>
                </w:p>
              </w:tc>
              <w:tc>
                <w:tcPr>
                  <w:tcW w:w="992" w:type="pct"/>
                  <w:vAlign w:val="center"/>
                </w:tcPr>
                <w:p w14:paraId="494706E7">
                  <w:pPr>
                    <w:jc w:val="center"/>
                    <w:rPr>
                      <w:b w:val="0"/>
                      <w:bCs w:val="0"/>
                      <w:color w:val="auto"/>
                    </w:rPr>
                  </w:pPr>
                  <w:r>
                    <w:rPr>
                      <w:rFonts w:hint="eastAsia"/>
                      <w:b w:val="0"/>
                      <w:bCs w:val="0"/>
                      <w:color w:val="auto"/>
                    </w:rPr>
                    <w:t>/</w:t>
                  </w:r>
                </w:p>
              </w:tc>
              <w:tc>
                <w:tcPr>
                  <w:tcW w:w="577" w:type="pct"/>
                  <w:vAlign w:val="center"/>
                </w:tcPr>
                <w:p w14:paraId="456A19F2">
                  <w:pPr>
                    <w:jc w:val="center"/>
                    <w:rPr>
                      <w:b w:val="0"/>
                      <w:bCs w:val="0"/>
                      <w:color w:val="auto"/>
                    </w:rPr>
                  </w:pPr>
                  <w:r>
                    <w:rPr>
                      <w:b w:val="0"/>
                      <w:bCs w:val="0"/>
                      <w:color w:val="auto"/>
                    </w:rPr>
                    <w:t>1</w:t>
                  </w:r>
                </w:p>
              </w:tc>
            </w:tr>
            <w:tr w14:paraId="761CD7B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581007C9">
                  <w:pPr>
                    <w:jc w:val="center"/>
                    <w:rPr>
                      <w:b w:val="0"/>
                      <w:bCs w:val="0"/>
                      <w:color w:val="auto"/>
                    </w:rPr>
                  </w:pPr>
                  <w:r>
                    <w:rPr>
                      <w:rFonts w:hint="eastAsia"/>
                      <w:b w:val="0"/>
                      <w:bCs w:val="0"/>
                      <w:color w:val="auto"/>
                    </w:rPr>
                    <w:t>29</w:t>
                  </w:r>
                </w:p>
              </w:tc>
              <w:tc>
                <w:tcPr>
                  <w:tcW w:w="614" w:type="pct"/>
                  <w:vMerge w:val="continue"/>
                  <w:vAlign w:val="center"/>
                </w:tcPr>
                <w:p w14:paraId="4553B25F">
                  <w:pPr>
                    <w:jc w:val="center"/>
                    <w:rPr>
                      <w:b w:val="0"/>
                      <w:bCs w:val="0"/>
                      <w:color w:val="auto"/>
                    </w:rPr>
                  </w:pPr>
                </w:p>
              </w:tc>
              <w:tc>
                <w:tcPr>
                  <w:tcW w:w="737" w:type="pct"/>
                  <w:vMerge w:val="continue"/>
                  <w:vAlign w:val="center"/>
                </w:tcPr>
                <w:p w14:paraId="7546AFE6">
                  <w:pPr>
                    <w:jc w:val="center"/>
                    <w:rPr>
                      <w:b w:val="0"/>
                      <w:bCs w:val="0"/>
                      <w:color w:val="auto"/>
                    </w:rPr>
                  </w:pPr>
                </w:p>
              </w:tc>
              <w:tc>
                <w:tcPr>
                  <w:tcW w:w="1707" w:type="pct"/>
                  <w:vAlign w:val="center"/>
                </w:tcPr>
                <w:p w14:paraId="474BC010">
                  <w:pPr>
                    <w:jc w:val="center"/>
                    <w:rPr>
                      <w:b w:val="0"/>
                      <w:bCs w:val="0"/>
                      <w:color w:val="auto"/>
                    </w:rPr>
                  </w:pPr>
                  <w:r>
                    <w:rPr>
                      <w:b w:val="0"/>
                      <w:bCs w:val="0"/>
                      <w:color w:val="auto"/>
                    </w:rPr>
                    <w:t>焊机</w:t>
                  </w:r>
                </w:p>
              </w:tc>
              <w:tc>
                <w:tcPr>
                  <w:tcW w:w="992" w:type="pct"/>
                  <w:vAlign w:val="center"/>
                </w:tcPr>
                <w:p w14:paraId="3EEBA18E">
                  <w:pPr>
                    <w:jc w:val="center"/>
                    <w:rPr>
                      <w:b w:val="0"/>
                      <w:bCs w:val="0"/>
                      <w:color w:val="auto"/>
                    </w:rPr>
                  </w:pPr>
                  <w:r>
                    <w:rPr>
                      <w:rFonts w:hint="eastAsia"/>
                      <w:b w:val="0"/>
                      <w:bCs w:val="0"/>
                      <w:color w:val="auto"/>
                    </w:rPr>
                    <w:t>/</w:t>
                  </w:r>
                </w:p>
              </w:tc>
              <w:tc>
                <w:tcPr>
                  <w:tcW w:w="577" w:type="pct"/>
                  <w:vAlign w:val="center"/>
                </w:tcPr>
                <w:p w14:paraId="34379A01">
                  <w:pPr>
                    <w:jc w:val="center"/>
                    <w:rPr>
                      <w:b w:val="0"/>
                      <w:bCs w:val="0"/>
                      <w:color w:val="auto"/>
                    </w:rPr>
                  </w:pPr>
                  <w:r>
                    <w:rPr>
                      <w:b w:val="0"/>
                      <w:bCs w:val="0"/>
                      <w:color w:val="auto"/>
                    </w:rPr>
                    <w:t>30</w:t>
                  </w:r>
                </w:p>
              </w:tc>
            </w:tr>
            <w:tr w14:paraId="60F3F9C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63FDF8CE">
                  <w:pPr>
                    <w:jc w:val="center"/>
                    <w:rPr>
                      <w:b w:val="0"/>
                      <w:bCs w:val="0"/>
                      <w:color w:val="auto"/>
                    </w:rPr>
                  </w:pPr>
                  <w:r>
                    <w:rPr>
                      <w:rFonts w:hint="eastAsia"/>
                      <w:b w:val="0"/>
                      <w:bCs w:val="0"/>
                      <w:color w:val="auto"/>
                    </w:rPr>
                    <w:t>30</w:t>
                  </w:r>
                </w:p>
              </w:tc>
              <w:tc>
                <w:tcPr>
                  <w:tcW w:w="614" w:type="pct"/>
                  <w:vMerge w:val="continue"/>
                  <w:vAlign w:val="center"/>
                </w:tcPr>
                <w:p w14:paraId="7FCCCC8C">
                  <w:pPr>
                    <w:jc w:val="center"/>
                    <w:rPr>
                      <w:b w:val="0"/>
                      <w:bCs w:val="0"/>
                      <w:color w:val="auto"/>
                    </w:rPr>
                  </w:pPr>
                </w:p>
              </w:tc>
              <w:tc>
                <w:tcPr>
                  <w:tcW w:w="737" w:type="pct"/>
                  <w:vMerge w:val="continue"/>
                  <w:vAlign w:val="center"/>
                </w:tcPr>
                <w:p w14:paraId="1C558871">
                  <w:pPr>
                    <w:jc w:val="center"/>
                    <w:rPr>
                      <w:b w:val="0"/>
                      <w:bCs w:val="0"/>
                      <w:color w:val="auto"/>
                    </w:rPr>
                  </w:pPr>
                </w:p>
              </w:tc>
              <w:tc>
                <w:tcPr>
                  <w:tcW w:w="1707" w:type="pct"/>
                  <w:vAlign w:val="center"/>
                </w:tcPr>
                <w:p w14:paraId="5313AAA7">
                  <w:pPr>
                    <w:jc w:val="center"/>
                    <w:rPr>
                      <w:b w:val="0"/>
                      <w:bCs w:val="0"/>
                      <w:color w:val="auto"/>
                    </w:rPr>
                  </w:pPr>
                  <w:r>
                    <w:rPr>
                      <w:b w:val="0"/>
                      <w:bCs w:val="0"/>
                      <w:color w:val="auto"/>
                    </w:rPr>
                    <w:t>移动焊烟净化器</w:t>
                  </w:r>
                </w:p>
              </w:tc>
              <w:tc>
                <w:tcPr>
                  <w:tcW w:w="992" w:type="pct"/>
                  <w:vAlign w:val="center"/>
                </w:tcPr>
                <w:p w14:paraId="6A8655B4">
                  <w:pPr>
                    <w:jc w:val="center"/>
                    <w:rPr>
                      <w:b w:val="0"/>
                      <w:bCs w:val="0"/>
                      <w:color w:val="auto"/>
                    </w:rPr>
                  </w:pPr>
                  <w:r>
                    <w:rPr>
                      <w:rFonts w:hint="eastAsia"/>
                      <w:b w:val="0"/>
                      <w:bCs w:val="0"/>
                      <w:color w:val="auto"/>
                    </w:rPr>
                    <w:t>/</w:t>
                  </w:r>
                </w:p>
              </w:tc>
              <w:tc>
                <w:tcPr>
                  <w:tcW w:w="577" w:type="pct"/>
                  <w:vAlign w:val="center"/>
                </w:tcPr>
                <w:p w14:paraId="69CFC1EB">
                  <w:pPr>
                    <w:jc w:val="center"/>
                    <w:rPr>
                      <w:b w:val="0"/>
                      <w:bCs w:val="0"/>
                      <w:color w:val="auto"/>
                    </w:rPr>
                  </w:pPr>
                  <w:r>
                    <w:rPr>
                      <w:b w:val="0"/>
                      <w:bCs w:val="0"/>
                      <w:color w:val="auto"/>
                    </w:rPr>
                    <w:t>16</w:t>
                  </w:r>
                </w:p>
              </w:tc>
            </w:tr>
            <w:tr w14:paraId="0A50C7B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68556462">
                  <w:pPr>
                    <w:jc w:val="center"/>
                    <w:rPr>
                      <w:b w:val="0"/>
                      <w:bCs w:val="0"/>
                      <w:color w:val="auto"/>
                    </w:rPr>
                  </w:pPr>
                  <w:r>
                    <w:rPr>
                      <w:rFonts w:hint="eastAsia"/>
                      <w:b w:val="0"/>
                      <w:bCs w:val="0"/>
                      <w:color w:val="auto"/>
                    </w:rPr>
                    <w:t>31</w:t>
                  </w:r>
                </w:p>
              </w:tc>
              <w:tc>
                <w:tcPr>
                  <w:tcW w:w="614" w:type="pct"/>
                  <w:vMerge w:val="continue"/>
                  <w:vAlign w:val="center"/>
                </w:tcPr>
                <w:p w14:paraId="0B8F92F0">
                  <w:pPr>
                    <w:jc w:val="center"/>
                    <w:rPr>
                      <w:b w:val="0"/>
                      <w:bCs w:val="0"/>
                      <w:color w:val="auto"/>
                    </w:rPr>
                  </w:pPr>
                </w:p>
              </w:tc>
              <w:tc>
                <w:tcPr>
                  <w:tcW w:w="737" w:type="pct"/>
                  <w:vAlign w:val="center"/>
                </w:tcPr>
                <w:p w14:paraId="7E70FCFD">
                  <w:pPr>
                    <w:jc w:val="center"/>
                    <w:rPr>
                      <w:b w:val="0"/>
                      <w:bCs w:val="0"/>
                      <w:color w:val="auto"/>
                    </w:rPr>
                  </w:pPr>
                  <w:r>
                    <w:rPr>
                      <w:b w:val="0"/>
                      <w:bCs w:val="0"/>
                      <w:color w:val="auto"/>
                    </w:rPr>
                    <w:t>龙门吊</w:t>
                  </w:r>
                </w:p>
              </w:tc>
              <w:tc>
                <w:tcPr>
                  <w:tcW w:w="1707" w:type="pct"/>
                  <w:vAlign w:val="center"/>
                </w:tcPr>
                <w:p w14:paraId="7E83F9DA">
                  <w:pPr>
                    <w:jc w:val="center"/>
                    <w:rPr>
                      <w:b w:val="0"/>
                      <w:bCs w:val="0"/>
                      <w:color w:val="auto"/>
                    </w:rPr>
                  </w:pPr>
                  <w:r>
                    <w:rPr>
                      <w:b w:val="0"/>
                      <w:bCs w:val="0"/>
                      <w:color w:val="auto"/>
                    </w:rPr>
                    <w:t>32T</w:t>
                  </w:r>
                </w:p>
              </w:tc>
              <w:tc>
                <w:tcPr>
                  <w:tcW w:w="992" w:type="pct"/>
                  <w:vAlign w:val="center"/>
                </w:tcPr>
                <w:p w14:paraId="6ECE8A04">
                  <w:pPr>
                    <w:jc w:val="center"/>
                    <w:rPr>
                      <w:b w:val="0"/>
                      <w:bCs w:val="0"/>
                      <w:color w:val="auto"/>
                    </w:rPr>
                  </w:pPr>
                  <w:r>
                    <w:rPr>
                      <w:rFonts w:hint="eastAsia"/>
                      <w:b w:val="0"/>
                      <w:bCs w:val="0"/>
                      <w:color w:val="auto"/>
                    </w:rPr>
                    <w:t>/</w:t>
                  </w:r>
                </w:p>
              </w:tc>
              <w:tc>
                <w:tcPr>
                  <w:tcW w:w="577" w:type="pct"/>
                  <w:vAlign w:val="center"/>
                </w:tcPr>
                <w:p w14:paraId="35065EF0">
                  <w:pPr>
                    <w:jc w:val="center"/>
                    <w:rPr>
                      <w:b w:val="0"/>
                      <w:bCs w:val="0"/>
                      <w:color w:val="auto"/>
                    </w:rPr>
                  </w:pPr>
                  <w:r>
                    <w:rPr>
                      <w:b w:val="0"/>
                      <w:bCs w:val="0"/>
                      <w:color w:val="auto"/>
                    </w:rPr>
                    <w:t>1</w:t>
                  </w:r>
                </w:p>
              </w:tc>
            </w:tr>
            <w:tr w14:paraId="571D99E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Merge w:val="restart"/>
                  <w:vAlign w:val="center"/>
                </w:tcPr>
                <w:p w14:paraId="7C09C548">
                  <w:pPr>
                    <w:jc w:val="center"/>
                    <w:rPr>
                      <w:b w:val="0"/>
                      <w:bCs w:val="0"/>
                      <w:color w:val="auto"/>
                    </w:rPr>
                  </w:pPr>
                  <w:r>
                    <w:rPr>
                      <w:rFonts w:hint="eastAsia"/>
                      <w:b w:val="0"/>
                      <w:bCs w:val="0"/>
                      <w:color w:val="auto"/>
                    </w:rPr>
                    <w:t>32</w:t>
                  </w:r>
                </w:p>
              </w:tc>
              <w:tc>
                <w:tcPr>
                  <w:tcW w:w="614" w:type="pct"/>
                  <w:vMerge w:val="continue"/>
                  <w:vAlign w:val="center"/>
                </w:tcPr>
                <w:p w14:paraId="00B25080">
                  <w:pPr>
                    <w:jc w:val="center"/>
                    <w:rPr>
                      <w:b w:val="0"/>
                      <w:bCs w:val="0"/>
                      <w:color w:val="auto"/>
                    </w:rPr>
                  </w:pPr>
                </w:p>
              </w:tc>
              <w:tc>
                <w:tcPr>
                  <w:tcW w:w="737" w:type="pct"/>
                  <w:vMerge w:val="restart"/>
                  <w:vAlign w:val="center"/>
                </w:tcPr>
                <w:p w14:paraId="723CF4FD">
                  <w:pPr>
                    <w:jc w:val="center"/>
                    <w:rPr>
                      <w:b w:val="0"/>
                      <w:bCs w:val="0"/>
                      <w:color w:val="auto"/>
                    </w:rPr>
                  </w:pPr>
                  <w:r>
                    <w:rPr>
                      <w:b w:val="0"/>
                      <w:bCs w:val="0"/>
                      <w:color w:val="auto"/>
                    </w:rPr>
                    <w:t>桥式起重机</w:t>
                  </w:r>
                </w:p>
              </w:tc>
              <w:tc>
                <w:tcPr>
                  <w:tcW w:w="1707" w:type="pct"/>
                  <w:vAlign w:val="center"/>
                </w:tcPr>
                <w:p w14:paraId="737FB0B4">
                  <w:pPr>
                    <w:jc w:val="center"/>
                    <w:rPr>
                      <w:b w:val="0"/>
                      <w:bCs w:val="0"/>
                      <w:color w:val="auto"/>
                    </w:rPr>
                  </w:pPr>
                  <w:r>
                    <w:rPr>
                      <w:b w:val="0"/>
                      <w:bCs w:val="0"/>
                      <w:color w:val="auto"/>
                    </w:rPr>
                    <w:t>75T</w:t>
                  </w:r>
                </w:p>
              </w:tc>
              <w:tc>
                <w:tcPr>
                  <w:tcW w:w="992" w:type="pct"/>
                  <w:vAlign w:val="center"/>
                </w:tcPr>
                <w:p w14:paraId="3A5DAC46">
                  <w:pPr>
                    <w:jc w:val="center"/>
                    <w:rPr>
                      <w:b w:val="0"/>
                      <w:bCs w:val="0"/>
                      <w:color w:val="auto"/>
                    </w:rPr>
                  </w:pPr>
                  <w:r>
                    <w:rPr>
                      <w:rFonts w:hint="eastAsia"/>
                      <w:b w:val="0"/>
                      <w:bCs w:val="0"/>
                      <w:color w:val="auto"/>
                    </w:rPr>
                    <w:t>/</w:t>
                  </w:r>
                </w:p>
              </w:tc>
              <w:tc>
                <w:tcPr>
                  <w:tcW w:w="577" w:type="pct"/>
                  <w:vAlign w:val="center"/>
                </w:tcPr>
                <w:p w14:paraId="4C096E31">
                  <w:pPr>
                    <w:jc w:val="center"/>
                    <w:rPr>
                      <w:b w:val="0"/>
                      <w:bCs w:val="0"/>
                      <w:color w:val="auto"/>
                    </w:rPr>
                  </w:pPr>
                  <w:r>
                    <w:rPr>
                      <w:b w:val="0"/>
                      <w:bCs w:val="0"/>
                      <w:color w:val="auto"/>
                    </w:rPr>
                    <w:t>3</w:t>
                  </w:r>
                </w:p>
              </w:tc>
            </w:tr>
            <w:tr w14:paraId="6C0CB4D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Merge w:val="continue"/>
                  <w:vAlign w:val="center"/>
                </w:tcPr>
                <w:p w14:paraId="7B509EC6">
                  <w:pPr>
                    <w:jc w:val="center"/>
                    <w:rPr>
                      <w:b w:val="0"/>
                      <w:bCs w:val="0"/>
                      <w:color w:val="auto"/>
                    </w:rPr>
                  </w:pPr>
                </w:p>
              </w:tc>
              <w:tc>
                <w:tcPr>
                  <w:tcW w:w="614" w:type="pct"/>
                  <w:vMerge w:val="continue"/>
                  <w:vAlign w:val="center"/>
                </w:tcPr>
                <w:p w14:paraId="323CF401">
                  <w:pPr>
                    <w:jc w:val="center"/>
                    <w:rPr>
                      <w:b w:val="0"/>
                      <w:bCs w:val="0"/>
                      <w:color w:val="auto"/>
                    </w:rPr>
                  </w:pPr>
                </w:p>
              </w:tc>
              <w:tc>
                <w:tcPr>
                  <w:tcW w:w="737" w:type="pct"/>
                  <w:vMerge w:val="continue"/>
                  <w:vAlign w:val="center"/>
                </w:tcPr>
                <w:p w14:paraId="2018B481">
                  <w:pPr>
                    <w:jc w:val="center"/>
                    <w:rPr>
                      <w:b w:val="0"/>
                      <w:bCs w:val="0"/>
                      <w:color w:val="auto"/>
                    </w:rPr>
                  </w:pPr>
                </w:p>
              </w:tc>
              <w:tc>
                <w:tcPr>
                  <w:tcW w:w="1707" w:type="pct"/>
                  <w:vAlign w:val="center"/>
                </w:tcPr>
                <w:p w14:paraId="56E188C3">
                  <w:pPr>
                    <w:jc w:val="center"/>
                    <w:rPr>
                      <w:b w:val="0"/>
                      <w:bCs w:val="0"/>
                      <w:color w:val="auto"/>
                    </w:rPr>
                  </w:pPr>
                  <w:r>
                    <w:rPr>
                      <w:b w:val="0"/>
                      <w:bCs w:val="0"/>
                      <w:color w:val="auto"/>
                    </w:rPr>
                    <w:t>50T</w:t>
                  </w:r>
                </w:p>
              </w:tc>
              <w:tc>
                <w:tcPr>
                  <w:tcW w:w="992" w:type="pct"/>
                  <w:vAlign w:val="center"/>
                </w:tcPr>
                <w:p w14:paraId="7BAF5492">
                  <w:pPr>
                    <w:jc w:val="center"/>
                    <w:rPr>
                      <w:b w:val="0"/>
                      <w:bCs w:val="0"/>
                      <w:color w:val="auto"/>
                    </w:rPr>
                  </w:pPr>
                  <w:r>
                    <w:rPr>
                      <w:rFonts w:hint="eastAsia"/>
                      <w:b w:val="0"/>
                      <w:bCs w:val="0"/>
                      <w:color w:val="auto"/>
                    </w:rPr>
                    <w:t>/</w:t>
                  </w:r>
                </w:p>
              </w:tc>
              <w:tc>
                <w:tcPr>
                  <w:tcW w:w="577" w:type="pct"/>
                  <w:vAlign w:val="center"/>
                </w:tcPr>
                <w:p w14:paraId="687D840B">
                  <w:pPr>
                    <w:jc w:val="center"/>
                    <w:rPr>
                      <w:b w:val="0"/>
                      <w:bCs w:val="0"/>
                      <w:color w:val="auto"/>
                    </w:rPr>
                  </w:pPr>
                  <w:r>
                    <w:rPr>
                      <w:b w:val="0"/>
                      <w:bCs w:val="0"/>
                      <w:color w:val="auto"/>
                    </w:rPr>
                    <w:t>2</w:t>
                  </w:r>
                </w:p>
              </w:tc>
            </w:tr>
            <w:tr w14:paraId="49DBEA0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Merge w:val="continue"/>
                  <w:vAlign w:val="center"/>
                </w:tcPr>
                <w:p w14:paraId="421064D1">
                  <w:pPr>
                    <w:jc w:val="center"/>
                    <w:rPr>
                      <w:b w:val="0"/>
                      <w:bCs w:val="0"/>
                      <w:color w:val="auto"/>
                    </w:rPr>
                  </w:pPr>
                </w:p>
              </w:tc>
              <w:tc>
                <w:tcPr>
                  <w:tcW w:w="614" w:type="pct"/>
                  <w:vMerge w:val="continue"/>
                  <w:vAlign w:val="center"/>
                </w:tcPr>
                <w:p w14:paraId="0F6AF5BF">
                  <w:pPr>
                    <w:jc w:val="center"/>
                    <w:rPr>
                      <w:b w:val="0"/>
                      <w:bCs w:val="0"/>
                      <w:color w:val="auto"/>
                    </w:rPr>
                  </w:pPr>
                </w:p>
              </w:tc>
              <w:tc>
                <w:tcPr>
                  <w:tcW w:w="737" w:type="pct"/>
                  <w:vMerge w:val="continue"/>
                  <w:vAlign w:val="center"/>
                </w:tcPr>
                <w:p w14:paraId="329A94B0">
                  <w:pPr>
                    <w:jc w:val="center"/>
                    <w:rPr>
                      <w:b w:val="0"/>
                      <w:bCs w:val="0"/>
                      <w:color w:val="auto"/>
                    </w:rPr>
                  </w:pPr>
                </w:p>
              </w:tc>
              <w:tc>
                <w:tcPr>
                  <w:tcW w:w="1707" w:type="pct"/>
                  <w:vAlign w:val="center"/>
                </w:tcPr>
                <w:p w14:paraId="6A15F699">
                  <w:pPr>
                    <w:jc w:val="center"/>
                    <w:rPr>
                      <w:b w:val="0"/>
                      <w:bCs w:val="0"/>
                      <w:color w:val="auto"/>
                    </w:rPr>
                  </w:pPr>
                  <w:r>
                    <w:rPr>
                      <w:b w:val="0"/>
                      <w:bCs w:val="0"/>
                      <w:color w:val="auto"/>
                    </w:rPr>
                    <w:t>25T</w:t>
                  </w:r>
                </w:p>
              </w:tc>
              <w:tc>
                <w:tcPr>
                  <w:tcW w:w="992" w:type="pct"/>
                  <w:vAlign w:val="center"/>
                </w:tcPr>
                <w:p w14:paraId="3E04C8FD">
                  <w:pPr>
                    <w:jc w:val="center"/>
                    <w:rPr>
                      <w:b w:val="0"/>
                      <w:bCs w:val="0"/>
                      <w:color w:val="auto"/>
                    </w:rPr>
                  </w:pPr>
                  <w:r>
                    <w:rPr>
                      <w:rFonts w:hint="eastAsia"/>
                      <w:b w:val="0"/>
                      <w:bCs w:val="0"/>
                      <w:color w:val="auto"/>
                    </w:rPr>
                    <w:t>/</w:t>
                  </w:r>
                </w:p>
              </w:tc>
              <w:tc>
                <w:tcPr>
                  <w:tcW w:w="577" w:type="pct"/>
                  <w:vAlign w:val="center"/>
                </w:tcPr>
                <w:p w14:paraId="6C451D34">
                  <w:pPr>
                    <w:jc w:val="center"/>
                    <w:rPr>
                      <w:b w:val="0"/>
                      <w:bCs w:val="0"/>
                      <w:color w:val="auto"/>
                    </w:rPr>
                  </w:pPr>
                  <w:r>
                    <w:rPr>
                      <w:b w:val="0"/>
                      <w:bCs w:val="0"/>
                      <w:color w:val="auto"/>
                    </w:rPr>
                    <w:t>2</w:t>
                  </w:r>
                </w:p>
              </w:tc>
            </w:tr>
            <w:tr w14:paraId="1CA3AB6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Merge w:val="continue"/>
                  <w:vAlign w:val="center"/>
                </w:tcPr>
                <w:p w14:paraId="55A62926">
                  <w:pPr>
                    <w:jc w:val="center"/>
                    <w:rPr>
                      <w:b w:val="0"/>
                      <w:bCs w:val="0"/>
                      <w:color w:val="auto"/>
                    </w:rPr>
                  </w:pPr>
                </w:p>
              </w:tc>
              <w:tc>
                <w:tcPr>
                  <w:tcW w:w="614" w:type="pct"/>
                  <w:vMerge w:val="continue"/>
                  <w:vAlign w:val="center"/>
                </w:tcPr>
                <w:p w14:paraId="186C8613">
                  <w:pPr>
                    <w:jc w:val="center"/>
                    <w:rPr>
                      <w:b w:val="0"/>
                      <w:bCs w:val="0"/>
                      <w:color w:val="auto"/>
                    </w:rPr>
                  </w:pPr>
                </w:p>
              </w:tc>
              <w:tc>
                <w:tcPr>
                  <w:tcW w:w="737" w:type="pct"/>
                  <w:vMerge w:val="continue"/>
                  <w:vAlign w:val="center"/>
                </w:tcPr>
                <w:p w14:paraId="201ACF9C">
                  <w:pPr>
                    <w:jc w:val="center"/>
                    <w:rPr>
                      <w:b w:val="0"/>
                      <w:bCs w:val="0"/>
                      <w:color w:val="auto"/>
                    </w:rPr>
                  </w:pPr>
                </w:p>
              </w:tc>
              <w:tc>
                <w:tcPr>
                  <w:tcW w:w="1707" w:type="pct"/>
                  <w:vAlign w:val="center"/>
                </w:tcPr>
                <w:p w14:paraId="4B89F0A7">
                  <w:pPr>
                    <w:jc w:val="center"/>
                    <w:rPr>
                      <w:b w:val="0"/>
                      <w:bCs w:val="0"/>
                      <w:color w:val="auto"/>
                    </w:rPr>
                  </w:pPr>
                  <w:r>
                    <w:rPr>
                      <w:b w:val="0"/>
                      <w:bCs w:val="0"/>
                      <w:color w:val="auto"/>
                    </w:rPr>
                    <w:t>10T</w:t>
                  </w:r>
                </w:p>
              </w:tc>
              <w:tc>
                <w:tcPr>
                  <w:tcW w:w="992" w:type="pct"/>
                  <w:vAlign w:val="center"/>
                </w:tcPr>
                <w:p w14:paraId="00160AD2">
                  <w:pPr>
                    <w:jc w:val="center"/>
                    <w:rPr>
                      <w:b w:val="0"/>
                      <w:bCs w:val="0"/>
                      <w:color w:val="auto"/>
                    </w:rPr>
                  </w:pPr>
                  <w:r>
                    <w:rPr>
                      <w:rFonts w:hint="eastAsia"/>
                      <w:b w:val="0"/>
                      <w:bCs w:val="0"/>
                      <w:color w:val="auto"/>
                    </w:rPr>
                    <w:t>/</w:t>
                  </w:r>
                </w:p>
              </w:tc>
              <w:tc>
                <w:tcPr>
                  <w:tcW w:w="577" w:type="pct"/>
                  <w:vAlign w:val="center"/>
                </w:tcPr>
                <w:p w14:paraId="4FA5A4BF">
                  <w:pPr>
                    <w:jc w:val="center"/>
                    <w:rPr>
                      <w:b w:val="0"/>
                      <w:bCs w:val="0"/>
                      <w:color w:val="auto"/>
                    </w:rPr>
                  </w:pPr>
                  <w:r>
                    <w:rPr>
                      <w:b w:val="0"/>
                      <w:bCs w:val="0"/>
                      <w:color w:val="auto"/>
                    </w:rPr>
                    <w:t>1</w:t>
                  </w:r>
                </w:p>
              </w:tc>
            </w:tr>
            <w:tr w14:paraId="53F3986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369" w:type="pct"/>
                  <w:vAlign w:val="center"/>
                </w:tcPr>
                <w:p w14:paraId="02EA4252">
                  <w:pPr>
                    <w:jc w:val="center"/>
                    <w:rPr>
                      <w:b w:val="0"/>
                      <w:bCs w:val="0"/>
                      <w:color w:val="auto"/>
                    </w:rPr>
                  </w:pPr>
                  <w:r>
                    <w:rPr>
                      <w:b w:val="0"/>
                      <w:bCs w:val="0"/>
                      <w:color w:val="auto"/>
                    </w:rPr>
                    <w:t>1</w:t>
                  </w:r>
                </w:p>
              </w:tc>
              <w:tc>
                <w:tcPr>
                  <w:tcW w:w="614" w:type="pct"/>
                  <w:vMerge w:val="restart"/>
                  <w:vAlign w:val="center"/>
                </w:tcPr>
                <w:p w14:paraId="0598D438">
                  <w:pPr>
                    <w:jc w:val="center"/>
                    <w:rPr>
                      <w:b w:val="0"/>
                      <w:bCs w:val="0"/>
                      <w:color w:val="auto"/>
                    </w:rPr>
                  </w:pPr>
                  <w:r>
                    <w:rPr>
                      <w:b w:val="0"/>
                      <w:bCs w:val="0"/>
                      <w:color w:val="auto"/>
                    </w:rPr>
                    <w:t>管汇车间</w:t>
                  </w:r>
                </w:p>
              </w:tc>
              <w:tc>
                <w:tcPr>
                  <w:tcW w:w="737" w:type="pct"/>
                  <w:vMerge w:val="restart"/>
                  <w:vAlign w:val="center"/>
                </w:tcPr>
                <w:p w14:paraId="52C2DE20">
                  <w:pPr>
                    <w:jc w:val="center"/>
                    <w:rPr>
                      <w:b w:val="0"/>
                      <w:bCs w:val="0"/>
                      <w:color w:val="auto"/>
                    </w:rPr>
                  </w:pPr>
                  <w:r>
                    <w:rPr>
                      <w:rFonts w:hint="eastAsia"/>
                      <w:b w:val="0"/>
                      <w:bCs w:val="0"/>
                      <w:color w:val="auto"/>
                    </w:rPr>
                    <w:t>加工</w:t>
                  </w:r>
                </w:p>
              </w:tc>
              <w:tc>
                <w:tcPr>
                  <w:tcW w:w="1707" w:type="pct"/>
                  <w:vAlign w:val="center"/>
                </w:tcPr>
                <w:p w14:paraId="587B06AB">
                  <w:pPr>
                    <w:jc w:val="center"/>
                    <w:rPr>
                      <w:b w:val="0"/>
                      <w:bCs w:val="0"/>
                      <w:color w:val="auto"/>
                    </w:rPr>
                  </w:pPr>
                  <w:r>
                    <w:rPr>
                      <w:rFonts w:hint="eastAsia"/>
                      <w:b w:val="0"/>
                      <w:bCs w:val="0"/>
                      <w:color w:val="auto"/>
                    </w:rPr>
                    <w:t>钻床</w:t>
                  </w:r>
                </w:p>
              </w:tc>
              <w:tc>
                <w:tcPr>
                  <w:tcW w:w="992" w:type="pct"/>
                  <w:vAlign w:val="center"/>
                </w:tcPr>
                <w:p w14:paraId="598519BF">
                  <w:pPr>
                    <w:jc w:val="center"/>
                    <w:rPr>
                      <w:b w:val="0"/>
                      <w:bCs w:val="0"/>
                      <w:color w:val="auto"/>
                    </w:rPr>
                  </w:pPr>
                  <w:r>
                    <w:rPr>
                      <w:rFonts w:hint="eastAsia"/>
                      <w:b w:val="0"/>
                      <w:bCs w:val="0"/>
                      <w:color w:val="auto"/>
                    </w:rPr>
                    <w:t>/</w:t>
                  </w:r>
                </w:p>
              </w:tc>
              <w:tc>
                <w:tcPr>
                  <w:tcW w:w="577" w:type="pct"/>
                  <w:vAlign w:val="center"/>
                </w:tcPr>
                <w:p w14:paraId="3C603DFB">
                  <w:pPr>
                    <w:jc w:val="center"/>
                    <w:rPr>
                      <w:b w:val="0"/>
                      <w:bCs w:val="0"/>
                      <w:color w:val="auto"/>
                    </w:rPr>
                  </w:pPr>
                  <w:r>
                    <w:rPr>
                      <w:rFonts w:hint="eastAsia"/>
                      <w:b w:val="0"/>
                      <w:bCs w:val="0"/>
                      <w:color w:val="auto"/>
                    </w:rPr>
                    <w:t>1</w:t>
                  </w:r>
                </w:p>
              </w:tc>
            </w:tr>
            <w:tr w14:paraId="72CC3B8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6EE3930D">
                  <w:pPr>
                    <w:jc w:val="center"/>
                    <w:rPr>
                      <w:b w:val="0"/>
                      <w:bCs w:val="0"/>
                      <w:color w:val="auto"/>
                    </w:rPr>
                  </w:pPr>
                  <w:r>
                    <w:rPr>
                      <w:b w:val="0"/>
                      <w:bCs w:val="0"/>
                      <w:color w:val="auto"/>
                    </w:rPr>
                    <w:t>2</w:t>
                  </w:r>
                </w:p>
              </w:tc>
              <w:tc>
                <w:tcPr>
                  <w:tcW w:w="614" w:type="pct"/>
                  <w:vMerge w:val="continue"/>
                  <w:vAlign w:val="center"/>
                </w:tcPr>
                <w:p w14:paraId="53E70AC0">
                  <w:pPr>
                    <w:jc w:val="center"/>
                    <w:rPr>
                      <w:b w:val="0"/>
                      <w:bCs w:val="0"/>
                      <w:color w:val="auto"/>
                    </w:rPr>
                  </w:pPr>
                </w:p>
              </w:tc>
              <w:tc>
                <w:tcPr>
                  <w:tcW w:w="737" w:type="pct"/>
                  <w:vMerge w:val="continue"/>
                  <w:vAlign w:val="center"/>
                </w:tcPr>
                <w:p w14:paraId="7BF5CBC2">
                  <w:pPr>
                    <w:jc w:val="center"/>
                    <w:rPr>
                      <w:b w:val="0"/>
                      <w:bCs w:val="0"/>
                      <w:color w:val="auto"/>
                    </w:rPr>
                  </w:pPr>
                </w:p>
              </w:tc>
              <w:tc>
                <w:tcPr>
                  <w:tcW w:w="1707" w:type="pct"/>
                  <w:vAlign w:val="center"/>
                </w:tcPr>
                <w:p w14:paraId="671E0F68">
                  <w:pPr>
                    <w:jc w:val="center"/>
                    <w:rPr>
                      <w:b w:val="0"/>
                      <w:bCs w:val="0"/>
                      <w:color w:val="auto"/>
                    </w:rPr>
                  </w:pPr>
                  <w:r>
                    <w:rPr>
                      <w:rFonts w:hint="eastAsia"/>
                      <w:b w:val="0"/>
                      <w:bCs w:val="0"/>
                      <w:color w:val="auto"/>
                    </w:rPr>
                    <w:t>普通车床</w:t>
                  </w:r>
                </w:p>
              </w:tc>
              <w:tc>
                <w:tcPr>
                  <w:tcW w:w="992" w:type="pct"/>
                  <w:vAlign w:val="center"/>
                </w:tcPr>
                <w:p w14:paraId="46FEB54E">
                  <w:pPr>
                    <w:jc w:val="center"/>
                    <w:rPr>
                      <w:b w:val="0"/>
                      <w:bCs w:val="0"/>
                      <w:color w:val="auto"/>
                    </w:rPr>
                  </w:pPr>
                  <w:r>
                    <w:rPr>
                      <w:rFonts w:hint="eastAsia"/>
                      <w:b w:val="0"/>
                      <w:bCs w:val="0"/>
                      <w:color w:val="auto"/>
                    </w:rPr>
                    <w:t>/</w:t>
                  </w:r>
                </w:p>
              </w:tc>
              <w:tc>
                <w:tcPr>
                  <w:tcW w:w="577" w:type="pct"/>
                  <w:vAlign w:val="center"/>
                </w:tcPr>
                <w:p w14:paraId="5578457F">
                  <w:pPr>
                    <w:jc w:val="center"/>
                    <w:rPr>
                      <w:b w:val="0"/>
                      <w:bCs w:val="0"/>
                      <w:color w:val="auto"/>
                    </w:rPr>
                  </w:pPr>
                  <w:r>
                    <w:rPr>
                      <w:rFonts w:hint="eastAsia"/>
                      <w:b w:val="0"/>
                      <w:bCs w:val="0"/>
                      <w:color w:val="auto"/>
                    </w:rPr>
                    <w:t>2</w:t>
                  </w:r>
                </w:p>
              </w:tc>
            </w:tr>
            <w:tr w14:paraId="5E0A44B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09D745E4">
                  <w:pPr>
                    <w:jc w:val="center"/>
                    <w:rPr>
                      <w:b w:val="0"/>
                      <w:bCs w:val="0"/>
                      <w:color w:val="auto"/>
                    </w:rPr>
                  </w:pPr>
                  <w:r>
                    <w:rPr>
                      <w:b w:val="0"/>
                      <w:bCs w:val="0"/>
                      <w:color w:val="auto"/>
                    </w:rPr>
                    <w:t>3</w:t>
                  </w:r>
                </w:p>
              </w:tc>
              <w:tc>
                <w:tcPr>
                  <w:tcW w:w="614" w:type="pct"/>
                  <w:vMerge w:val="continue"/>
                  <w:vAlign w:val="center"/>
                </w:tcPr>
                <w:p w14:paraId="38807AA9">
                  <w:pPr>
                    <w:jc w:val="center"/>
                    <w:rPr>
                      <w:b w:val="0"/>
                      <w:bCs w:val="0"/>
                      <w:color w:val="auto"/>
                    </w:rPr>
                  </w:pPr>
                </w:p>
              </w:tc>
              <w:tc>
                <w:tcPr>
                  <w:tcW w:w="737" w:type="pct"/>
                  <w:vMerge w:val="continue"/>
                  <w:vAlign w:val="center"/>
                </w:tcPr>
                <w:p w14:paraId="1C6DBA90">
                  <w:pPr>
                    <w:jc w:val="center"/>
                    <w:rPr>
                      <w:b w:val="0"/>
                      <w:bCs w:val="0"/>
                      <w:color w:val="auto"/>
                    </w:rPr>
                  </w:pPr>
                </w:p>
              </w:tc>
              <w:tc>
                <w:tcPr>
                  <w:tcW w:w="1707" w:type="pct"/>
                  <w:vAlign w:val="center"/>
                </w:tcPr>
                <w:p w14:paraId="24F49000">
                  <w:pPr>
                    <w:jc w:val="center"/>
                    <w:rPr>
                      <w:b w:val="0"/>
                      <w:bCs w:val="0"/>
                      <w:color w:val="auto"/>
                    </w:rPr>
                  </w:pPr>
                  <w:r>
                    <w:rPr>
                      <w:rFonts w:hint="eastAsia"/>
                      <w:b w:val="0"/>
                      <w:bCs w:val="0"/>
                      <w:color w:val="auto"/>
                    </w:rPr>
                    <w:t>数控车床</w:t>
                  </w:r>
                </w:p>
              </w:tc>
              <w:tc>
                <w:tcPr>
                  <w:tcW w:w="992" w:type="pct"/>
                  <w:vAlign w:val="center"/>
                </w:tcPr>
                <w:p w14:paraId="4DED74EC">
                  <w:pPr>
                    <w:jc w:val="center"/>
                    <w:rPr>
                      <w:b w:val="0"/>
                      <w:bCs w:val="0"/>
                      <w:color w:val="auto"/>
                    </w:rPr>
                  </w:pPr>
                  <w:r>
                    <w:rPr>
                      <w:rFonts w:hint="eastAsia"/>
                      <w:b w:val="0"/>
                      <w:bCs w:val="0"/>
                      <w:color w:val="auto"/>
                    </w:rPr>
                    <w:t>/</w:t>
                  </w:r>
                </w:p>
              </w:tc>
              <w:tc>
                <w:tcPr>
                  <w:tcW w:w="577" w:type="pct"/>
                  <w:vAlign w:val="center"/>
                </w:tcPr>
                <w:p w14:paraId="15098602">
                  <w:pPr>
                    <w:jc w:val="center"/>
                    <w:rPr>
                      <w:b w:val="0"/>
                      <w:bCs w:val="0"/>
                      <w:color w:val="auto"/>
                    </w:rPr>
                  </w:pPr>
                  <w:r>
                    <w:rPr>
                      <w:rFonts w:hint="eastAsia"/>
                      <w:b w:val="0"/>
                      <w:bCs w:val="0"/>
                      <w:color w:val="auto"/>
                    </w:rPr>
                    <w:t>2</w:t>
                  </w:r>
                </w:p>
              </w:tc>
            </w:tr>
            <w:tr w14:paraId="2EC2713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1A6A2F40">
                  <w:pPr>
                    <w:jc w:val="center"/>
                    <w:rPr>
                      <w:b w:val="0"/>
                      <w:bCs w:val="0"/>
                      <w:color w:val="auto"/>
                    </w:rPr>
                  </w:pPr>
                  <w:r>
                    <w:rPr>
                      <w:b w:val="0"/>
                      <w:bCs w:val="0"/>
                      <w:color w:val="auto"/>
                    </w:rPr>
                    <w:t>4</w:t>
                  </w:r>
                </w:p>
              </w:tc>
              <w:tc>
                <w:tcPr>
                  <w:tcW w:w="614" w:type="pct"/>
                  <w:vMerge w:val="continue"/>
                  <w:vAlign w:val="center"/>
                </w:tcPr>
                <w:p w14:paraId="55A91FED">
                  <w:pPr>
                    <w:jc w:val="center"/>
                    <w:rPr>
                      <w:b w:val="0"/>
                      <w:bCs w:val="0"/>
                      <w:color w:val="auto"/>
                    </w:rPr>
                  </w:pPr>
                </w:p>
              </w:tc>
              <w:tc>
                <w:tcPr>
                  <w:tcW w:w="737" w:type="pct"/>
                  <w:vMerge w:val="continue"/>
                  <w:vAlign w:val="center"/>
                </w:tcPr>
                <w:p w14:paraId="719EAC3B">
                  <w:pPr>
                    <w:jc w:val="center"/>
                    <w:rPr>
                      <w:b w:val="0"/>
                      <w:bCs w:val="0"/>
                      <w:color w:val="auto"/>
                    </w:rPr>
                  </w:pPr>
                </w:p>
              </w:tc>
              <w:tc>
                <w:tcPr>
                  <w:tcW w:w="1707" w:type="pct"/>
                  <w:vAlign w:val="center"/>
                </w:tcPr>
                <w:p w14:paraId="4E07E4E2">
                  <w:pPr>
                    <w:jc w:val="center"/>
                    <w:rPr>
                      <w:b w:val="0"/>
                      <w:bCs w:val="0"/>
                      <w:color w:val="auto"/>
                    </w:rPr>
                  </w:pPr>
                  <w:r>
                    <w:rPr>
                      <w:rFonts w:hint="eastAsia"/>
                      <w:b w:val="0"/>
                      <w:bCs w:val="0"/>
                      <w:color w:val="auto"/>
                    </w:rPr>
                    <w:t>加工中心</w:t>
                  </w:r>
                </w:p>
              </w:tc>
              <w:tc>
                <w:tcPr>
                  <w:tcW w:w="992" w:type="pct"/>
                  <w:vAlign w:val="center"/>
                </w:tcPr>
                <w:p w14:paraId="0B21F27B">
                  <w:pPr>
                    <w:jc w:val="center"/>
                    <w:rPr>
                      <w:b w:val="0"/>
                      <w:bCs w:val="0"/>
                      <w:color w:val="auto"/>
                    </w:rPr>
                  </w:pPr>
                  <w:r>
                    <w:rPr>
                      <w:rFonts w:hint="eastAsia"/>
                      <w:b w:val="0"/>
                      <w:bCs w:val="0"/>
                      <w:color w:val="auto"/>
                    </w:rPr>
                    <w:t>/</w:t>
                  </w:r>
                </w:p>
              </w:tc>
              <w:tc>
                <w:tcPr>
                  <w:tcW w:w="577" w:type="pct"/>
                  <w:vAlign w:val="center"/>
                </w:tcPr>
                <w:p w14:paraId="3CE8341D">
                  <w:pPr>
                    <w:jc w:val="center"/>
                    <w:rPr>
                      <w:b w:val="0"/>
                      <w:bCs w:val="0"/>
                      <w:color w:val="auto"/>
                    </w:rPr>
                  </w:pPr>
                  <w:r>
                    <w:rPr>
                      <w:rFonts w:hint="eastAsia"/>
                      <w:b w:val="0"/>
                      <w:bCs w:val="0"/>
                      <w:color w:val="auto"/>
                    </w:rPr>
                    <w:t>2</w:t>
                  </w:r>
                </w:p>
              </w:tc>
            </w:tr>
            <w:tr w14:paraId="09301CB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625F7FF2">
                  <w:pPr>
                    <w:jc w:val="center"/>
                    <w:rPr>
                      <w:b w:val="0"/>
                      <w:bCs w:val="0"/>
                      <w:color w:val="auto"/>
                    </w:rPr>
                  </w:pPr>
                  <w:r>
                    <w:rPr>
                      <w:b w:val="0"/>
                      <w:bCs w:val="0"/>
                      <w:color w:val="auto"/>
                    </w:rPr>
                    <w:t>5</w:t>
                  </w:r>
                </w:p>
              </w:tc>
              <w:tc>
                <w:tcPr>
                  <w:tcW w:w="614" w:type="pct"/>
                  <w:vMerge w:val="continue"/>
                  <w:vAlign w:val="center"/>
                </w:tcPr>
                <w:p w14:paraId="48AFC50B">
                  <w:pPr>
                    <w:jc w:val="center"/>
                    <w:rPr>
                      <w:b w:val="0"/>
                      <w:bCs w:val="0"/>
                      <w:color w:val="auto"/>
                    </w:rPr>
                  </w:pPr>
                </w:p>
              </w:tc>
              <w:tc>
                <w:tcPr>
                  <w:tcW w:w="737" w:type="pct"/>
                  <w:vAlign w:val="center"/>
                </w:tcPr>
                <w:p w14:paraId="0CB4B11E">
                  <w:pPr>
                    <w:jc w:val="center"/>
                    <w:rPr>
                      <w:b w:val="0"/>
                      <w:bCs w:val="0"/>
                      <w:color w:val="auto"/>
                    </w:rPr>
                  </w:pPr>
                  <w:r>
                    <w:rPr>
                      <w:rFonts w:hint="eastAsia"/>
                      <w:b w:val="0"/>
                      <w:bCs w:val="0"/>
                      <w:color w:val="auto"/>
                    </w:rPr>
                    <w:t>注脂</w:t>
                  </w:r>
                </w:p>
              </w:tc>
              <w:tc>
                <w:tcPr>
                  <w:tcW w:w="1707" w:type="pct"/>
                  <w:vAlign w:val="center"/>
                </w:tcPr>
                <w:p w14:paraId="55E82AF0">
                  <w:pPr>
                    <w:jc w:val="center"/>
                    <w:rPr>
                      <w:b w:val="0"/>
                      <w:bCs w:val="0"/>
                      <w:color w:val="auto"/>
                    </w:rPr>
                  </w:pPr>
                  <w:r>
                    <w:rPr>
                      <w:rFonts w:hint="eastAsia"/>
                      <w:b w:val="0"/>
                      <w:bCs w:val="0"/>
                      <w:color w:val="auto"/>
                    </w:rPr>
                    <w:t>注脂机</w:t>
                  </w:r>
                </w:p>
              </w:tc>
              <w:tc>
                <w:tcPr>
                  <w:tcW w:w="992" w:type="pct"/>
                  <w:vAlign w:val="center"/>
                </w:tcPr>
                <w:p w14:paraId="074A5831">
                  <w:pPr>
                    <w:jc w:val="center"/>
                    <w:rPr>
                      <w:b w:val="0"/>
                      <w:bCs w:val="0"/>
                      <w:color w:val="auto"/>
                    </w:rPr>
                  </w:pPr>
                  <w:r>
                    <w:rPr>
                      <w:rFonts w:hint="eastAsia"/>
                      <w:b w:val="0"/>
                      <w:bCs w:val="0"/>
                      <w:color w:val="auto"/>
                    </w:rPr>
                    <w:t>/</w:t>
                  </w:r>
                </w:p>
              </w:tc>
              <w:tc>
                <w:tcPr>
                  <w:tcW w:w="577" w:type="pct"/>
                  <w:vAlign w:val="center"/>
                </w:tcPr>
                <w:p w14:paraId="5AA0067A">
                  <w:pPr>
                    <w:jc w:val="center"/>
                    <w:rPr>
                      <w:b w:val="0"/>
                      <w:bCs w:val="0"/>
                      <w:color w:val="auto"/>
                    </w:rPr>
                  </w:pPr>
                  <w:r>
                    <w:rPr>
                      <w:rFonts w:hint="eastAsia"/>
                      <w:b w:val="0"/>
                      <w:bCs w:val="0"/>
                      <w:color w:val="auto"/>
                    </w:rPr>
                    <w:t>1</w:t>
                  </w:r>
                </w:p>
              </w:tc>
            </w:tr>
            <w:tr w14:paraId="34FC911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3D50773E">
                  <w:pPr>
                    <w:jc w:val="center"/>
                    <w:rPr>
                      <w:b w:val="0"/>
                      <w:bCs w:val="0"/>
                      <w:color w:val="auto"/>
                    </w:rPr>
                  </w:pPr>
                  <w:r>
                    <w:rPr>
                      <w:b w:val="0"/>
                      <w:bCs w:val="0"/>
                      <w:color w:val="auto"/>
                    </w:rPr>
                    <w:t>7</w:t>
                  </w:r>
                </w:p>
              </w:tc>
              <w:tc>
                <w:tcPr>
                  <w:tcW w:w="614" w:type="pct"/>
                  <w:vMerge w:val="continue"/>
                  <w:vAlign w:val="center"/>
                </w:tcPr>
                <w:p w14:paraId="7DA519FD">
                  <w:pPr>
                    <w:jc w:val="center"/>
                    <w:rPr>
                      <w:b w:val="0"/>
                      <w:bCs w:val="0"/>
                      <w:color w:val="auto"/>
                    </w:rPr>
                  </w:pPr>
                </w:p>
              </w:tc>
              <w:tc>
                <w:tcPr>
                  <w:tcW w:w="737" w:type="pct"/>
                  <w:vAlign w:val="center"/>
                </w:tcPr>
                <w:p w14:paraId="4396F76B">
                  <w:pPr>
                    <w:jc w:val="center"/>
                    <w:rPr>
                      <w:b w:val="0"/>
                      <w:bCs w:val="0"/>
                      <w:color w:val="auto"/>
                    </w:rPr>
                  </w:pPr>
                  <w:r>
                    <w:rPr>
                      <w:rFonts w:hint="eastAsia"/>
                      <w:b w:val="0"/>
                      <w:bCs w:val="0"/>
                      <w:color w:val="auto"/>
                    </w:rPr>
                    <w:t>检验</w:t>
                  </w:r>
                </w:p>
              </w:tc>
              <w:tc>
                <w:tcPr>
                  <w:tcW w:w="1707" w:type="pct"/>
                  <w:vAlign w:val="center"/>
                </w:tcPr>
                <w:p w14:paraId="70793BB7">
                  <w:pPr>
                    <w:jc w:val="center"/>
                    <w:rPr>
                      <w:b w:val="0"/>
                      <w:bCs w:val="0"/>
                      <w:color w:val="auto"/>
                    </w:rPr>
                  </w:pPr>
                  <w:r>
                    <w:rPr>
                      <w:rFonts w:hint="eastAsia"/>
                      <w:b w:val="0"/>
                      <w:bCs w:val="0"/>
                      <w:color w:val="auto"/>
                    </w:rPr>
                    <w:t>水压试验台</w:t>
                  </w:r>
                </w:p>
              </w:tc>
              <w:tc>
                <w:tcPr>
                  <w:tcW w:w="992" w:type="pct"/>
                  <w:vAlign w:val="center"/>
                </w:tcPr>
                <w:p w14:paraId="272F45B5">
                  <w:pPr>
                    <w:jc w:val="center"/>
                    <w:rPr>
                      <w:b w:val="0"/>
                      <w:bCs w:val="0"/>
                      <w:color w:val="auto"/>
                    </w:rPr>
                  </w:pPr>
                  <w:r>
                    <w:rPr>
                      <w:rFonts w:hint="eastAsia"/>
                      <w:b w:val="0"/>
                      <w:bCs w:val="0"/>
                      <w:color w:val="auto"/>
                    </w:rPr>
                    <w:t>/</w:t>
                  </w:r>
                </w:p>
              </w:tc>
              <w:tc>
                <w:tcPr>
                  <w:tcW w:w="577" w:type="pct"/>
                  <w:vAlign w:val="center"/>
                </w:tcPr>
                <w:p w14:paraId="50FB4F6B">
                  <w:pPr>
                    <w:jc w:val="center"/>
                    <w:rPr>
                      <w:b w:val="0"/>
                      <w:bCs w:val="0"/>
                      <w:color w:val="auto"/>
                    </w:rPr>
                  </w:pPr>
                  <w:r>
                    <w:rPr>
                      <w:rFonts w:hint="eastAsia"/>
                      <w:b w:val="0"/>
                      <w:bCs w:val="0"/>
                      <w:color w:val="auto"/>
                    </w:rPr>
                    <w:t>2</w:t>
                  </w:r>
                </w:p>
              </w:tc>
            </w:tr>
            <w:tr w14:paraId="53C0377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7EF22DE0">
                  <w:pPr>
                    <w:jc w:val="center"/>
                    <w:rPr>
                      <w:b w:val="0"/>
                      <w:bCs w:val="0"/>
                      <w:color w:val="auto"/>
                    </w:rPr>
                  </w:pPr>
                  <w:r>
                    <w:rPr>
                      <w:rFonts w:hint="eastAsia"/>
                      <w:b w:val="0"/>
                      <w:bCs w:val="0"/>
                      <w:color w:val="auto"/>
                    </w:rPr>
                    <w:t>8</w:t>
                  </w:r>
                </w:p>
              </w:tc>
              <w:tc>
                <w:tcPr>
                  <w:tcW w:w="614" w:type="pct"/>
                  <w:vMerge w:val="continue"/>
                  <w:vAlign w:val="center"/>
                </w:tcPr>
                <w:p w14:paraId="647DDA26">
                  <w:pPr>
                    <w:jc w:val="center"/>
                    <w:rPr>
                      <w:b w:val="0"/>
                      <w:bCs w:val="0"/>
                      <w:color w:val="auto"/>
                    </w:rPr>
                  </w:pPr>
                </w:p>
              </w:tc>
              <w:tc>
                <w:tcPr>
                  <w:tcW w:w="737" w:type="pct"/>
                  <w:vAlign w:val="center"/>
                </w:tcPr>
                <w:p w14:paraId="5BD875FE">
                  <w:pPr>
                    <w:jc w:val="center"/>
                    <w:rPr>
                      <w:b w:val="0"/>
                      <w:bCs w:val="0"/>
                      <w:color w:val="auto"/>
                    </w:rPr>
                  </w:pPr>
                  <w:r>
                    <w:rPr>
                      <w:rFonts w:hint="eastAsia"/>
                      <w:b w:val="0"/>
                      <w:bCs w:val="0"/>
                      <w:color w:val="auto"/>
                    </w:rPr>
                    <w:t>--</w:t>
                  </w:r>
                </w:p>
              </w:tc>
              <w:tc>
                <w:tcPr>
                  <w:tcW w:w="1707" w:type="pct"/>
                  <w:vAlign w:val="center"/>
                </w:tcPr>
                <w:p w14:paraId="3DCBA2C3">
                  <w:pPr>
                    <w:jc w:val="center"/>
                    <w:rPr>
                      <w:b w:val="0"/>
                      <w:bCs w:val="0"/>
                      <w:color w:val="auto"/>
                    </w:rPr>
                  </w:pPr>
                  <w:r>
                    <w:rPr>
                      <w:rFonts w:hint="eastAsia"/>
                      <w:b w:val="0"/>
                      <w:bCs w:val="0"/>
                      <w:color w:val="auto"/>
                    </w:rPr>
                    <w:t>轻便封闭式动力单元</w:t>
                  </w:r>
                </w:p>
              </w:tc>
              <w:tc>
                <w:tcPr>
                  <w:tcW w:w="992" w:type="pct"/>
                  <w:vAlign w:val="center"/>
                </w:tcPr>
                <w:p w14:paraId="4A9ACBF4">
                  <w:pPr>
                    <w:jc w:val="center"/>
                    <w:rPr>
                      <w:b w:val="0"/>
                      <w:bCs w:val="0"/>
                      <w:color w:val="auto"/>
                    </w:rPr>
                  </w:pPr>
                  <w:r>
                    <w:rPr>
                      <w:rFonts w:hint="eastAsia"/>
                      <w:b w:val="0"/>
                      <w:bCs w:val="0"/>
                      <w:color w:val="auto"/>
                    </w:rPr>
                    <w:t>/</w:t>
                  </w:r>
                </w:p>
              </w:tc>
              <w:tc>
                <w:tcPr>
                  <w:tcW w:w="577" w:type="pct"/>
                  <w:vAlign w:val="center"/>
                </w:tcPr>
                <w:p w14:paraId="0E46D1F0">
                  <w:pPr>
                    <w:jc w:val="center"/>
                    <w:rPr>
                      <w:b w:val="0"/>
                      <w:bCs w:val="0"/>
                      <w:color w:val="auto"/>
                    </w:rPr>
                  </w:pPr>
                  <w:r>
                    <w:rPr>
                      <w:rFonts w:hint="eastAsia"/>
                      <w:b w:val="0"/>
                      <w:bCs w:val="0"/>
                      <w:color w:val="auto"/>
                    </w:rPr>
                    <w:t>1</w:t>
                  </w:r>
                </w:p>
              </w:tc>
            </w:tr>
          </w:tbl>
          <w:p w14:paraId="72D1684C">
            <w:pPr>
              <w:pStyle w:val="119"/>
              <w:rPr>
                <w:color w:val="auto"/>
              </w:rPr>
            </w:pPr>
            <w:r>
              <w:rPr>
                <w:color w:val="auto"/>
              </w:rPr>
              <w:t>2.5公用工程</w:t>
            </w:r>
          </w:p>
          <w:p w14:paraId="6EEEFD36">
            <w:pPr>
              <w:pStyle w:val="119"/>
              <w:rPr>
                <w:color w:val="auto"/>
              </w:rPr>
            </w:pPr>
            <w:bookmarkStart w:id="10" w:name="_Toc31053"/>
            <w:r>
              <w:rPr>
                <w:color w:val="auto"/>
              </w:rPr>
              <w:t>2.5.1给排水</w:t>
            </w:r>
            <w:bookmarkEnd w:id="10"/>
          </w:p>
          <w:p w14:paraId="08DEA0B4">
            <w:pPr>
              <w:pStyle w:val="116"/>
              <w:ind w:firstLine="420"/>
              <w:rPr>
                <w:color w:val="auto"/>
              </w:rPr>
            </w:pPr>
            <w:r>
              <w:rPr>
                <w:rFonts w:hint="eastAsia"/>
                <w:color w:val="auto"/>
              </w:rPr>
              <w:t>现有工程</w:t>
            </w:r>
            <w:r>
              <w:rPr>
                <w:color w:val="auto"/>
              </w:rPr>
              <w:t>用水来自市政管网供水。</w:t>
            </w:r>
          </w:p>
          <w:p w14:paraId="38073E76">
            <w:pPr>
              <w:pStyle w:val="116"/>
              <w:ind w:firstLine="420"/>
              <w:rPr>
                <w:color w:val="auto"/>
              </w:rPr>
            </w:pPr>
            <w:r>
              <w:rPr>
                <w:color w:val="auto"/>
              </w:rPr>
              <w:t>给水：</w:t>
            </w:r>
            <w:r>
              <w:rPr>
                <w:rFonts w:hint="eastAsia"/>
                <w:color w:val="auto"/>
              </w:rPr>
              <w:t>现有工程</w:t>
            </w:r>
            <w:r>
              <w:rPr>
                <w:color w:val="auto"/>
              </w:rPr>
              <w:t>用水主要为厂区职工生活用水、乳化液配制用水</w:t>
            </w:r>
            <w:r>
              <w:rPr>
                <w:rFonts w:hint="eastAsia"/>
                <w:color w:val="auto"/>
              </w:rPr>
              <w:t>、冷却用水、</w:t>
            </w:r>
            <w:r>
              <w:rPr>
                <w:color w:val="auto"/>
              </w:rPr>
              <w:t>水压试验用水等。全厂新鲜水用量</w:t>
            </w:r>
            <w:r>
              <w:rPr>
                <w:rFonts w:hint="eastAsia"/>
                <w:color w:val="auto"/>
                <w:lang w:bidi="en-US"/>
              </w:rPr>
              <w:t>71.61</w:t>
            </w:r>
            <w:r>
              <w:rPr>
                <w:color w:val="auto"/>
                <w:lang w:bidi="en-US"/>
              </w:rPr>
              <w:t>m</w:t>
            </w:r>
            <w:r>
              <w:rPr>
                <w:rFonts w:hint="eastAsia"/>
                <w:color w:val="auto"/>
                <w:vertAlign w:val="superscript"/>
                <w:lang w:bidi="en-US"/>
              </w:rPr>
              <w:t>3</w:t>
            </w:r>
            <w:r>
              <w:rPr>
                <w:rFonts w:hint="eastAsia"/>
                <w:color w:val="auto"/>
                <w:lang w:bidi="en-US"/>
              </w:rPr>
              <w:t>/</w:t>
            </w:r>
            <w:r>
              <w:rPr>
                <w:color w:val="auto"/>
                <w:lang w:bidi="en-US"/>
              </w:rPr>
              <w:t>d</w:t>
            </w:r>
            <w:r>
              <w:rPr>
                <w:rFonts w:hint="eastAsia"/>
                <w:color w:val="auto"/>
                <w:lang w:bidi="en-US"/>
              </w:rPr>
              <w:t>，</w:t>
            </w:r>
            <w:r>
              <w:rPr>
                <w:color w:val="auto"/>
              </w:rPr>
              <w:t>循环水用量</w:t>
            </w:r>
            <w:r>
              <w:rPr>
                <w:rFonts w:hint="eastAsia"/>
                <w:color w:val="auto"/>
                <w:lang w:bidi="en-US"/>
              </w:rPr>
              <w:t>809</w:t>
            </w:r>
            <w:r>
              <w:rPr>
                <w:color w:val="auto"/>
                <w:lang w:bidi="en-US"/>
              </w:rPr>
              <w:t>m</w:t>
            </w:r>
            <w:r>
              <w:rPr>
                <w:color w:val="auto"/>
                <w:vertAlign w:val="superscript"/>
                <w:lang w:bidi="en-US"/>
              </w:rPr>
              <w:t>3</w:t>
            </w:r>
            <w:r>
              <w:rPr>
                <w:color w:val="auto"/>
                <w:lang w:bidi="en-US"/>
              </w:rPr>
              <w:t>/d</w:t>
            </w:r>
            <w:r>
              <w:rPr>
                <w:color w:val="auto"/>
              </w:rPr>
              <w:t>。</w:t>
            </w:r>
          </w:p>
          <w:p w14:paraId="73016EBA">
            <w:pPr>
              <w:pStyle w:val="116"/>
              <w:ind w:firstLine="420"/>
              <w:rPr>
                <w:color w:val="auto"/>
              </w:rPr>
            </w:pPr>
            <w:r>
              <w:rPr>
                <w:color w:val="auto"/>
              </w:rPr>
              <w:t>全厂主要生产、生活用水均为新鲜水，</w:t>
            </w:r>
            <w:r>
              <w:rPr>
                <w:rFonts w:hint="eastAsia"/>
                <w:color w:val="auto"/>
              </w:rPr>
              <w:t>按照建设单位提供的数据</w:t>
            </w:r>
            <w:r>
              <w:rPr>
                <w:color w:val="auto"/>
              </w:rPr>
              <w:t>，职工生活用水量为</w:t>
            </w:r>
            <w:r>
              <w:rPr>
                <w:rFonts w:hint="eastAsia"/>
                <w:color w:val="auto"/>
                <w:lang w:bidi="en-US"/>
              </w:rPr>
              <w:t>22</w:t>
            </w:r>
            <w:r>
              <w:rPr>
                <w:color w:val="auto"/>
                <w:lang w:bidi="en-US"/>
              </w:rPr>
              <w:t>m</w:t>
            </w:r>
            <w:r>
              <w:rPr>
                <w:rFonts w:hint="eastAsia"/>
                <w:color w:val="auto"/>
                <w:vertAlign w:val="superscript"/>
                <w:lang w:bidi="en-US"/>
              </w:rPr>
              <w:t>3</w:t>
            </w:r>
            <w:r>
              <w:rPr>
                <w:rFonts w:hint="eastAsia"/>
                <w:color w:val="auto"/>
                <w:lang w:bidi="en-US"/>
              </w:rPr>
              <w:t>/</w:t>
            </w:r>
            <w:r>
              <w:rPr>
                <w:color w:val="auto"/>
                <w:lang w:bidi="en-US"/>
              </w:rPr>
              <w:t>d；冲厕杂</w:t>
            </w:r>
            <w:r>
              <w:rPr>
                <w:color w:val="auto"/>
              </w:rPr>
              <w:t>用用水量为</w:t>
            </w:r>
            <w:r>
              <w:rPr>
                <w:color w:val="auto"/>
                <w:lang w:bidi="en-US"/>
              </w:rPr>
              <w:t>33m</w:t>
            </w:r>
            <w:r>
              <w:rPr>
                <w:rFonts w:hint="eastAsia"/>
                <w:color w:val="auto"/>
                <w:vertAlign w:val="superscript"/>
                <w:lang w:bidi="en-US"/>
              </w:rPr>
              <w:t>3</w:t>
            </w:r>
            <w:r>
              <w:rPr>
                <w:rFonts w:hint="eastAsia"/>
                <w:color w:val="auto"/>
                <w:lang w:bidi="en-US"/>
              </w:rPr>
              <w:t>/</w:t>
            </w:r>
            <w:r>
              <w:rPr>
                <w:color w:val="auto"/>
                <w:lang w:bidi="en-US"/>
              </w:rPr>
              <w:t>d；</w:t>
            </w:r>
            <w:r>
              <w:rPr>
                <w:color w:val="auto"/>
              </w:rPr>
              <w:t>水淬冷却水补水用量</w:t>
            </w:r>
            <w:r>
              <w:rPr>
                <w:rFonts w:hint="eastAsia"/>
                <w:color w:val="auto"/>
              </w:rPr>
              <w:t>10</w:t>
            </w:r>
            <w:r>
              <w:rPr>
                <w:color w:val="auto"/>
                <w:lang w:bidi="en-US"/>
              </w:rPr>
              <w:t>m</w:t>
            </w:r>
            <w:r>
              <w:rPr>
                <w:color w:val="auto"/>
                <w:vertAlign w:val="superscript"/>
                <w:lang w:bidi="en-US"/>
              </w:rPr>
              <w:t>3</w:t>
            </w:r>
            <w:r>
              <w:rPr>
                <w:color w:val="auto"/>
                <w:lang w:bidi="en-US"/>
              </w:rPr>
              <w:t>/d；</w:t>
            </w:r>
            <w:r>
              <w:rPr>
                <w:color w:val="auto"/>
              </w:rPr>
              <w:t>除磷工序水用量</w:t>
            </w:r>
            <w:r>
              <w:rPr>
                <w:rFonts w:hint="eastAsia"/>
                <w:color w:val="auto"/>
                <w:lang w:bidi="en-US"/>
              </w:rPr>
              <w:t>1</w:t>
            </w:r>
            <w:r>
              <w:rPr>
                <w:color w:val="auto"/>
                <w:lang w:bidi="en-US"/>
              </w:rPr>
              <w:t>m</w:t>
            </w:r>
            <w:r>
              <w:rPr>
                <w:color w:val="auto"/>
                <w:vertAlign w:val="superscript"/>
                <w:lang w:bidi="en-US"/>
              </w:rPr>
              <w:t>3</w:t>
            </w:r>
            <w:r>
              <w:rPr>
                <w:color w:val="auto"/>
                <w:lang w:bidi="en-US"/>
              </w:rPr>
              <w:t>/d</w:t>
            </w:r>
            <w:r>
              <w:rPr>
                <w:rFonts w:hint="eastAsia"/>
                <w:color w:val="auto"/>
                <w:lang w:bidi="en-US"/>
              </w:rPr>
              <w:t>；</w:t>
            </w:r>
            <w:r>
              <w:rPr>
                <w:color w:val="auto"/>
              </w:rPr>
              <w:t>液压机循环冷却水补水用量</w:t>
            </w:r>
            <w:r>
              <w:rPr>
                <w:rFonts w:hint="eastAsia"/>
                <w:color w:val="auto"/>
                <w:lang w:bidi="en-US"/>
              </w:rPr>
              <w:t>1</w:t>
            </w:r>
            <w:r>
              <w:rPr>
                <w:color w:val="auto"/>
                <w:lang w:bidi="en-US"/>
              </w:rPr>
              <w:t>m</w:t>
            </w:r>
            <w:r>
              <w:rPr>
                <w:color w:val="auto"/>
                <w:vertAlign w:val="superscript"/>
                <w:lang w:bidi="en-US"/>
              </w:rPr>
              <w:t>3</w:t>
            </w:r>
            <w:r>
              <w:rPr>
                <w:color w:val="auto"/>
                <w:lang w:bidi="en-US"/>
              </w:rPr>
              <w:t>/d</w:t>
            </w:r>
            <w:r>
              <w:rPr>
                <w:rFonts w:hint="eastAsia"/>
                <w:color w:val="auto"/>
                <w:lang w:bidi="en-US"/>
              </w:rPr>
              <w:t>；</w:t>
            </w:r>
            <w:r>
              <w:rPr>
                <w:color w:val="auto"/>
              </w:rPr>
              <w:t>绿化、乳化液配制用量分别为</w:t>
            </w:r>
            <w:r>
              <w:rPr>
                <w:color w:val="auto"/>
                <w:lang w:bidi="en-US"/>
              </w:rPr>
              <w:t>4m</w:t>
            </w:r>
            <w:r>
              <w:rPr>
                <w:rFonts w:hint="eastAsia"/>
                <w:color w:val="auto"/>
                <w:vertAlign w:val="superscript"/>
                <w:lang w:bidi="en-US"/>
              </w:rPr>
              <w:t>3</w:t>
            </w:r>
            <w:r>
              <w:rPr>
                <w:rFonts w:hint="eastAsia"/>
                <w:color w:val="auto"/>
                <w:lang w:bidi="en-US"/>
              </w:rPr>
              <w:t>/</w:t>
            </w:r>
            <w:r>
              <w:rPr>
                <w:color w:val="auto"/>
                <w:lang w:bidi="en-US"/>
              </w:rPr>
              <w:t>d、0.5m</w:t>
            </w:r>
            <w:r>
              <w:rPr>
                <w:color w:val="auto"/>
                <w:vertAlign w:val="superscript"/>
                <w:lang w:bidi="en-US"/>
              </w:rPr>
              <w:t>3</w:t>
            </w:r>
            <w:r>
              <w:rPr>
                <w:color w:val="auto"/>
                <w:lang w:bidi="en-US"/>
              </w:rPr>
              <w:t>/d</w:t>
            </w:r>
            <w:r>
              <w:rPr>
                <w:rFonts w:hint="eastAsia"/>
                <w:color w:val="auto"/>
                <w:lang w:bidi="en-US"/>
              </w:rPr>
              <w:t>，水压试验用水循环水补充量为0.01</w:t>
            </w:r>
            <w:r>
              <w:rPr>
                <w:color w:val="auto"/>
                <w:lang w:bidi="en-US"/>
              </w:rPr>
              <w:t>m</w:t>
            </w:r>
            <w:r>
              <w:rPr>
                <w:color w:val="auto"/>
                <w:vertAlign w:val="superscript"/>
                <w:lang w:bidi="en-US"/>
              </w:rPr>
              <w:t>3</w:t>
            </w:r>
            <w:r>
              <w:rPr>
                <w:color w:val="auto"/>
                <w:lang w:bidi="en-US"/>
              </w:rPr>
              <w:t>/d</w:t>
            </w:r>
            <w:r>
              <w:rPr>
                <w:rFonts w:hint="eastAsia"/>
                <w:color w:val="auto"/>
                <w:lang w:bidi="en-US"/>
              </w:rPr>
              <w:t>，</w:t>
            </w:r>
            <w:r>
              <w:rPr>
                <w:color w:val="auto"/>
                <w:lang w:bidi="en-US"/>
              </w:rPr>
              <w:t>喷淋塔用水循环冷却水补水量为</w:t>
            </w:r>
            <w:r>
              <w:rPr>
                <w:rFonts w:hint="eastAsia"/>
                <w:color w:val="auto"/>
                <w:lang w:bidi="en-US"/>
              </w:rPr>
              <w:t>0.1</w:t>
            </w:r>
            <w:r>
              <w:rPr>
                <w:color w:val="auto"/>
                <w:lang w:bidi="en-US"/>
              </w:rPr>
              <w:t xml:space="preserve"> m</w:t>
            </w:r>
            <w:r>
              <w:rPr>
                <w:color w:val="auto"/>
                <w:vertAlign w:val="superscript"/>
                <w:lang w:bidi="en-US"/>
              </w:rPr>
              <w:t>3</w:t>
            </w:r>
            <w:r>
              <w:rPr>
                <w:color w:val="auto"/>
                <w:lang w:bidi="en-US"/>
              </w:rPr>
              <w:t>/d</w:t>
            </w:r>
            <w:r>
              <w:rPr>
                <w:rFonts w:hint="eastAsia"/>
                <w:color w:val="auto"/>
                <w:lang w:bidi="en-US"/>
              </w:rPr>
              <w:t>。</w:t>
            </w:r>
          </w:p>
          <w:p w14:paraId="74761244">
            <w:pPr>
              <w:pStyle w:val="116"/>
              <w:ind w:firstLine="420"/>
              <w:rPr>
                <w:color w:val="auto"/>
              </w:rPr>
            </w:pPr>
            <w:r>
              <w:rPr>
                <w:color w:val="auto"/>
              </w:rPr>
              <w:t>排水：全厂主要排水环节有办公、生活污水，水淬冷却水、设备冷却水</w:t>
            </w:r>
            <w:r>
              <w:rPr>
                <w:rFonts w:hint="eastAsia"/>
                <w:color w:val="auto"/>
              </w:rPr>
              <w:t>、</w:t>
            </w:r>
            <w:r>
              <w:rPr>
                <w:color w:val="auto"/>
              </w:rPr>
              <w:t>水压试验用水等。其中，生活污水通过隔油、化粪池处理后产生量</w:t>
            </w:r>
            <w:r>
              <w:rPr>
                <w:color w:val="auto"/>
                <w:lang w:bidi="en-US"/>
              </w:rPr>
              <w:t>46m</w:t>
            </w:r>
            <w:r>
              <w:rPr>
                <w:rFonts w:hint="eastAsia"/>
                <w:color w:val="auto"/>
                <w:vertAlign w:val="superscript"/>
                <w:lang w:bidi="en-US"/>
              </w:rPr>
              <w:t>3</w:t>
            </w:r>
            <w:r>
              <w:rPr>
                <w:rFonts w:hint="eastAsia"/>
                <w:color w:val="auto"/>
                <w:lang w:bidi="en-US"/>
              </w:rPr>
              <w:t>/</w:t>
            </w:r>
            <w:r>
              <w:rPr>
                <w:color w:val="auto"/>
                <w:lang w:bidi="en-US"/>
              </w:rPr>
              <w:t>d</w:t>
            </w:r>
            <w:r>
              <w:rPr>
                <w:rFonts w:hint="eastAsia"/>
                <w:color w:val="auto"/>
                <w:lang w:bidi="en-US"/>
              </w:rPr>
              <w:t>，</w:t>
            </w:r>
            <w:r>
              <w:rPr>
                <w:color w:val="auto"/>
              </w:rPr>
              <w:t>经市政污水管网排入唐山市东北郊污水处理</w:t>
            </w:r>
            <w:r>
              <w:rPr>
                <w:color w:val="auto"/>
                <w:lang w:val="zh-CN" w:bidi="zh-CN"/>
              </w:rPr>
              <w:t>厂统</w:t>
            </w:r>
            <w:r>
              <w:rPr>
                <w:rFonts w:hint="eastAsia"/>
                <w:color w:val="auto"/>
                <w:lang w:bidi="zh-CN"/>
              </w:rPr>
              <w:t>一</w:t>
            </w:r>
            <w:r>
              <w:rPr>
                <w:color w:val="auto"/>
              </w:rPr>
              <w:t>处理</w:t>
            </w:r>
            <w:r>
              <w:rPr>
                <w:color w:val="auto"/>
                <w:lang w:bidi="en-US"/>
              </w:rPr>
              <w:t>；</w:t>
            </w:r>
            <w:r>
              <w:rPr>
                <w:color w:val="auto"/>
                <w:kern w:val="0"/>
              </w:rPr>
              <w:t>淬火冷却水经过沉淀处理后回用水淬工艺，不外排；精锻车间液压机配套设备冷却水全部循环使用，不外排；除磷工序用水经过沉淀处理后全部循环使用，不外排；水压试验用水</w:t>
            </w:r>
            <w:r>
              <w:rPr>
                <w:rFonts w:hint="eastAsia"/>
                <w:color w:val="auto"/>
                <w:kern w:val="0"/>
              </w:rPr>
              <w:t>、</w:t>
            </w:r>
            <w:r>
              <w:rPr>
                <w:color w:val="auto"/>
                <w:kern w:val="0"/>
              </w:rPr>
              <w:t>喷淋塔用水循环使用</w:t>
            </w:r>
            <w:r>
              <w:rPr>
                <w:rFonts w:hint="eastAsia"/>
                <w:color w:val="auto"/>
                <w:kern w:val="0"/>
              </w:rPr>
              <w:t>，</w:t>
            </w:r>
            <w:r>
              <w:rPr>
                <w:color w:val="auto"/>
                <w:kern w:val="0"/>
              </w:rPr>
              <w:t>不外排</w:t>
            </w:r>
            <w:r>
              <w:rPr>
                <w:rFonts w:hint="eastAsia"/>
                <w:color w:val="auto"/>
                <w:kern w:val="0"/>
              </w:rPr>
              <w:t>；</w:t>
            </w:r>
            <w:r>
              <w:rPr>
                <w:color w:val="auto"/>
              </w:rPr>
              <w:t>废乳化液作为危险废物委托</w:t>
            </w:r>
            <w:r>
              <w:rPr>
                <w:rFonts w:hint="eastAsia"/>
                <w:color w:val="auto"/>
              </w:rPr>
              <w:t>有资质单位</w:t>
            </w:r>
            <w:r>
              <w:rPr>
                <w:color w:val="auto"/>
              </w:rPr>
              <w:t>处理。</w:t>
            </w:r>
          </w:p>
          <w:p w14:paraId="5F1D6EB6">
            <w:pPr>
              <w:pStyle w:val="116"/>
              <w:ind w:firstLine="420"/>
              <w:rPr>
                <w:color w:val="auto"/>
              </w:rPr>
            </w:pPr>
          </w:p>
          <w:p w14:paraId="0DC46525">
            <w:pPr>
              <w:pStyle w:val="116"/>
              <w:ind w:firstLine="420"/>
              <w:rPr>
                <w:color w:val="auto"/>
              </w:rPr>
            </w:pPr>
          </w:p>
          <w:p w14:paraId="07CC7C04">
            <w:pPr>
              <w:pStyle w:val="116"/>
              <w:ind w:firstLine="420"/>
              <w:rPr>
                <w:color w:val="auto"/>
              </w:rPr>
            </w:pPr>
          </w:p>
          <w:p w14:paraId="6B8F8F19">
            <w:pPr>
              <w:pStyle w:val="116"/>
              <w:ind w:firstLine="420"/>
              <w:rPr>
                <w:color w:val="auto"/>
              </w:rPr>
            </w:pPr>
          </w:p>
          <w:p w14:paraId="01182CB6">
            <w:pPr>
              <w:pStyle w:val="116"/>
              <w:ind w:firstLine="420"/>
              <w:rPr>
                <w:color w:val="auto"/>
              </w:rPr>
            </w:pPr>
          </w:p>
          <w:p w14:paraId="2F17AE50">
            <w:pPr>
              <w:pStyle w:val="116"/>
              <w:ind w:firstLine="420"/>
              <w:rPr>
                <w:color w:val="auto"/>
              </w:rPr>
            </w:pPr>
          </w:p>
          <w:p w14:paraId="5AE3DA82">
            <w:pPr>
              <w:pStyle w:val="116"/>
              <w:ind w:firstLine="420"/>
              <w:rPr>
                <w:color w:val="auto"/>
              </w:rPr>
            </w:pPr>
          </w:p>
          <w:p w14:paraId="537E3AAE">
            <w:pPr>
              <w:pStyle w:val="116"/>
              <w:ind w:firstLine="420"/>
              <w:rPr>
                <w:color w:val="auto"/>
              </w:rPr>
            </w:pPr>
          </w:p>
          <w:p w14:paraId="6BC2EC91">
            <w:pPr>
              <w:pStyle w:val="116"/>
              <w:ind w:firstLine="420"/>
              <w:rPr>
                <w:color w:val="auto"/>
              </w:rPr>
            </w:pPr>
          </w:p>
          <w:p w14:paraId="6C83BD55">
            <w:pPr>
              <w:pStyle w:val="116"/>
              <w:ind w:firstLine="420"/>
              <w:rPr>
                <w:color w:val="auto"/>
              </w:rPr>
            </w:pPr>
          </w:p>
          <w:p w14:paraId="4C7809FF">
            <w:pPr>
              <w:pStyle w:val="116"/>
              <w:ind w:firstLine="420"/>
              <w:rPr>
                <w:color w:val="auto"/>
              </w:rPr>
            </w:pPr>
          </w:p>
          <w:p w14:paraId="178BE968">
            <w:pPr>
              <w:pStyle w:val="116"/>
              <w:ind w:firstLine="420"/>
              <w:rPr>
                <w:color w:val="auto"/>
              </w:rPr>
            </w:pPr>
          </w:p>
          <w:p w14:paraId="51C0425C">
            <w:pPr>
              <w:pStyle w:val="116"/>
              <w:ind w:firstLine="420"/>
              <w:rPr>
                <w:color w:val="auto"/>
              </w:rPr>
            </w:pPr>
          </w:p>
          <w:p w14:paraId="261FEA2B">
            <w:pPr>
              <w:pStyle w:val="116"/>
              <w:ind w:firstLine="420"/>
              <w:rPr>
                <w:color w:val="auto"/>
              </w:rPr>
            </w:pPr>
          </w:p>
          <w:p w14:paraId="1BDC43EC">
            <w:pPr>
              <w:pStyle w:val="116"/>
              <w:ind w:firstLine="420"/>
              <w:rPr>
                <w:color w:val="auto"/>
              </w:rPr>
            </w:pPr>
          </w:p>
          <w:p w14:paraId="72B5404B">
            <w:pPr>
              <w:pStyle w:val="8"/>
              <w:keepNext/>
              <w:ind w:firstLine="0" w:firstLineChars="0"/>
              <w:jc w:val="center"/>
              <w:rPr>
                <w:rFonts w:hint="eastAsia"/>
                <w:color w:val="auto"/>
              </w:rPr>
            </w:pPr>
            <w:r>
              <w:rPr>
                <w:rFonts w:hint="eastAsia"/>
                <w:color w:val="auto"/>
              </w:rPr>
              <w:object>
                <v:shape id="_x0000_i1028" o:spt="75" type="#_x0000_t75" style="height:438.05pt;width:346.55pt;" o:ole="t" filled="f" o:preferrelative="t" stroked="f" coordsize="21600,21600">
                  <v:path/>
                  <v:fill on="f" focussize="0,0"/>
                  <v:stroke on="f"/>
                  <v:imagedata r:id="rId18" o:title=""/>
                  <o:lock v:ext="edit" aspectratio="f"/>
                  <w10:wrap type="none"/>
                  <w10:anchorlock/>
                </v:shape>
                <o:OLEObject Type="Embed" ProgID="Visio.Drawing.11" ShapeID="_x0000_i1028" DrawAspect="Content" ObjectID="_1468075728" r:id="rId17">
                  <o:LockedField>false</o:LockedField>
                </o:OLEObject>
              </w:object>
            </w:r>
          </w:p>
          <w:p w14:paraId="7CEB09D8">
            <w:pPr>
              <w:pStyle w:val="8"/>
              <w:keepNext/>
              <w:ind w:firstLine="0" w:firstLineChars="0"/>
              <w:jc w:val="center"/>
              <w:rPr>
                <w:color w:val="auto"/>
              </w:rPr>
            </w:pPr>
            <w:r>
              <w:rPr>
                <w:rFonts w:hint="eastAsia"/>
                <w:color w:val="auto"/>
              </w:rPr>
              <w:t>图2</w:t>
            </w:r>
            <w:r>
              <w:rPr>
                <w:rFonts w:hint="eastAsia"/>
                <w:color w:val="auto"/>
                <w:lang w:eastAsia="zh-CN"/>
              </w:rPr>
              <w:t>-</w:t>
            </w:r>
            <w:r>
              <w:rPr>
                <w:rFonts w:hint="eastAsia"/>
                <w:color w:val="auto"/>
                <w:lang w:val="en-US" w:eastAsia="zh-CN"/>
              </w:rPr>
              <w:t>4</w:t>
            </w:r>
            <w:r>
              <w:rPr>
                <w:color w:val="auto"/>
              </w:rPr>
              <w:t>现有工程全厂水平衡图</w:t>
            </w:r>
            <w:r>
              <w:rPr>
                <w:rFonts w:hint="eastAsia"/>
                <w:color w:val="auto"/>
              </w:rPr>
              <w:t xml:space="preserve">  </w:t>
            </w:r>
            <w:r>
              <w:rPr>
                <w:bCs/>
                <w:color w:val="auto"/>
                <w:kern w:val="0"/>
              </w:rPr>
              <w:t>单位m</w:t>
            </w:r>
            <w:r>
              <w:rPr>
                <w:bCs/>
                <w:color w:val="auto"/>
                <w:kern w:val="0"/>
                <w:vertAlign w:val="superscript"/>
              </w:rPr>
              <w:t>3</w:t>
            </w:r>
            <w:r>
              <w:rPr>
                <w:bCs/>
                <w:color w:val="auto"/>
                <w:kern w:val="0"/>
              </w:rPr>
              <w:t>/d</w:t>
            </w:r>
          </w:p>
          <w:p w14:paraId="6815029B">
            <w:pPr>
              <w:pStyle w:val="119"/>
              <w:spacing w:beforeLines="50"/>
              <w:rPr>
                <w:color w:val="auto"/>
              </w:rPr>
            </w:pPr>
            <w:bookmarkStart w:id="11" w:name="_Toc230071871"/>
            <w:bookmarkStart w:id="12" w:name="_Toc26072"/>
            <w:r>
              <w:rPr>
                <w:color w:val="auto"/>
              </w:rPr>
              <w:t>2.5.2供电及供</w:t>
            </w:r>
            <w:r>
              <w:rPr>
                <w:rFonts w:hint="eastAsia"/>
                <w:color w:val="auto"/>
              </w:rPr>
              <w:t>暖</w:t>
            </w:r>
            <w:r>
              <w:rPr>
                <w:color w:val="auto"/>
              </w:rPr>
              <w:t>系统</w:t>
            </w:r>
            <w:bookmarkEnd w:id="11"/>
            <w:bookmarkEnd w:id="12"/>
          </w:p>
          <w:p w14:paraId="1A6D9ED1">
            <w:pPr>
              <w:adjustRightInd w:val="0"/>
              <w:snapToGrid w:val="0"/>
              <w:spacing w:line="360" w:lineRule="auto"/>
              <w:ind w:firstLine="440" w:firstLineChars="200"/>
              <w:rPr>
                <w:color w:val="auto"/>
                <w:spacing w:val="5"/>
                <w:szCs w:val="21"/>
              </w:rPr>
            </w:pPr>
            <w:r>
              <w:rPr>
                <w:color w:val="auto"/>
                <w:spacing w:val="5"/>
                <w:szCs w:val="21"/>
              </w:rPr>
              <w:t>（1）供电</w:t>
            </w:r>
            <w:r>
              <w:rPr>
                <w:rFonts w:hint="eastAsia"/>
                <w:color w:val="auto"/>
                <w:spacing w:val="5"/>
                <w:szCs w:val="21"/>
              </w:rPr>
              <w:t>：唐山高新技术产业园内现有两座110千伏变电站，为入驻企业提供电力。现有工程电源由产业园区变电站提供10kV电源，由该厂区东北角进线，埋地敷设至厂区开闭所，再配送至各用电车间及部门内的变配电室。</w:t>
            </w:r>
          </w:p>
          <w:p w14:paraId="6153FC5F">
            <w:pPr>
              <w:adjustRightInd w:val="0"/>
              <w:snapToGrid w:val="0"/>
              <w:spacing w:line="360" w:lineRule="auto"/>
              <w:ind w:firstLine="440" w:firstLineChars="200"/>
              <w:rPr>
                <w:color w:val="auto"/>
                <w:spacing w:val="5"/>
                <w:szCs w:val="21"/>
              </w:rPr>
            </w:pPr>
            <w:r>
              <w:rPr>
                <w:rFonts w:hint="eastAsia"/>
                <w:color w:val="auto"/>
                <w:spacing w:val="5"/>
                <w:szCs w:val="21"/>
              </w:rPr>
              <w:t>（2）供暖：厂区内各厂房建筑内釆暖由唐山高新技术产业园集中供热系统提供热源，热媒为</w:t>
            </w:r>
            <w:r>
              <w:rPr>
                <w:color w:val="auto"/>
                <w:spacing w:val="5"/>
                <w:szCs w:val="21"/>
              </w:rPr>
              <w:t>95/70</w:t>
            </w:r>
            <w:r>
              <w:rPr>
                <w:rFonts w:hint="eastAsia"/>
                <w:color w:val="auto"/>
                <w:spacing w:val="5"/>
                <w:szCs w:val="21"/>
                <w:lang w:eastAsia="zh-CN"/>
              </w:rPr>
              <w:t>°C</w:t>
            </w:r>
            <w:r>
              <w:rPr>
                <w:rFonts w:hint="eastAsia"/>
                <w:color w:val="auto"/>
                <w:spacing w:val="5"/>
                <w:szCs w:val="21"/>
              </w:rPr>
              <w:t>热水。</w:t>
            </w:r>
          </w:p>
          <w:p w14:paraId="6DBAC1E1">
            <w:pPr>
              <w:pStyle w:val="119"/>
              <w:rPr>
                <w:color w:val="auto"/>
              </w:rPr>
            </w:pPr>
            <w:r>
              <w:rPr>
                <w:color w:val="auto"/>
              </w:rPr>
              <w:t>2.</w:t>
            </w:r>
            <w:r>
              <w:rPr>
                <w:rFonts w:hint="eastAsia"/>
                <w:color w:val="auto"/>
              </w:rPr>
              <w:t>6</w:t>
            </w:r>
            <w:r>
              <w:rPr>
                <w:color w:val="auto"/>
              </w:rPr>
              <w:t>工艺流程及排污节点</w:t>
            </w:r>
          </w:p>
          <w:p w14:paraId="2E2B1C2F">
            <w:pPr>
              <w:pStyle w:val="116"/>
              <w:ind w:firstLine="420"/>
              <w:rPr>
                <w:color w:val="auto"/>
              </w:rPr>
            </w:pPr>
            <w:r>
              <w:rPr>
                <w:rFonts w:hint="eastAsia"/>
                <w:color w:val="auto"/>
              </w:rPr>
              <w:t>（1）大型模锻件</w:t>
            </w:r>
          </w:p>
          <w:p w14:paraId="0D1606DC">
            <w:pPr>
              <w:pStyle w:val="116"/>
              <w:ind w:firstLine="420"/>
              <w:rPr>
                <w:color w:val="auto"/>
              </w:rPr>
            </w:pPr>
            <w:r>
              <w:rPr>
                <w:rFonts w:hint="eastAsia"/>
                <w:color w:val="auto"/>
              </w:rPr>
              <w:t>生产工艺流程简述：</w:t>
            </w:r>
          </w:p>
          <w:p w14:paraId="2567F936">
            <w:pPr>
              <w:pStyle w:val="116"/>
              <w:ind w:firstLine="420"/>
              <w:rPr>
                <w:color w:val="auto"/>
              </w:rPr>
            </w:pPr>
            <w:r>
              <w:rPr>
                <w:rFonts w:hint="eastAsia"/>
                <w:color w:val="auto"/>
              </w:rPr>
              <w:t>将钢材等原材料根据锻件规格尺寸切割下料，切割后的坯料进入加热炉高温加热，以提高其可塑性，高温加热后的工件进入湿式除磷工序去除表层氧化皮，后进入锻造工序，锻造后的工件经过加热炉及淬火系统热处理后，通过抛丸工序去除表面的污物、氧化皮等，后经过机加工成型，之后对组装工件注脂，注脂后的工件经过水压实验检验密封性后进入喷涂工序，采用静电喷涂的方法在工件表面喷涂塑粉，后工件进入固化炉烘干固化，固化后的工件经检验合格后，即为模锻件成品。</w:t>
            </w:r>
          </w:p>
          <w:p w14:paraId="73ABC0D8">
            <w:pPr>
              <w:pStyle w:val="116"/>
              <w:ind w:firstLine="422"/>
              <w:rPr>
                <w:color w:val="auto"/>
              </w:rPr>
            </w:pPr>
            <w:r>
              <w:rPr>
                <w:rFonts w:hint="eastAsia"/>
                <w:b/>
                <w:color w:val="auto"/>
              </w:rPr>
              <w:t>现有工程模锻件生产产排污环节</w:t>
            </w:r>
            <w:r>
              <w:rPr>
                <w:rFonts w:hint="eastAsia"/>
                <w:color w:val="auto"/>
              </w:rPr>
              <w:t>主要包括：废气：下料过程产生的边角料及粉尘，抛丸工序产生的粉尘，喷塑工序产生的粉尘，固化工序产生的固化废气；废水：湿式除磷产生的除磷废水，锻压设备冷却废水，水压试验过程产生的废水；固体废物：一般固废：湿式除磷过程废水沉淀过滤产生的金属氧化物沉渣，锻造过程产生的锻造废渣，锻造模具处理过程产生的氧化铁皮，抛丸工序产生的废钢丸、氧化铁屑，布袋除尘器产生的除尘灰及废滤袋，喷塑工序布袋除尘器产生的除尘灰及废滤袋；危险废物：工件精加工过程产生的废金属屑（含油）、废润滑油、废液压油、废油桶、废乳化液、含油抹布，固化工序干式过滤+两级活性炭吸附装置产生的废滤芯及废活性炭。噪声：设备运行噪声。</w:t>
            </w:r>
          </w:p>
          <w:p w14:paraId="2EC808E0">
            <w:pPr>
              <w:pStyle w:val="116"/>
              <w:spacing w:line="360" w:lineRule="auto"/>
              <w:ind w:firstLine="420"/>
              <w:rPr>
                <w:color w:val="auto"/>
              </w:rPr>
            </w:pPr>
            <w:r>
              <w:rPr>
                <w:rFonts w:hint="eastAsia"/>
                <w:color w:val="auto"/>
              </w:rPr>
              <w:t>（2）重型装备</w:t>
            </w:r>
          </w:p>
          <w:p w14:paraId="68312D12">
            <w:pPr>
              <w:pStyle w:val="116"/>
              <w:spacing w:line="360" w:lineRule="auto"/>
              <w:ind w:firstLine="420"/>
              <w:rPr>
                <w:color w:val="auto"/>
              </w:rPr>
            </w:pPr>
            <w:r>
              <w:rPr>
                <w:rFonts w:hint="eastAsia"/>
                <w:color w:val="auto"/>
              </w:rPr>
              <w:t>生产工艺流程简述：</w:t>
            </w:r>
          </w:p>
          <w:p w14:paraId="3309D1D6">
            <w:pPr>
              <w:pStyle w:val="116"/>
              <w:spacing w:line="360" w:lineRule="auto"/>
              <w:ind w:firstLine="420"/>
              <w:rPr>
                <w:color w:val="auto"/>
              </w:rPr>
            </w:pPr>
            <w:r>
              <w:rPr>
                <w:rFonts w:hint="eastAsia"/>
                <w:color w:val="auto"/>
              </w:rPr>
              <w:t>将钢材等原材料根据要求规格尺寸切割下料，切割后的坯料进入加热炉高温加热，使用成型设备将工件加工成型，配对、焊接，将焊接后的半成品工件放入加热炉高温加热，后置入淬火炉中水冷淬火，再置入回火炉中回火，根据规格要求将热处理后的半成品进行机械精加工，将加工后的各部分工件进行组装</w:t>
            </w:r>
            <w:r>
              <w:rPr>
                <w:rFonts w:hint="eastAsia"/>
                <w:color w:val="auto"/>
                <w:lang w:eastAsia="zh-CN"/>
              </w:rPr>
              <w:t>、</w:t>
            </w:r>
            <w:r>
              <w:rPr>
                <w:rFonts w:hint="eastAsia"/>
                <w:color w:val="auto"/>
              </w:rPr>
              <w:t>调试</w:t>
            </w:r>
            <w:r>
              <w:rPr>
                <w:rFonts w:hint="eastAsia"/>
                <w:color w:val="auto"/>
                <w:lang w:val="en-US" w:eastAsia="zh-CN"/>
              </w:rPr>
              <w:t>后</w:t>
            </w:r>
            <w:r>
              <w:rPr>
                <w:rFonts w:hint="eastAsia"/>
                <w:color w:val="auto"/>
              </w:rPr>
              <w:t>，使用吊车将装配调试后的装备置于通过式抛丸机辊道上，通过辊道将装备输送通过抛丸机，待抛丸的装备尺寸范围为1.5×2×（1.5~10）m，抛丸机内的钢丸通过螺旋输送及提升系统在抛丸室内不断循环，高速击打装备表面，以清理去除装备表面的锈蚀、污物、氧化皮等，同时消除装备钢结构的焊接内应力，提高构件的抗疲劳强度，增加构件表面的涂料着附力，最终达到提高装备表面及内在质量的目的。</w:t>
            </w:r>
            <w:r>
              <w:rPr>
                <w:rFonts w:hint="eastAsia"/>
                <w:color w:val="auto"/>
                <w:lang w:val="en-US" w:eastAsia="zh-CN"/>
              </w:rPr>
              <w:t>然后</w:t>
            </w:r>
            <w:r>
              <w:rPr>
                <w:rFonts w:hint="eastAsia"/>
                <w:color w:val="auto"/>
              </w:rPr>
              <w:t>表面进行静电喷粉，后进入固化炉固化烘干，固化后的装备经检验合格后，即为成品。</w:t>
            </w:r>
          </w:p>
          <w:p w14:paraId="57F65567">
            <w:pPr>
              <w:pStyle w:val="116"/>
              <w:spacing w:line="360" w:lineRule="auto"/>
              <w:ind w:firstLine="422"/>
              <w:rPr>
                <w:color w:val="auto"/>
              </w:rPr>
            </w:pPr>
            <w:r>
              <w:rPr>
                <w:rFonts w:hint="eastAsia"/>
                <w:b/>
                <w:color w:val="auto"/>
              </w:rPr>
              <w:t>现有工程重型装备生产产排污环节</w:t>
            </w:r>
            <w:r>
              <w:rPr>
                <w:rFonts w:hint="eastAsia"/>
                <w:color w:val="auto"/>
              </w:rPr>
              <w:t>主要包括：废气：下料过程产生的边角料及粉尘，焊接过程产生的焊接烟气，抛丸工序产生的废气</w:t>
            </w:r>
            <w:r>
              <w:rPr>
                <w:rFonts w:hint="eastAsia"/>
                <w:color w:val="auto"/>
                <w:lang w:eastAsia="zh-CN"/>
              </w:rPr>
              <w:t>，</w:t>
            </w:r>
            <w:r>
              <w:rPr>
                <w:rFonts w:hint="eastAsia"/>
                <w:color w:val="auto"/>
              </w:rPr>
              <w:t>喷塑工序产生的粉尘，固化工序产生的固化废气；废水：淬火工序产生的冷却废水；固体废物：一般固废：精加工过程产生的废边角料，抛丸工序产生的废钢丸、氧化铁屑</w:t>
            </w:r>
            <w:r>
              <w:rPr>
                <w:rFonts w:hint="eastAsia"/>
                <w:color w:val="auto"/>
                <w:lang w:eastAsia="zh-CN"/>
              </w:rPr>
              <w:t>，</w:t>
            </w:r>
            <w:r>
              <w:rPr>
                <w:rFonts w:hint="eastAsia"/>
                <w:color w:val="auto"/>
              </w:rPr>
              <w:t>喷塑工序布袋除尘器产生的除尘灰及废滤袋；危险废物：工件精加工过程产生的废金属屑（含油）、废乳化液、废润滑油、废液压油、废油桶、废油毡、废含油抹布、干式过滤+两级活性炭吸附装置产生的废滤芯及废活性炭。噪声：设备运行噪声。</w:t>
            </w:r>
          </w:p>
          <w:p w14:paraId="72544979">
            <w:pPr>
              <w:pStyle w:val="116"/>
              <w:ind w:firstLine="420"/>
              <w:rPr>
                <w:rFonts w:hint="eastAsia"/>
                <w:color w:val="auto"/>
              </w:rPr>
            </w:pPr>
            <w:r>
              <w:rPr>
                <w:rFonts w:hint="eastAsia"/>
                <w:color w:val="auto"/>
              </w:rPr>
              <w:t>现有工程</w:t>
            </w:r>
            <w:r>
              <w:rPr>
                <w:color w:val="auto"/>
              </w:rPr>
              <w:t>生产工艺流程及排污节点如下图所示</w:t>
            </w:r>
            <w:r>
              <w:rPr>
                <w:rFonts w:hint="eastAsia"/>
                <w:color w:val="auto"/>
              </w:rPr>
              <w:t>：</w:t>
            </w:r>
          </w:p>
          <w:p w14:paraId="2E6CC066">
            <w:pPr>
              <w:pStyle w:val="116"/>
              <w:ind w:firstLine="420"/>
              <w:rPr>
                <w:rFonts w:hint="eastAsia"/>
                <w:color w:val="auto"/>
              </w:rPr>
            </w:pPr>
          </w:p>
          <w:p w14:paraId="72BBDD42">
            <w:pPr>
              <w:pStyle w:val="116"/>
              <w:ind w:firstLine="420"/>
              <w:rPr>
                <w:rFonts w:hint="eastAsia"/>
                <w:color w:val="auto"/>
              </w:rPr>
            </w:pPr>
          </w:p>
          <w:p w14:paraId="4A469E24">
            <w:pPr>
              <w:pStyle w:val="116"/>
              <w:ind w:firstLine="0" w:firstLineChars="0"/>
              <w:jc w:val="center"/>
              <w:rPr>
                <w:color w:val="auto"/>
              </w:rPr>
            </w:pPr>
            <w:r>
              <w:rPr>
                <w:color w:val="auto"/>
              </w:rPr>
              <w:object>
                <v:shape id="_x0000_i1029" o:spt="75" type="#_x0000_t75" style="height:502.45pt;width:376.2pt;" o:ole="t" filled="f" o:preferrelative="t" stroked="f" coordsize="21600,21600">
                  <v:path/>
                  <v:fill on="f" focussize="0,0"/>
                  <v:stroke on="f"/>
                  <v:imagedata r:id="rId20" o:title=""/>
                  <o:lock v:ext="edit" aspectratio="f"/>
                  <w10:wrap type="none"/>
                  <w10:anchorlock/>
                </v:shape>
                <o:OLEObject Type="Embed" ProgID="Visio.Drawing.11" ShapeID="_x0000_i1029" DrawAspect="Content" ObjectID="_1468075729" r:id="rId19">
                  <o:LockedField>false</o:LockedField>
                </o:OLEObject>
              </w:object>
            </w:r>
          </w:p>
          <w:p w14:paraId="72C9BC8B">
            <w:pPr>
              <w:pStyle w:val="10"/>
              <w:rPr>
                <w:color w:val="auto"/>
              </w:rPr>
            </w:pPr>
            <w:r>
              <w:rPr>
                <w:rFonts w:hint="eastAsia"/>
                <w:color w:val="auto"/>
              </w:rPr>
              <w:t>图2</w:t>
            </w:r>
            <w:r>
              <w:rPr>
                <w:rFonts w:hint="eastAsia"/>
                <w:color w:val="auto"/>
                <w:lang w:eastAsia="zh-CN"/>
              </w:rPr>
              <w:t>-</w:t>
            </w:r>
            <w:r>
              <w:rPr>
                <w:rFonts w:hint="eastAsia"/>
                <w:color w:val="auto"/>
                <w:lang w:val="en-US" w:eastAsia="zh-CN"/>
              </w:rPr>
              <w:t>5</w:t>
            </w:r>
            <w:r>
              <w:rPr>
                <w:rFonts w:hint="eastAsia"/>
                <w:color w:val="auto"/>
                <w:szCs w:val="21"/>
              </w:rPr>
              <w:t>现有工程大型模锻件</w:t>
            </w:r>
            <w:r>
              <w:rPr>
                <w:color w:val="auto"/>
                <w:szCs w:val="21"/>
              </w:rPr>
              <w:t>生产工艺流程及排污节点图</w:t>
            </w:r>
          </w:p>
          <w:p w14:paraId="411BA641">
            <w:pPr>
              <w:pStyle w:val="116"/>
              <w:spacing w:line="360" w:lineRule="auto"/>
              <w:ind w:firstLine="420"/>
              <w:rPr>
                <w:rFonts w:hint="eastAsia"/>
                <w:color w:val="auto"/>
              </w:rPr>
            </w:pPr>
          </w:p>
          <w:p w14:paraId="2894E78C">
            <w:pPr>
              <w:pStyle w:val="116"/>
              <w:spacing w:line="360" w:lineRule="auto"/>
              <w:ind w:firstLine="420"/>
              <w:rPr>
                <w:rFonts w:hint="eastAsia"/>
                <w:color w:val="auto"/>
              </w:rPr>
            </w:pPr>
          </w:p>
          <w:p w14:paraId="335B8A11">
            <w:pPr>
              <w:pStyle w:val="116"/>
              <w:spacing w:line="360" w:lineRule="auto"/>
              <w:ind w:firstLine="420"/>
              <w:rPr>
                <w:rFonts w:hint="eastAsia"/>
                <w:color w:val="auto"/>
              </w:rPr>
            </w:pPr>
          </w:p>
          <w:p w14:paraId="562B1E3F">
            <w:pPr>
              <w:pStyle w:val="116"/>
              <w:spacing w:line="360" w:lineRule="auto"/>
              <w:ind w:firstLine="420"/>
              <w:rPr>
                <w:rFonts w:hint="eastAsia"/>
                <w:color w:val="auto"/>
              </w:rPr>
            </w:pPr>
          </w:p>
          <w:p w14:paraId="0CB4C4A1">
            <w:pPr>
              <w:pStyle w:val="116"/>
              <w:spacing w:line="360" w:lineRule="auto"/>
              <w:ind w:firstLine="420"/>
              <w:rPr>
                <w:rFonts w:hint="eastAsia"/>
                <w:color w:val="auto"/>
              </w:rPr>
            </w:pPr>
          </w:p>
          <w:p w14:paraId="37EF2805">
            <w:pPr>
              <w:pStyle w:val="116"/>
              <w:spacing w:line="360" w:lineRule="auto"/>
              <w:ind w:firstLine="420"/>
              <w:rPr>
                <w:rFonts w:hint="eastAsia"/>
                <w:color w:val="auto"/>
              </w:rPr>
            </w:pPr>
          </w:p>
          <w:p w14:paraId="6A349636">
            <w:pPr>
              <w:pStyle w:val="116"/>
              <w:spacing w:line="360" w:lineRule="auto"/>
              <w:ind w:firstLine="420"/>
              <w:rPr>
                <w:rFonts w:hint="eastAsia"/>
                <w:color w:val="auto"/>
              </w:rPr>
            </w:pPr>
          </w:p>
          <w:p w14:paraId="6478FA90">
            <w:pPr>
              <w:pStyle w:val="116"/>
              <w:spacing w:line="360" w:lineRule="auto"/>
              <w:ind w:firstLine="420"/>
              <w:rPr>
                <w:rFonts w:hint="eastAsia"/>
                <w:color w:val="auto"/>
              </w:rPr>
            </w:pPr>
          </w:p>
          <w:p w14:paraId="7A387665">
            <w:pPr>
              <w:pStyle w:val="103"/>
              <w:keepNext/>
              <w:spacing w:afterLines="100"/>
              <w:ind w:firstLine="0"/>
              <w:jc w:val="center"/>
              <w:rPr>
                <w:color w:val="auto"/>
              </w:rPr>
            </w:pPr>
            <w:r>
              <w:rPr>
                <w:color w:val="auto"/>
              </w:rPr>
              <w:object>
                <v:shape id="_x0000_i1030" o:spt="75" type="#_x0000_t75" style="height:529.8pt;width:202.9pt;" o:ole="t" filled="f" o:preferrelative="t" stroked="f" coordsize="21600,21600">
                  <v:path/>
                  <v:fill on="f" focussize="0,0"/>
                  <v:stroke on="f"/>
                  <v:imagedata r:id="rId22" o:title=""/>
                  <o:lock v:ext="edit" aspectratio="t"/>
                  <w10:wrap type="none"/>
                  <w10:anchorlock/>
                </v:shape>
                <o:OLEObject Type="Embed" ProgID="Visio.Drawing.11" ShapeID="_x0000_i1030" DrawAspect="Content" ObjectID="_1468075730" r:id="rId21">
                  <o:LockedField>false</o:LockedField>
                </o:OLEObject>
              </w:object>
            </w:r>
          </w:p>
          <w:p w14:paraId="34C60C52">
            <w:pPr>
              <w:pStyle w:val="10"/>
              <w:rPr>
                <w:color w:val="auto"/>
              </w:rPr>
            </w:pPr>
            <w:r>
              <w:rPr>
                <w:rFonts w:hint="eastAsia"/>
                <w:color w:val="auto"/>
              </w:rPr>
              <w:t>图2</w:t>
            </w:r>
            <w:r>
              <w:rPr>
                <w:rFonts w:hint="eastAsia"/>
                <w:color w:val="auto"/>
                <w:lang w:eastAsia="zh-CN"/>
              </w:rPr>
              <w:t>-</w:t>
            </w:r>
            <w:r>
              <w:rPr>
                <w:rFonts w:hint="eastAsia"/>
                <w:color w:val="auto"/>
                <w:lang w:val="en-US" w:eastAsia="zh-CN"/>
              </w:rPr>
              <w:t>6</w:t>
            </w:r>
            <w:r>
              <w:rPr>
                <w:rFonts w:hint="eastAsia"/>
                <w:color w:val="auto"/>
                <w:szCs w:val="21"/>
              </w:rPr>
              <w:t>现有工程重型装备</w:t>
            </w:r>
            <w:r>
              <w:rPr>
                <w:color w:val="auto"/>
                <w:szCs w:val="21"/>
              </w:rPr>
              <w:t>生产工艺流程及排污节点图</w:t>
            </w:r>
          </w:p>
          <w:p w14:paraId="369A454D">
            <w:pPr>
              <w:pStyle w:val="122"/>
              <w:rPr>
                <w:color w:val="auto"/>
              </w:rPr>
            </w:pPr>
            <w:r>
              <w:rPr>
                <w:rFonts w:hint="eastAsia" w:eastAsia="黑体"/>
                <w:color w:val="auto"/>
              </w:rPr>
              <w:t>3</w:t>
            </w:r>
            <w:r>
              <w:rPr>
                <w:color w:val="auto"/>
              </w:rPr>
              <w:t>、现有工程环保措施及污染物排放情况</w:t>
            </w:r>
          </w:p>
          <w:p w14:paraId="23515B9C">
            <w:pPr>
              <w:pStyle w:val="119"/>
              <w:rPr>
                <w:color w:val="auto"/>
              </w:rPr>
            </w:pPr>
            <w:r>
              <w:rPr>
                <w:color w:val="auto"/>
              </w:rPr>
              <w:t>（1）废气</w:t>
            </w:r>
          </w:p>
          <w:p w14:paraId="60DF6ECA">
            <w:pPr>
              <w:pStyle w:val="116"/>
              <w:ind w:firstLine="420"/>
              <w:rPr>
                <w:rFonts w:hint="default" w:eastAsia="宋体"/>
                <w:color w:val="auto"/>
                <w:lang w:val="en-US" w:eastAsia="zh-CN"/>
              </w:rPr>
            </w:pPr>
            <w:r>
              <w:rPr>
                <w:color w:val="auto"/>
              </w:rPr>
              <w:t>现有工程废气主要为</w:t>
            </w:r>
            <w:r>
              <w:rPr>
                <w:rFonts w:hint="eastAsia"/>
                <w:color w:val="auto"/>
              </w:rPr>
              <w:t>抛丸工序、焊接工序、喷塑工序、固化工序</w:t>
            </w:r>
            <w:r>
              <w:rPr>
                <w:color w:val="auto"/>
              </w:rPr>
              <w:t>产生的废气，精锻车间抛丸工序</w:t>
            </w:r>
            <w:r>
              <w:rPr>
                <w:rFonts w:hint="eastAsia"/>
                <w:color w:val="auto"/>
              </w:rPr>
              <w:t>产生</w:t>
            </w:r>
            <w:r>
              <w:rPr>
                <w:color w:val="auto"/>
              </w:rPr>
              <w:t>的颗粒物</w:t>
            </w:r>
            <w:r>
              <w:rPr>
                <w:rFonts w:hint="eastAsia"/>
                <w:color w:val="auto"/>
              </w:rPr>
              <w:t>经过1套</w:t>
            </w:r>
            <w:r>
              <w:rPr>
                <w:color w:val="auto"/>
              </w:rPr>
              <w:t>高效脉冲布袋除尘器处理后</w:t>
            </w:r>
            <w:r>
              <w:rPr>
                <w:rFonts w:hint="eastAsia"/>
                <w:color w:val="auto"/>
              </w:rPr>
              <w:t>，</w:t>
            </w:r>
            <w:r>
              <w:rPr>
                <w:color w:val="auto"/>
              </w:rPr>
              <w:t>通过</w:t>
            </w:r>
            <w:r>
              <w:rPr>
                <w:rFonts w:hint="eastAsia"/>
                <w:color w:val="auto"/>
              </w:rPr>
              <w:t>1根15m高排气筒（</w:t>
            </w:r>
            <w:r>
              <w:rPr>
                <w:color w:val="auto"/>
              </w:rPr>
              <w:t>DA001</w:t>
            </w:r>
            <w:r>
              <w:rPr>
                <w:rFonts w:hint="eastAsia"/>
                <w:color w:val="auto"/>
              </w:rPr>
              <w:t>）</w:t>
            </w:r>
            <w:r>
              <w:rPr>
                <w:color w:val="auto"/>
              </w:rPr>
              <w:t>排放</w:t>
            </w:r>
            <w:r>
              <w:rPr>
                <w:rFonts w:hint="eastAsia"/>
                <w:color w:val="auto"/>
              </w:rPr>
              <w:t>；下料、焊接工序产生的颗粒物经移动式焊烟净化器处理后于车间排放；喷塑</w:t>
            </w:r>
            <w:r>
              <w:rPr>
                <w:color w:val="auto"/>
              </w:rPr>
              <w:t>工序</w:t>
            </w:r>
            <w:r>
              <w:rPr>
                <w:rFonts w:hint="eastAsia"/>
                <w:color w:val="auto"/>
              </w:rPr>
              <w:t>产生</w:t>
            </w:r>
            <w:r>
              <w:rPr>
                <w:color w:val="auto"/>
              </w:rPr>
              <w:t>的颗粒物</w:t>
            </w:r>
            <w:r>
              <w:rPr>
                <w:rFonts w:hint="eastAsia"/>
                <w:color w:val="auto"/>
              </w:rPr>
              <w:t>经过2套旋风除尘器+布袋除尘器</w:t>
            </w:r>
            <w:r>
              <w:rPr>
                <w:color w:val="auto"/>
              </w:rPr>
              <w:t>处理后</w:t>
            </w:r>
            <w:r>
              <w:rPr>
                <w:rFonts w:hint="eastAsia"/>
                <w:color w:val="auto"/>
              </w:rPr>
              <w:t>，</w:t>
            </w:r>
            <w:r>
              <w:rPr>
                <w:color w:val="auto"/>
              </w:rPr>
              <w:t>通过</w:t>
            </w:r>
            <w:r>
              <w:rPr>
                <w:rFonts w:hint="eastAsia"/>
                <w:color w:val="auto"/>
              </w:rPr>
              <w:t>1根30m高排气筒（</w:t>
            </w:r>
            <w:r>
              <w:rPr>
                <w:color w:val="auto"/>
              </w:rPr>
              <w:t>DA00</w:t>
            </w:r>
            <w:r>
              <w:rPr>
                <w:rFonts w:hint="eastAsia"/>
                <w:color w:val="auto"/>
              </w:rPr>
              <w:t>2）</w:t>
            </w:r>
            <w:r>
              <w:rPr>
                <w:color w:val="auto"/>
              </w:rPr>
              <w:t>排放</w:t>
            </w:r>
            <w:r>
              <w:rPr>
                <w:rFonts w:hint="eastAsia"/>
                <w:color w:val="auto"/>
              </w:rPr>
              <w:t>；固化</w:t>
            </w:r>
            <w:r>
              <w:rPr>
                <w:color w:val="auto"/>
              </w:rPr>
              <w:t>工序</w:t>
            </w:r>
            <w:r>
              <w:rPr>
                <w:rFonts w:hint="eastAsia"/>
                <w:color w:val="auto"/>
              </w:rPr>
              <w:t>产生</w:t>
            </w:r>
            <w:r>
              <w:rPr>
                <w:color w:val="auto"/>
              </w:rPr>
              <w:t>的</w:t>
            </w:r>
            <w:r>
              <w:rPr>
                <w:rFonts w:hint="eastAsia"/>
                <w:color w:val="auto"/>
              </w:rPr>
              <w:t>非甲烷</w:t>
            </w:r>
            <w:r>
              <w:rPr>
                <w:color w:val="auto"/>
              </w:rPr>
              <w:t>总烃</w:t>
            </w:r>
            <w:r>
              <w:rPr>
                <w:rFonts w:hint="eastAsia"/>
                <w:color w:val="auto"/>
              </w:rPr>
              <w:t>经过1套干式过滤+两级活性炭装置</w:t>
            </w:r>
            <w:r>
              <w:rPr>
                <w:color w:val="auto"/>
              </w:rPr>
              <w:t>处理后</w:t>
            </w:r>
            <w:r>
              <w:rPr>
                <w:rFonts w:hint="eastAsia"/>
                <w:color w:val="auto"/>
              </w:rPr>
              <w:t>，</w:t>
            </w:r>
            <w:r>
              <w:rPr>
                <w:color w:val="auto"/>
              </w:rPr>
              <w:t>通过</w:t>
            </w:r>
            <w:r>
              <w:rPr>
                <w:rFonts w:hint="eastAsia"/>
                <w:color w:val="auto"/>
              </w:rPr>
              <w:t>1根30m高排气筒（</w:t>
            </w:r>
            <w:r>
              <w:rPr>
                <w:color w:val="auto"/>
              </w:rPr>
              <w:t>DA00</w:t>
            </w:r>
            <w:r>
              <w:rPr>
                <w:rFonts w:hint="eastAsia"/>
                <w:color w:val="auto"/>
              </w:rPr>
              <w:t>3）</w:t>
            </w:r>
            <w:r>
              <w:rPr>
                <w:color w:val="auto"/>
              </w:rPr>
              <w:t>排放</w:t>
            </w:r>
            <w:r>
              <w:rPr>
                <w:rFonts w:hint="eastAsia"/>
                <w:color w:val="auto"/>
                <w:highlight w:val="none"/>
                <w:lang w:eastAsia="zh-CN"/>
              </w:rPr>
              <w:t>；</w:t>
            </w:r>
            <w:r>
              <w:rPr>
                <w:color w:val="auto"/>
                <w:highlight w:val="none"/>
              </w:rPr>
              <w:t>重型车间抛丸工序</w:t>
            </w:r>
            <w:r>
              <w:rPr>
                <w:rFonts w:hint="eastAsia"/>
                <w:color w:val="auto"/>
                <w:highlight w:val="none"/>
              </w:rPr>
              <w:t>产生</w:t>
            </w:r>
            <w:r>
              <w:rPr>
                <w:color w:val="auto"/>
                <w:highlight w:val="none"/>
              </w:rPr>
              <w:t>的颗粒物</w:t>
            </w:r>
            <w:r>
              <w:rPr>
                <w:rFonts w:hint="eastAsia"/>
                <w:color w:val="auto"/>
                <w:highlight w:val="none"/>
              </w:rPr>
              <w:t>经过1套</w:t>
            </w:r>
            <w:r>
              <w:rPr>
                <w:rFonts w:hint="eastAsia"/>
                <w:color w:val="auto"/>
                <w:szCs w:val="21"/>
                <w:highlight w:val="none"/>
              </w:rPr>
              <w:t>二级滤筒除尘器</w:t>
            </w:r>
            <w:r>
              <w:rPr>
                <w:color w:val="auto"/>
                <w:highlight w:val="none"/>
              </w:rPr>
              <w:t>处理后</w:t>
            </w:r>
            <w:r>
              <w:rPr>
                <w:rFonts w:hint="eastAsia"/>
                <w:color w:val="auto"/>
                <w:highlight w:val="none"/>
              </w:rPr>
              <w:t>，</w:t>
            </w:r>
            <w:r>
              <w:rPr>
                <w:color w:val="auto"/>
                <w:highlight w:val="none"/>
              </w:rPr>
              <w:t>通过</w:t>
            </w:r>
            <w:r>
              <w:rPr>
                <w:rFonts w:hint="eastAsia"/>
                <w:color w:val="auto"/>
                <w:highlight w:val="none"/>
              </w:rPr>
              <w:t>1根</w:t>
            </w:r>
            <w:r>
              <w:rPr>
                <w:rFonts w:hint="eastAsia"/>
                <w:color w:val="auto"/>
                <w:highlight w:val="none"/>
                <w:lang w:val="en-US" w:eastAsia="zh-CN"/>
              </w:rPr>
              <w:t>2</w:t>
            </w:r>
            <w:r>
              <w:rPr>
                <w:rFonts w:hint="eastAsia"/>
                <w:color w:val="auto"/>
                <w:highlight w:val="none"/>
              </w:rPr>
              <w:t>5m高排气筒（</w:t>
            </w:r>
            <w:r>
              <w:rPr>
                <w:color w:val="auto"/>
                <w:highlight w:val="none"/>
              </w:rPr>
              <w:t>DA00</w:t>
            </w:r>
            <w:r>
              <w:rPr>
                <w:rFonts w:hint="eastAsia"/>
                <w:color w:val="auto"/>
                <w:highlight w:val="none"/>
                <w:lang w:val="en-US" w:eastAsia="zh-CN"/>
              </w:rPr>
              <w:t>4</w:t>
            </w:r>
            <w:r>
              <w:rPr>
                <w:rFonts w:hint="eastAsia"/>
                <w:color w:val="auto"/>
                <w:highlight w:val="none"/>
              </w:rPr>
              <w:t>）</w:t>
            </w:r>
            <w:r>
              <w:rPr>
                <w:color w:val="auto"/>
                <w:highlight w:val="none"/>
              </w:rPr>
              <w:t>排放</w:t>
            </w:r>
            <w:r>
              <w:rPr>
                <w:rFonts w:hint="eastAsia"/>
                <w:color w:val="auto"/>
              </w:rPr>
              <w:t>。</w:t>
            </w:r>
          </w:p>
          <w:p w14:paraId="3248C759">
            <w:pPr>
              <w:pStyle w:val="116"/>
              <w:ind w:firstLine="420"/>
              <w:jc w:val="both"/>
              <w:rPr>
                <w:color w:val="auto"/>
              </w:rPr>
            </w:pPr>
            <w:r>
              <w:rPr>
                <w:color w:val="auto"/>
              </w:rPr>
              <w:t>企业委托</w:t>
            </w:r>
            <w:r>
              <w:rPr>
                <w:rFonts w:hint="eastAsia"/>
                <w:color w:val="auto"/>
              </w:rPr>
              <w:t>唐山赫力环境检测有限公司</w:t>
            </w:r>
            <w:r>
              <w:rPr>
                <w:color w:val="auto"/>
              </w:rPr>
              <w:t>对</w:t>
            </w:r>
            <w:r>
              <w:rPr>
                <w:rFonts w:hint="eastAsia"/>
                <w:color w:val="auto"/>
              </w:rPr>
              <w:t>企业有组织废气</w:t>
            </w:r>
            <w:r>
              <w:rPr>
                <w:color w:val="auto"/>
              </w:rPr>
              <w:t>进行了监测，</w:t>
            </w:r>
            <w:r>
              <w:rPr>
                <w:rFonts w:hint="eastAsia"/>
                <w:color w:val="auto"/>
              </w:rPr>
              <w:t>监测报告编号为TSHL</w:t>
            </w:r>
            <w:r>
              <w:rPr>
                <w:rFonts w:hint="eastAsia"/>
                <w:color w:val="auto"/>
                <w:lang w:eastAsia="zh-CN"/>
              </w:rPr>
              <w:t>（</w:t>
            </w:r>
            <w:r>
              <w:rPr>
                <w:rFonts w:hint="eastAsia"/>
                <w:color w:val="auto"/>
                <w:lang w:val="en-US" w:eastAsia="zh-CN"/>
              </w:rPr>
              <w:t>Y</w:t>
            </w:r>
            <w:r>
              <w:rPr>
                <w:rFonts w:hint="eastAsia"/>
                <w:color w:val="auto"/>
                <w:lang w:eastAsia="zh-CN"/>
              </w:rPr>
              <w:t>）</w:t>
            </w:r>
            <w:r>
              <w:rPr>
                <w:rFonts w:hint="eastAsia"/>
                <w:color w:val="auto"/>
              </w:rPr>
              <w:t>字(2025)第0857号，监测时间为202</w:t>
            </w:r>
            <w:r>
              <w:rPr>
                <w:rFonts w:hint="eastAsia"/>
                <w:color w:val="auto"/>
                <w:lang w:val="en-US" w:eastAsia="zh-CN"/>
              </w:rPr>
              <w:t>6</w:t>
            </w:r>
            <w:r>
              <w:rPr>
                <w:rFonts w:hint="eastAsia"/>
                <w:color w:val="auto"/>
              </w:rPr>
              <w:t>年</w:t>
            </w:r>
            <w:r>
              <w:rPr>
                <w:rFonts w:hint="eastAsia"/>
                <w:color w:val="auto"/>
                <w:lang w:val="en-US" w:eastAsia="zh-CN"/>
              </w:rPr>
              <w:t>1</w:t>
            </w:r>
            <w:r>
              <w:rPr>
                <w:rFonts w:hint="eastAsia"/>
                <w:color w:val="auto"/>
              </w:rPr>
              <w:t>月</w:t>
            </w:r>
            <w:r>
              <w:rPr>
                <w:rFonts w:hint="eastAsia"/>
                <w:color w:val="auto"/>
                <w:lang w:val="en-US" w:eastAsia="zh-CN"/>
              </w:rPr>
              <w:t>6</w:t>
            </w:r>
            <w:r>
              <w:rPr>
                <w:rFonts w:hint="eastAsia"/>
                <w:color w:val="auto"/>
              </w:rPr>
              <w:t>日</w:t>
            </w:r>
            <w:r>
              <w:rPr>
                <w:rFonts w:hint="eastAsia"/>
                <w:color w:val="auto"/>
                <w:lang w:eastAsia="zh-CN"/>
              </w:rPr>
              <w:t>；</w:t>
            </w:r>
            <w:r>
              <w:rPr>
                <w:rFonts w:hint="eastAsia"/>
                <w:color w:val="auto"/>
              </w:rPr>
              <w:t>监测报告编号为TSHL</w:t>
            </w:r>
            <w:r>
              <w:rPr>
                <w:rFonts w:hint="eastAsia"/>
                <w:color w:val="auto"/>
                <w:lang w:eastAsia="zh-CN"/>
              </w:rPr>
              <w:t>（</w:t>
            </w:r>
            <w:r>
              <w:rPr>
                <w:rFonts w:hint="eastAsia"/>
                <w:color w:val="auto"/>
                <w:lang w:val="en-US" w:eastAsia="zh-CN"/>
              </w:rPr>
              <w:t>Y</w:t>
            </w:r>
            <w:r>
              <w:rPr>
                <w:rFonts w:hint="eastAsia"/>
                <w:color w:val="auto"/>
                <w:lang w:eastAsia="zh-CN"/>
              </w:rPr>
              <w:t>）</w:t>
            </w:r>
            <w:r>
              <w:rPr>
                <w:rFonts w:hint="eastAsia"/>
                <w:color w:val="auto"/>
              </w:rPr>
              <w:t>字（202</w:t>
            </w:r>
            <w:r>
              <w:rPr>
                <w:rFonts w:hint="eastAsia"/>
                <w:color w:val="auto"/>
                <w:lang w:val="en-US" w:eastAsia="zh-CN"/>
              </w:rPr>
              <w:t>5</w:t>
            </w:r>
            <w:r>
              <w:rPr>
                <w:rFonts w:hint="eastAsia"/>
                <w:color w:val="auto"/>
              </w:rPr>
              <w:t>）第</w:t>
            </w:r>
            <w:r>
              <w:rPr>
                <w:rFonts w:hint="eastAsia"/>
                <w:color w:val="auto"/>
                <w:lang w:val="en-US" w:eastAsia="zh-CN"/>
              </w:rPr>
              <w:t>0028</w:t>
            </w:r>
            <w:r>
              <w:rPr>
                <w:rFonts w:hint="eastAsia"/>
                <w:color w:val="auto"/>
              </w:rPr>
              <w:t>号，监测时间为202</w:t>
            </w:r>
            <w:r>
              <w:rPr>
                <w:rFonts w:hint="eastAsia"/>
                <w:color w:val="auto"/>
                <w:lang w:val="en-US" w:eastAsia="zh-CN"/>
              </w:rPr>
              <w:t>5</w:t>
            </w:r>
            <w:r>
              <w:rPr>
                <w:rFonts w:hint="eastAsia"/>
                <w:color w:val="auto"/>
              </w:rPr>
              <w:t>年</w:t>
            </w:r>
            <w:r>
              <w:rPr>
                <w:rFonts w:hint="eastAsia"/>
                <w:color w:val="auto"/>
                <w:lang w:val="en-US" w:eastAsia="zh-CN"/>
              </w:rPr>
              <w:t>9</w:t>
            </w:r>
            <w:r>
              <w:rPr>
                <w:rFonts w:hint="eastAsia"/>
                <w:color w:val="auto"/>
              </w:rPr>
              <w:t>月</w:t>
            </w:r>
            <w:r>
              <w:rPr>
                <w:rFonts w:hint="eastAsia"/>
                <w:color w:val="auto"/>
                <w:lang w:val="en-US" w:eastAsia="zh-CN"/>
              </w:rPr>
              <w:t>18</w:t>
            </w:r>
            <w:r>
              <w:rPr>
                <w:rFonts w:hint="eastAsia"/>
                <w:color w:val="auto"/>
              </w:rPr>
              <w:t>日</w:t>
            </w:r>
            <w:r>
              <w:rPr>
                <w:rFonts w:hint="eastAsia"/>
                <w:color w:val="auto"/>
                <w:lang w:val="en-US" w:eastAsia="zh-CN"/>
              </w:rPr>
              <w:t>-9月19日</w:t>
            </w:r>
            <w:r>
              <w:rPr>
                <w:rFonts w:hint="eastAsia"/>
                <w:color w:val="auto"/>
              </w:rPr>
              <w:t>，</w:t>
            </w:r>
            <w:r>
              <w:rPr>
                <w:color w:val="auto"/>
              </w:rPr>
              <w:t>监测结果见下表。</w:t>
            </w:r>
          </w:p>
          <w:p w14:paraId="341CE8A2">
            <w:pPr>
              <w:pStyle w:val="10"/>
              <w:rPr>
                <w:color w:val="auto"/>
              </w:rPr>
            </w:pPr>
            <w:r>
              <w:rPr>
                <w:rFonts w:hint="eastAsia"/>
                <w:color w:val="auto"/>
              </w:rPr>
              <w:t>表2</w:t>
            </w:r>
            <w:r>
              <w:rPr>
                <w:rFonts w:hint="eastAsia"/>
                <w:color w:val="auto"/>
                <w:lang w:eastAsia="zh-CN"/>
              </w:rPr>
              <w:t>-</w:t>
            </w:r>
            <w:r>
              <w:rPr>
                <w:color w:val="auto"/>
              </w:rPr>
              <w:fldChar w:fldCharType="begin"/>
            </w:r>
            <w:r>
              <w:rPr>
                <w:color w:val="auto"/>
              </w:rPr>
              <w:instrText xml:space="preserve"> </w:instrText>
            </w:r>
            <w:r>
              <w:rPr>
                <w:rFonts w:hint="eastAsia"/>
                <w:color w:val="auto"/>
              </w:rPr>
              <w:instrText xml:space="preserve">SEQ 表2- \* ARABIC</w:instrText>
            </w:r>
            <w:r>
              <w:rPr>
                <w:color w:val="auto"/>
              </w:rPr>
              <w:instrText xml:space="preserve"> </w:instrText>
            </w:r>
            <w:r>
              <w:rPr>
                <w:color w:val="auto"/>
              </w:rPr>
              <w:fldChar w:fldCharType="separate"/>
            </w:r>
            <w:r>
              <w:rPr>
                <w:color w:val="auto"/>
              </w:rPr>
              <w:t>1</w:t>
            </w:r>
            <w:r>
              <w:rPr>
                <w:rFonts w:hint="eastAsia"/>
                <w:color w:val="auto"/>
                <w:lang w:val="en-US" w:eastAsia="zh-CN"/>
              </w:rPr>
              <w:t>6</w:t>
            </w:r>
            <w:r>
              <w:rPr>
                <w:color w:val="auto"/>
              </w:rPr>
              <w:fldChar w:fldCharType="end"/>
            </w:r>
            <w:r>
              <w:rPr>
                <w:color w:val="auto"/>
              </w:rPr>
              <w:t>现有工程</w:t>
            </w:r>
            <w:r>
              <w:rPr>
                <w:color w:val="auto"/>
                <w:szCs w:val="21"/>
              </w:rPr>
              <w:t>有组织废气检测结果</w:t>
            </w:r>
          </w:p>
          <w:tbl>
            <w:tblPr>
              <w:tblStyle w:val="33"/>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21"/>
              <w:gridCol w:w="1094"/>
              <w:gridCol w:w="1366"/>
              <w:gridCol w:w="837"/>
              <w:gridCol w:w="1137"/>
              <w:gridCol w:w="1137"/>
              <w:gridCol w:w="704"/>
            </w:tblGrid>
            <w:tr w14:paraId="517C9BF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1218" w:type="pct"/>
                  <w:vAlign w:val="center"/>
                </w:tcPr>
                <w:p w14:paraId="6A269270">
                  <w:pPr>
                    <w:pStyle w:val="91"/>
                    <w:widowControl/>
                    <w:spacing w:line="240" w:lineRule="auto"/>
                    <w:ind w:firstLine="0" w:firstLineChars="0"/>
                    <w:jc w:val="center"/>
                    <w:rPr>
                      <w:color w:val="auto"/>
                      <w:sz w:val="21"/>
                      <w:szCs w:val="21"/>
                    </w:rPr>
                  </w:pPr>
                  <w:r>
                    <w:rPr>
                      <w:color w:val="auto"/>
                      <w:sz w:val="21"/>
                      <w:szCs w:val="21"/>
                    </w:rPr>
                    <w:t>监测点位</w:t>
                  </w:r>
                </w:p>
              </w:tc>
              <w:tc>
                <w:tcPr>
                  <w:tcW w:w="659" w:type="pct"/>
                  <w:vAlign w:val="center"/>
                </w:tcPr>
                <w:p w14:paraId="6541ADB8">
                  <w:pPr>
                    <w:pStyle w:val="91"/>
                    <w:widowControl/>
                    <w:spacing w:line="240" w:lineRule="auto"/>
                    <w:ind w:firstLine="0" w:firstLineChars="0"/>
                    <w:jc w:val="center"/>
                    <w:rPr>
                      <w:color w:val="auto"/>
                      <w:sz w:val="21"/>
                      <w:szCs w:val="21"/>
                    </w:rPr>
                  </w:pPr>
                  <w:r>
                    <w:rPr>
                      <w:color w:val="auto"/>
                      <w:sz w:val="21"/>
                      <w:szCs w:val="21"/>
                    </w:rPr>
                    <w:t>监测因子</w:t>
                  </w:r>
                </w:p>
              </w:tc>
              <w:tc>
                <w:tcPr>
                  <w:tcW w:w="1327" w:type="pct"/>
                  <w:gridSpan w:val="2"/>
                  <w:vAlign w:val="center"/>
                </w:tcPr>
                <w:p w14:paraId="575F53BD">
                  <w:pPr>
                    <w:pStyle w:val="91"/>
                    <w:widowControl/>
                    <w:spacing w:line="240" w:lineRule="auto"/>
                    <w:ind w:firstLine="0" w:firstLineChars="0"/>
                    <w:jc w:val="center"/>
                    <w:rPr>
                      <w:color w:val="auto"/>
                      <w:sz w:val="21"/>
                      <w:szCs w:val="21"/>
                    </w:rPr>
                  </w:pPr>
                  <w:r>
                    <w:rPr>
                      <w:color w:val="auto"/>
                      <w:sz w:val="21"/>
                      <w:szCs w:val="21"/>
                    </w:rPr>
                    <w:t>监测指标</w:t>
                  </w:r>
                </w:p>
              </w:tc>
              <w:tc>
                <w:tcPr>
                  <w:tcW w:w="685" w:type="pct"/>
                  <w:vAlign w:val="center"/>
                </w:tcPr>
                <w:p w14:paraId="5D786A25">
                  <w:pPr>
                    <w:pStyle w:val="91"/>
                    <w:widowControl/>
                    <w:spacing w:line="240" w:lineRule="auto"/>
                    <w:ind w:firstLine="0" w:firstLineChars="0"/>
                    <w:jc w:val="center"/>
                    <w:rPr>
                      <w:rFonts w:hint="eastAsia"/>
                      <w:color w:val="auto"/>
                      <w:sz w:val="21"/>
                      <w:szCs w:val="21"/>
                    </w:rPr>
                  </w:pPr>
                  <w:r>
                    <w:rPr>
                      <w:rFonts w:hint="eastAsia"/>
                      <w:color w:val="auto"/>
                      <w:sz w:val="21"/>
                      <w:szCs w:val="21"/>
                    </w:rPr>
                    <w:t>监测</w:t>
                  </w:r>
                  <w:r>
                    <w:rPr>
                      <w:color w:val="auto"/>
                      <w:sz w:val="21"/>
                      <w:szCs w:val="21"/>
                    </w:rPr>
                    <w:t>结果</w:t>
                  </w:r>
                </w:p>
              </w:tc>
              <w:tc>
                <w:tcPr>
                  <w:tcW w:w="685" w:type="pct"/>
                  <w:vAlign w:val="center"/>
                </w:tcPr>
                <w:p w14:paraId="008E9A47">
                  <w:pPr>
                    <w:pStyle w:val="91"/>
                    <w:widowControl/>
                    <w:spacing w:line="240" w:lineRule="auto"/>
                    <w:ind w:firstLine="0" w:firstLineChars="0"/>
                    <w:jc w:val="center"/>
                    <w:rPr>
                      <w:color w:val="auto"/>
                      <w:sz w:val="21"/>
                      <w:szCs w:val="21"/>
                    </w:rPr>
                  </w:pPr>
                  <w:r>
                    <w:rPr>
                      <w:color w:val="auto"/>
                      <w:sz w:val="21"/>
                      <w:szCs w:val="21"/>
                    </w:rPr>
                    <w:t>标准限值</w:t>
                  </w:r>
                </w:p>
              </w:tc>
              <w:tc>
                <w:tcPr>
                  <w:tcW w:w="424" w:type="pct"/>
                  <w:vAlign w:val="center"/>
                </w:tcPr>
                <w:p w14:paraId="15F6F619">
                  <w:pPr>
                    <w:pStyle w:val="91"/>
                    <w:widowControl/>
                    <w:spacing w:line="240" w:lineRule="auto"/>
                    <w:ind w:firstLine="0" w:firstLineChars="0"/>
                    <w:jc w:val="center"/>
                    <w:rPr>
                      <w:color w:val="auto"/>
                      <w:sz w:val="21"/>
                      <w:szCs w:val="21"/>
                    </w:rPr>
                  </w:pPr>
                  <w:r>
                    <w:rPr>
                      <w:color w:val="auto"/>
                      <w:sz w:val="21"/>
                      <w:szCs w:val="21"/>
                    </w:rPr>
                    <w:t>达标</w:t>
                  </w:r>
                </w:p>
                <w:p w14:paraId="351E5B8E">
                  <w:pPr>
                    <w:pStyle w:val="91"/>
                    <w:widowControl/>
                    <w:spacing w:line="240" w:lineRule="auto"/>
                    <w:ind w:firstLine="0" w:firstLineChars="0"/>
                    <w:jc w:val="center"/>
                    <w:rPr>
                      <w:color w:val="auto"/>
                      <w:sz w:val="21"/>
                      <w:szCs w:val="21"/>
                    </w:rPr>
                  </w:pPr>
                  <w:r>
                    <w:rPr>
                      <w:color w:val="auto"/>
                      <w:sz w:val="21"/>
                      <w:szCs w:val="21"/>
                    </w:rPr>
                    <w:t>分析</w:t>
                  </w:r>
                </w:p>
              </w:tc>
            </w:tr>
            <w:tr w14:paraId="26E8B5D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8" w:type="pct"/>
                  <w:vMerge w:val="restart"/>
                  <w:vAlign w:val="center"/>
                </w:tcPr>
                <w:p w14:paraId="31F87398">
                  <w:pPr>
                    <w:pStyle w:val="91"/>
                    <w:widowControl/>
                    <w:spacing w:line="240" w:lineRule="auto"/>
                    <w:ind w:firstLine="0" w:firstLineChars="0"/>
                    <w:jc w:val="center"/>
                    <w:rPr>
                      <w:color w:val="auto"/>
                      <w:sz w:val="21"/>
                      <w:szCs w:val="21"/>
                    </w:rPr>
                  </w:pPr>
                  <w:r>
                    <w:rPr>
                      <w:color w:val="auto"/>
                      <w:sz w:val="21"/>
                      <w:szCs w:val="21"/>
                    </w:rPr>
                    <w:t>精锻车间</w:t>
                  </w:r>
                  <w:r>
                    <w:rPr>
                      <w:rFonts w:hint="eastAsia"/>
                      <w:color w:val="auto"/>
                      <w:sz w:val="21"/>
                      <w:szCs w:val="21"/>
                    </w:rPr>
                    <w:t>抛丸工序</w:t>
                  </w:r>
                  <w:r>
                    <w:rPr>
                      <w:color w:val="auto"/>
                      <w:sz w:val="21"/>
                      <w:szCs w:val="21"/>
                    </w:rPr>
                    <w:t>排气筒</w:t>
                  </w:r>
                  <w:r>
                    <w:rPr>
                      <w:rFonts w:hint="eastAsia"/>
                      <w:color w:val="auto"/>
                      <w:sz w:val="21"/>
                      <w:szCs w:val="21"/>
                    </w:rPr>
                    <w:t>（</w:t>
                  </w:r>
                  <w:r>
                    <w:rPr>
                      <w:color w:val="auto"/>
                      <w:sz w:val="21"/>
                      <w:szCs w:val="21"/>
                    </w:rPr>
                    <w:t>DA001</w:t>
                  </w:r>
                  <w:r>
                    <w:rPr>
                      <w:rFonts w:hint="eastAsia"/>
                      <w:color w:val="auto"/>
                      <w:sz w:val="21"/>
                      <w:szCs w:val="21"/>
                    </w:rPr>
                    <w:t>）</w:t>
                  </w:r>
                </w:p>
              </w:tc>
              <w:tc>
                <w:tcPr>
                  <w:tcW w:w="659" w:type="pct"/>
                  <w:vMerge w:val="restart"/>
                  <w:vAlign w:val="center"/>
                </w:tcPr>
                <w:p w14:paraId="29695BB0">
                  <w:pPr>
                    <w:pStyle w:val="91"/>
                    <w:widowControl/>
                    <w:spacing w:line="240" w:lineRule="auto"/>
                    <w:ind w:firstLine="0" w:firstLineChars="0"/>
                    <w:jc w:val="center"/>
                    <w:rPr>
                      <w:color w:val="auto"/>
                      <w:sz w:val="21"/>
                      <w:szCs w:val="21"/>
                    </w:rPr>
                  </w:pPr>
                  <w:r>
                    <w:rPr>
                      <w:color w:val="auto"/>
                      <w:sz w:val="21"/>
                      <w:szCs w:val="21"/>
                    </w:rPr>
                    <w:t>颗粒物</w:t>
                  </w:r>
                </w:p>
              </w:tc>
              <w:tc>
                <w:tcPr>
                  <w:tcW w:w="823" w:type="pct"/>
                  <w:vAlign w:val="center"/>
                </w:tcPr>
                <w:p w14:paraId="0960BF4E">
                  <w:pPr>
                    <w:pStyle w:val="91"/>
                    <w:widowControl/>
                    <w:spacing w:line="240" w:lineRule="auto"/>
                    <w:ind w:firstLine="0" w:firstLineChars="0"/>
                    <w:jc w:val="center"/>
                    <w:rPr>
                      <w:rFonts w:eastAsia="Times New Roman"/>
                      <w:color w:val="auto"/>
                      <w:sz w:val="21"/>
                      <w:szCs w:val="21"/>
                      <w:lang w:bidi="en-US"/>
                    </w:rPr>
                  </w:pPr>
                  <w:r>
                    <w:rPr>
                      <w:rFonts w:hint="eastAsia" w:ascii="宋体" w:hAnsi="宋体" w:cs="宋体"/>
                      <w:color w:val="auto"/>
                      <w:sz w:val="21"/>
                      <w:szCs w:val="21"/>
                      <w:lang w:bidi="en-US"/>
                    </w:rPr>
                    <w:t>标干流量</w:t>
                  </w:r>
                </w:p>
              </w:tc>
              <w:tc>
                <w:tcPr>
                  <w:tcW w:w="504" w:type="pct"/>
                  <w:vAlign w:val="center"/>
                </w:tcPr>
                <w:p w14:paraId="40959A37">
                  <w:pPr>
                    <w:pStyle w:val="91"/>
                    <w:widowControl/>
                    <w:spacing w:line="240" w:lineRule="auto"/>
                    <w:ind w:firstLine="0" w:firstLineChars="0"/>
                    <w:jc w:val="center"/>
                    <w:rPr>
                      <w:color w:val="auto"/>
                      <w:sz w:val="21"/>
                      <w:szCs w:val="21"/>
                    </w:rPr>
                  </w:pPr>
                  <w:r>
                    <w:rPr>
                      <w:rFonts w:eastAsia="Times New Roman"/>
                      <w:color w:val="auto"/>
                      <w:sz w:val="21"/>
                      <w:szCs w:val="21"/>
                      <w:lang w:bidi="en-US"/>
                    </w:rPr>
                    <w:t>m</w:t>
                  </w:r>
                  <w:r>
                    <w:rPr>
                      <w:rFonts w:eastAsia="Times New Roman"/>
                      <w:color w:val="auto"/>
                      <w:sz w:val="21"/>
                      <w:szCs w:val="21"/>
                      <w:vertAlign w:val="superscript"/>
                      <w:lang w:bidi="en-US"/>
                    </w:rPr>
                    <w:t>3</w:t>
                  </w:r>
                  <w:r>
                    <w:rPr>
                      <w:rFonts w:eastAsia="Times New Roman"/>
                      <w:color w:val="auto"/>
                      <w:sz w:val="21"/>
                      <w:szCs w:val="21"/>
                      <w:lang w:bidi="en-US"/>
                    </w:rPr>
                    <w:t>/h</w:t>
                  </w:r>
                </w:p>
              </w:tc>
              <w:tc>
                <w:tcPr>
                  <w:tcW w:w="685" w:type="pct"/>
                  <w:vAlign w:val="center"/>
                </w:tcPr>
                <w:p w14:paraId="2384EE32">
                  <w:pPr>
                    <w:pStyle w:val="91"/>
                    <w:widowControl/>
                    <w:spacing w:line="240" w:lineRule="auto"/>
                    <w:ind w:firstLine="0" w:firstLineChars="0"/>
                    <w:jc w:val="center"/>
                    <w:rPr>
                      <w:rFonts w:hint="eastAsia"/>
                      <w:color w:val="auto"/>
                      <w:sz w:val="21"/>
                      <w:szCs w:val="21"/>
                      <w:lang w:val="en-US" w:eastAsia="zh-CN"/>
                    </w:rPr>
                  </w:pPr>
                  <w:r>
                    <w:rPr>
                      <w:rFonts w:hint="eastAsia"/>
                      <w:color w:val="auto"/>
                      <w:sz w:val="21"/>
                      <w:szCs w:val="21"/>
                    </w:rPr>
                    <w:t>16463</w:t>
                  </w:r>
                </w:p>
              </w:tc>
              <w:tc>
                <w:tcPr>
                  <w:tcW w:w="685" w:type="pct"/>
                  <w:vAlign w:val="center"/>
                </w:tcPr>
                <w:p w14:paraId="2B8BF532">
                  <w:pPr>
                    <w:pStyle w:val="91"/>
                    <w:widowControl/>
                    <w:spacing w:line="240" w:lineRule="auto"/>
                    <w:ind w:firstLine="0" w:firstLineChars="0"/>
                    <w:jc w:val="center"/>
                    <w:rPr>
                      <w:color w:val="auto"/>
                      <w:sz w:val="21"/>
                      <w:szCs w:val="21"/>
                    </w:rPr>
                  </w:pPr>
                  <w:r>
                    <w:rPr>
                      <w:rFonts w:hint="eastAsia"/>
                      <w:color w:val="auto"/>
                      <w:sz w:val="21"/>
                      <w:szCs w:val="21"/>
                    </w:rPr>
                    <w:t>--</w:t>
                  </w:r>
                </w:p>
              </w:tc>
              <w:tc>
                <w:tcPr>
                  <w:tcW w:w="424" w:type="pct"/>
                  <w:vAlign w:val="center"/>
                </w:tcPr>
                <w:p w14:paraId="711DDF26">
                  <w:pPr>
                    <w:pStyle w:val="91"/>
                    <w:widowControl/>
                    <w:spacing w:line="240" w:lineRule="auto"/>
                    <w:ind w:firstLine="0" w:firstLineChars="0"/>
                    <w:jc w:val="center"/>
                    <w:rPr>
                      <w:color w:val="auto"/>
                      <w:sz w:val="21"/>
                      <w:szCs w:val="21"/>
                    </w:rPr>
                  </w:pPr>
                  <w:r>
                    <w:rPr>
                      <w:rFonts w:hint="eastAsia"/>
                      <w:color w:val="auto"/>
                      <w:sz w:val="21"/>
                      <w:szCs w:val="21"/>
                    </w:rPr>
                    <w:t>--</w:t>
                  </w:r>
                </w:p>
              </w:tc>
            </w:tr>
            <w:tr w14:paraId="51E01DD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218" w:type="pct"/>
                  <w:vMerge w:val="continue"/>
                  <w:vAlign w:val="center"/>
                </w:tcPr>
                <w:p w14:paraId="2503F009">
                  <w:pPr>
                    <w:pStyle w:val="91"/>
                    <w:widowControl/>
                    <w:spacing w:line="240" w:lineRule="auto"/>
                    <w:ind w:firstLine="0" w:firstLineChars="0"/>
                    <w:jc w:val="center"/>
                    <w:rPr>
                      <w:color w:val="auto"/>
                      <w:sz w:val="21"/>
                      <w:szCs w:val="21"/>
                    </w:rPr>
                  </w:pPr>
                </w:p>
              </w:tc>
              <w:tc>
                <w:tcPr>
                  <w:tcW w:w="659" w:type="pct"/>
                  <w:vMerge w:val="continue"/>
                  <w:vAlign w:val="center"/>
                </w:tcPr>
                <w:p w14:paraId="06E3FA9A">
                  <w:pPr>
                    <w:pStyle w:val="91"/>
                    <w:widowControl/>
                    <w:spacing w:line="240" w:lineRule="auto"/>
                    <w:ind w:firstLine="0" w:firstLineChars="0"/>
                    <w:jc w:val="center"/>
                    <w:rPr>
                      <w:color w:val="auto"/>
                      <w:sz w:val="21"/>
                      <w:szCs w:val="21"/>
                    </w:rPr>
                  </w:pPr>
                </w:p>
              </w:tc>
              <w:tc>
                <w:tcPr>
                  <w:tcW w:w="823" w:type="pct"/>
                  <w:shd w:val="clear" w:color="auto" w:fill="auto"/>
                  <w:vAlign w:val="center"/>
                </w:tcPr>
                <w:p w14:paraId="766F361B">
                  <w:pPr>
                    <w:pStyle w:val="91"/>
                    <w:widowControl/>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color w:val="auto"/>
                      <w:sz w:val="21"/>
                      <w:szCs w:val="21"/>
                    </w:rPr>
                    <w:t>排放浓度</w:t>
                  </w:r>
                </w:p>
              </w:tc>
              <w:tc>
                <w:tcPr>
                  <w:tcW w:w="504" w:type="pct"/>
                  <w:shd w:val="clear" w:color="auto" w:fill="auto"/>
                  <w:vAlign w:val="center"/>
                </w:tcPr>
                <w:p w14:paraId="704B4E3F">
                  <w:pPr>
                    <w:pStyle w:val="91"/>
                    <w:widowControl/>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color w:val="auto"/>
                      <w:sz w:val="21"/>
                      <w:szCs w:val="21"/>
                    </w:rPr>
                    <w:t>mg/m</w:t>
                  </w:r>
                  <w:r>
                    <w:rPr>
                      <w:color w:val="auto"/>
                      <w:sz w:val="21"/>
                      <w:szCs w:val="21"/>
                      <w:vertAlign w:val="superscript"/>
                    </w:rPr>
                    <w:t>3</w:t>
                  </w:r>
                </w:p>
              </w:tc>
              <w:tc>
                <w:tcPr>
                  <w:tcW w:w="685" w:type="pct"/>
                  <w:shd w:val="clear" w:color="auto" w:fill="auto"/>
                  <w:vAlign w:val="center"/>
                </w:tcPr>
                <w:p w14:paraId="3AB3C826">
                  <w:pPr>
                    <w:pStyle w:val="91"/>
                    <w:widowControl/>
                    <w:spacing w:line="240" w:lineRule="auto"/>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sz w:val="21"/>
                      <w:szCs w:val="21"/>
                      <w:lang w:val="en-US" w:eastAsia="zh-CN"/>
                    </w:rPr>
                    <w:t>2.6</w:t>
                  </w:r>
                </w:p>
              </w:tc>
              <w:tc>
                <w:tcPr>
                  <w:tcW w:w="685" w:type="pct"/>
                  <w:shd w:val="clear" w:color="auto" w:fill="auto"/>
                  <w:vAlign w:val="center"/>
                </w:tcPr>
                <w:p w14:paraId="028D7F82">
                  <w:pPr>
                    <w:pStyle w:val="91"/>
                    <w:widowControl/>
                    <w:spacing w:line="240" w:lineRule="auto"/>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sz w:val="21"/>
                      <w:szCs w:val="21"/>
                    </w:rPr>
                    <w:t>10</w:t>
                  </w:r>
                </w:p>
              </w:tc>
              <w:tc>
                <w:tcPr>
                  <w:tcW w:w="424" w:type="pct"/>
                  <w:shd w:val="clear" w:color="auto" w:fill="auto"/>
                  <w:vAlign w:val="center"/>
                </w:tcPr>
                <w:p w14:paraId="5E4DBF0B">
                  <w:pPr>
                    <w:pStyle w:val="91"/>
                    <w:widowControl/>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color w:val="auto"/>
                      <w:sz w:val="21"/>
                      <w:szCs w:val="21"/>
                    </w:rPr>
                    <w:t>达标</w:t>
                  </w:r>
                </w:p>
              </w:tc>
            </w:tr>
            <w:tr w14:paraId="248B384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218" w:type="pct"/>
                  <w:vMerge w:val="continue"/>
                  <w:vAlign w:val="center"/>
                </w:tcPr>
                <w:p w14:paraId="236FA8F7">
                  <w:pPr>
                    <w:pStyle w:val="91"/>
                    <w:widowControl/>
                    <w:spacing w:line="240" w:lineRule="auto"/>
                    <w:ind w:firstLine="0" w:firstLineChars="0"/>
                    <w:jc w:val="center"/>
                    <w:rPr>
                      <w:color w:val="auto"/>
                      <w:sz w:val="21"/>
                      <w:szCs w:val="21"/>
                    </w:rPr>
                  </w:pPr>
                </w:p>
              </w:tc>
              <w:tc>
                <w:tcPr>
                  <w:tcW w:w="659" w:type="pct"/>
                  <w:vMerge w:val="continue"/>
                  <w:vAlign w:val="center"/>
                </w:tcPr>
                <w:p w14:paraId="02BAF0E7">
                  <w:pPr>
                    <w:pStyle w:val="91"/>
                    <w:widowControl/>
                    <w:spacing w:line="240" w:lineRule="auto"/>
                    <w:ind w:firstLine="0" w:firstLineChars="0"/>
                    <w:jc w:val="center"/>
                    <w:rPr>
                      <w:color w:val="auto"/>
                      <w:sz w:val="21"/>
                      <w:szCs w:val="21"/>
                    </w:rPr>
                  </w:pPr>
                </w:p>
              </w:tc>
              <w:tc>
                <w:tcPr>
                  <w:tcW w:w="823" w:type="pct"/>
                  <w:shd w:val="clear" w:color="auto" w:fill="auto"/>
                  <w:vAlign w:val="center"/>
                </w:tcPr>
                <w:p w14:paraId="5D637F83">
                  <w:pPr>
                    <w:pStyle w:val="91"/>
                    <w:widowControl/>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color w:val="auto"/>
                      <w:sz w:val="21"/>
                      <w:szCs w:val="21"/>
                    </w:rPr>
                    <w:t>排放速率</w:t>
                  </w:r>
                </w:p>
              </w:tc>
              <w:tc>
                <w:tcPr>
                  <w:tcW w:w="504" w:type="pct"/>
                  <w:shd w:val="clear" w:color="auto" w:fill="auto"/>
                  <w:vAlign w:val="center"/>
                </w:tcPr>
                <w:p w14:paraId="32A4535A">
                  <w:pPr>
                    <w:pStyle w:val="91"/>
                    <w:widowControl/>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color w:val="auto"/>
                      <w:sz w:val="21"/>
                      <w:szCs w:val="21"/>
                    </w:rPr>
                    <w:t>kg/h</w:t>
                  </w:r>
                </w:p>
              </w:tc>
              <w:tc>
                <w:tcPr>
                  <w:tcW w:w="685" w:type="pct"/>
                  <w:vAlign w:val="center"/>
                </w:tcPr>
                <w:p w14:paraId="1E361F18">
                  <w:pPr>
                    <w:pStyle w:val="91"/>
                    <w:widowControl/>
                    <w:spacing w:line="240" w:lineRule="auto"/>
                    <w:ind w:firstLine="0" w:firstLineChars="0"/>
                    <w:jc w:val="center"/>
                    <w:rPr>
                      <w:rFonts w:hint="default"/>
                      <w:color w:val="auto"/>
                      <w:sz w:val="21"/>
                      <w:szCs w:val="21"/>
                      <w:lang w:val="en-US" w:eastAsia="zh-CN"/>
                    </w:rPr>
                  </w:pPr>
                  <w:r>
                    <w:rPr>
                      <w:rFonts w:hint="eastAsia"/>
                      <w:color w:val="auto"/>
                      <w:sz w:val="21"/>
                      <w:szCs w:val="21"/>
                    </w:rPr>
                    <w:t>0.0434</w:t>
                  </w:r>
                </w:p>
              </w:tc>
              <w:tc>
                <w:tcPr>
                  <w:tcW w:w="685" w:type="pct"/>
                  <w:shd w:val="clear" w:color="auto" w:fill="auto"/>
                  <w:vAlign w:val="center"/>
                </w:tcPr>
                <w:p w14:paraId="5D068D33">
                  <w:pPr>
                    <w:pStyle w:val="91"/>
                    <w:widowControl/>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hint="eastAsia"/>
                      <w:color w:val="auto"/>
                      <w:sz w:val="21"/>
                      <w:szCs w:val="21"/>
                    </w:rPr>
                    <w:t>--</w:t>
                  </w:r>
                </w:p>
              </w:tc>
              <w:tc>
                <w:tcPr>
                  <w:tcW w:w="424" w:type="pct"/>
                  <w:shd w:val="clear" w:color="auto" w:fill="auto"/>
                  <w:vAlign w:val="center"/>
                </w:tcPr>
                <w:p w14:paraId="6E02BB81">
                  <w:pPr>
                    <w:pStyle w:val="91"/>
                    <w:widowControl/>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hint="eastAsia"/>
                      <w:color w:val="auto"/>
                      <w:sz w:val="21"/>
                      <w:szCs w:val="21"/>
                    </w:rPr>
                    <w:t>--</w:t>
                  </w:r>
                </w:p>
              </w:tc>
            </w:tr>
            <w:tr w14:paraId="2B77ADE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8" w:type="pct"/>
                  <w:vMerge w:val="restart"/>
                  <w:vAlign w:val="center"/>
                </w:tcPr>
                <w:p w14:paraId="5E5E7B5B">
                  <w:pPr>
                    <w:pStyle w:val="91"/>
                    <w:widowControl/>
                    <w:spacing w:line="240" w:lineRule="auto"/>
                    <w:ind w:firstLine="0" w:firstLineChars="0"/>
                    <w:jc w:val="center"/>
                    <w:rPr>
                      <w:color w:val="auto"/>
                      <w:sz w:val="21"/>
                      <w:szCs w:val="21"/>
                    </w:rPr>
                  </w:pPr>
                  <w:r>
                    <w:rPr>
                      <w:color w:val="auto"/>
                      <w:sz w:val="21"/>
                      <w:szCs w:val="21"/>
                    </w:rPr>
                    <w:t>喷塑工序排气筒</w:t>
                  </w:r>
                  <w:r>
                    <w:rPr>
                      <w:rFonts w:hint="eastAsia"/>
                      <w:color w:val="auto"/>
                      <w:sz w:val="21"/>
                      <w:szCs w:val="21"/>
                    </w:rPr>
                    <w:t>（</w:t>
                  </w:r>
                  <w:r>
                    <w:rPr>
                      <w:color w:val="auto"/>
                      <w:sz w:val="21"/>
                      <w:szCs w:val="21"/>
                    </w:rPr>
                    <w:t>DA00</w:t>
                  </w:r>
                  <w:r>
                    <w:rPr>
                      <w:rFonts w:hint="eastAsia"/>
                      <w:color w:val="auto"/>
                      <w:sz w:val="21"/>
                      <w:szCs w:val="21"/>
                    </w:rPr>
                    <w:t>2）</w:t>
                  </w:r>
                </w:p>
              </w:tc>
              <w:tc>
                <w:tcPr>
                  <w:tcW w:w="659" w:type="pct"/>
                  <w:vMerge w:val="restart"/>
                  <w:vAlign w:val="center"/>
                </w:tcPr>
                <w:p w14:paraId="2D93EDDE">
                  <w:pPr>
                    <w:pStyle w:val="91"/>
                    <w:widowControl/>
                    <w:spacing w:line="240" w:lineRule="auto"/>
                    <w:ind w:firstLine="0" w:firstLineChars="0"/>
                    <w:jc w:val="center"/>
                    <w:rPr>
                      <w:color w:val="auto"/>
                      <w:sz w:val="21"/>
                      <w:szCs w:val="21"/>
                    </w:rPr>
                  </w:pPr>
                  <w:r>
                    <w:rPr>
                      <w:color w:val="auto"/>
                      <w:sz w:val="21"/>
                      <w:szCs w:val="21"/>
                    </w:rPr>
                    <w:t>颗粒物</w:t>
                  </w:r>
                </w:p>
              </w:tc>
              <w:tc>
                <w:tcPr>
                  <w:tcW w:w="823" w:type="pct"/>
                  <w:vAlign w:val="center"/>
                </w:tcPr>
                <w:p w14:paraId="2F2EF228">
                  <w:pPr>
                    <w:pStyle w:val="91"/>
                    <w:widowControl/>
                    <w:spacing w:line="240" w:lineRule="auto"/>
                    <w:ind w:firstLine="0" w:firstLineChars="0"/>
                    <w:jc w:val="center"/>
                    <w:rPr>
                      <w:rFonts w:eastAsia="Times New Roman"/>
                      <w:color w:val="auto"/>
                      <w:sz w:val="21"/>
                      <w:szCs w:val="21"/>
                      <w:lang w:bidi="en-US"/>
                    </w:rPr>
                  </w:pPr>
                  <w:r>
                    <w:rPr>
                      <w:rFonts w:hint="eastAsia" w:ascii="宋体" w:hAnsi="宋体" w:cs="宋体"/>
                      <w:color w:val="auto"/>
                      <w:sz w:val="21"/>
                      <w:szCs w:val="21"/>
                      <w:lang w:bidi="en-US"/>
                    </w:rPr>
                    <w:t>标干流量</w:t>
                  </w:r>
                </w:p>
              </w:tc>
              <w:tc>
                <w:tcPr>
                  <w:tcW w:w="504" w:type="pct"/>
                  <w:vAlign w:val="center"/>
                </w:tcPr>
                <w:p w14:paraId="14E76CD3">
                  <w:pPr>
                    <w:pStyle w:val="91"/>
                    <w:widowControl/>
                    <w:spacing w:line="240" w:lineRule="auto"/>
                    <w:ind w:firstLine="0" w:firstLineChars="0"/>
                    <w:jc w:val="center"/>
                    <w:rPr>
                      <w:color w:val="auto"/>
                      <w:sz w:val="21"/>
                      <w:szCs w:val="21"/>
                    </w:rPr>
                  </w:pPr>
                  <w:r>
                    <w:rPr>
                      <w:rFonts w:eastAsia="Times New Roman"/>
                      <w:color w:val="auto"/>
                      <w:sz w:val="21"/>
                      <w:szCs w:val="21"/>
                      <w:lang w:bidi="en-US"/>
                    </w:rPr>
                    <w:t>m</w:t>
                  </w:r>
                  <w:r>
                    <w:rPr>
                      <w:rFonts w:eastAsia="Times New Roman"/>
                      <w:color w:val="auto"/>
                      <w:sz w:val="21"/>
                      <w:szCs w:val="21"/>
                      <w:vertAlign w:val="superscript"/>
                      <w:lang w:bidi="en-US"/>
                    </w:rPr>
                    <w:t>3</w:t>
                  </w:r>
                  <w:r>
                    <w:rPr>
                      <w:rFonts w:eastAsia="Times New Roman"/>
                      <w:color w:val="auto"/>
                      <w:sz w:val="21"/>
                      <w:szCs w:val="21"/>
                      <w:lang w:bidi="en-US"/>
                    </w:rPr>
                    <w:t>/h</w:t>
                  </w:r>
                </w:p>
              </w:tc>
              <w:tc>
                <w:tcPr>
                  <w:tcW w:w="685" w:type="pct"/>
                  <w:vAlign w:val="center"/>
                </w:tcPr>
                <w:p w14:paraId="0E339B2D">
                  <w:pPr>
                    <w:pStyle w:val="91"/>
                    <w:widowControl/>
                    <w:spacing w:line="240" w:lineRule="auto"/>
                    <w:ind w:firstLine="0" w:firstLineChars="0"/>
                    <w:jc w:val="center"/>
                    <w:rPr>
                      <w:rFonts w:hint="eastAsia"/>
                      <w:color w:val="auto"/>
                      <w:sz w:val="21"/>
                      <w:szCs w:val="21"/>
                      <w:lang w:val="en-US" w:eastAsia="zh-CN"/>
                    </w:rPr>
                  </w:pPr>
                  <w:r>
                    <w:rPr>
                      <w:rFonts w:hint="eastAsia"/>
                      <w:color w:val="auto"/>
                      <w:sz w:val="21"/>
                      <w:szCs w:val="21"/>
                    </w:rPr>
                    <w:t>10596</w:t>
                  </w:r>
                </w:p>
              </w:tc>
              <w:tc>
                <w:tcPr>
                  <w:tcW w:w="685" w:type="pct"/>
                  <w:vAlign w:val="center"/>
                </w:tcPr>
                <w:p w14:paraId="024E02A8">
                  <w:pPr>
                    <w:pStyle w:val="91"/>
                    <w:widowControl/>
                    <w:spacing w:line="240" w:lineRule="auto"/>
                    <w:ind w:firstLine="0" w:firstLineChars="0"/>
                    <w:jc w:val="center"/>
                    <w:rPr>
                      <w:color w:val="auto"/>
                      <w:sz w:val="21"/>
                      <w:szCs w:val="21"/>
                    </w:rPr>
                  </w:pPr>
                  <w:r>
                    <w:rPr>
                      <w:rFonts w:hint="eastAsia"/>
                      <w:color w:val="auto"/>
                      <w:sz w:val="21"/>
                      <w:szCs w:val="21"/>
                    </w:rPr>
                    <w:t>--</w:t>
                  </w:r>
                </w:p>
              </w:tc>
              <w:tc>
                <w:tcPr>
                  <w:tcW w:w="424" w:type="pct"/>
                  <w:vAlign w:val="center"/>
                </w:tcPr>
                <w:p w14:paraId="3DBB8F71">
                  <w:pPr>
                    <w:pStyle w:val="91"/>
                    <w:widowControl/>
                    <w:spacing w:line="240" w:lineRule="auto"/>
                    <w:ind w:firstLine="0" w:firstLineChars="0"/>
                    <w:jc w:val="center"/>
                    <w:rPr>
                      <w:color w:val="auto"/>
                      <w:sz w:val="21"/>
                      <w:szCs w:val="21"/>
                    </w:rPr>
                  </w:pPr>
                  <w:r>
                    <w:rPr>
                      <w:rFonts w:hint="eastAsia"/>
                      <w:color w:val="auto"/>
                      <w:sz w:val="21"/>
                      <w:szCs w:val="21"/>
                    </w:rPr>
                    <w:t>--</w:t>
                  </w:r>
                </w:p>
              </w:tc>
            </w:tr>
            <w:tr w14:paraId="2A213C8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8" w:type="pct"/>
                  <w:vMerge w:val="continue"/>
                  <w:vAlign w:val="center"/>
                </w:tcPr>
                <w:p w14:paraId="62002982">
                  <w:pPr>
                    <w:pStyle w:val="91"/>
                    <w:widowControl/>
                    <w:spacing w:line="240" w:lineRule="auto"/>
                    <w:ind w:firstLine="0" w:firstLineChars="0"/>
                    <w:jc w:val="center"/>
                    <w:rPr>
                      <w:color w:val="auto"/>
                      <w:sz w:val="21"/>
                      <w:szCs w:val="21"/>
                    </w:rPr>
                  </w:pPr>
                </w:p>
              </w:tc>
              <w:tc>
                <w:tcPr>
                  <w:tcW w:w="659" w:type="pct"/>
                  <w:vMerge w:val="continue"/>
                  <w:vAlign w:val="center"/>
                </w:tcPr>
                <w:p w14:paraId="5F52E600">
                  <w:pPr>
                    <w:pStyle w:val="91"/>
                    <w:widowControl/>
                    <w:spacing w:line="240" w:lineRule="auto"/>
                    <w:ind w:firstLine="0" w:firstLineChars="0"/>
                    <w:jc w:val="center"/>
                    <w:rPr>
                      <w:color w:val="auto"/>
                      <w:sz w:val="21"/>
                      <w:szCs w:val="21"/>
                    </w:rPr>
                  </w:pPr>
                </w:p>
              </w:tc>
              <w:tc>
                <w:tcPr>
                  <w:tcW w:w="823" w:type="pct"/>
                  <w:vAlign w:val="center"/>
                </w:tcPr>
                <w:p w14:paraId="68D169C4">
                  <w:pPr>
                    <w:pStyle w:val="91"/>
                    <w:widowControl/>
                    <w:spacing w:line="240" w:lineRule="auto"/>
                    <w:ind w:firstLine="0" w:firstLineChars="0"/>
                    <w:jc w:val="center"/>
                    <w:rPr>
                      <w:color w:val="auto"/>
                      <w:sz w:val="21"/>
                      <w:szCs w:val="21"/>
                    </w:rPr>
                  </w:pPr>
                  <w:r>
                    <w:rPr>
                      <w:color w:val="auto"/>
                      <w:sz w:val="21"/>
                      <w:szCs w:val="21"/>
                    </w:rPr>
                    <w:t>排放浓度</w:t>
                  </w:r>
                </w:p>
              </w:tc>
              <w:tc>
                <w:tcPr>
                  <w:tcW w:w="504" w:type="pct"/>
                  <w:vAlign w:val="center"/>
                </w:tcPr>
                <w:p w14:paraId="3B710330">
                  <w:pPr>
                    <w:pStyle w:val="91"/>
                    <w:widowControl/>
                    <w:spacing w:line="240" w:lineRule="auto"/>
                    <w:ind w:firstLine="0" w:firstLineChars="0"/>
                    <w:jc w:val="center"/>
                    <w:rPr>
                      <w:color w:val="auto"/>
                      <w:sz w:val="21"/>
                      <w:szCs w:val="21"/>
                    </w:rPr>
                  </w:pPr>
                  <w:r>
                    <w:rPr>
                      <w:color w:val="auto"/>
                      <w:sz w:val="21"/>
                      <w:szCs w:val="21"/>
                    </w:rPr>
                    <w:t>mg/m</w:t>
                  </w:r>
                  <w:r>
                    <w:rPr>
                      <w:color w:val="auto"/>
                      <w:sz w:val="21"/>
                      <w:szCs w:val="21"/>
                      <w:vertAlign w:val="superscript"/>
                    </w:rPr>
                    <w:t>3</w:t>
                  </w:r>
                </w:p>
              </w:tc>
              <w:tc>
                <w:tcPr>
                  <w:tcW w:w="685" w:type="pct"/>
                  <w:vAlign w:val="top"/>
                </w:tcPr>
                <w:p w14:paraId="5D37C74D">
                  <w:pPr>
                    <w:pStyle w:val="91"/>
                    <w:widowControl/>
                    <w:spacing w:line="240" w:lineRule="auto"/>
                    <w:ind w:firstLine="0" w:firstLineChars="0"/>
                    <w:jc w:val="center"/>
                    <w:rPr>
                      <w:rFonts w:hint="eastAsia"/>
                      <w:color w:val="auto"/>
                      <w:sz w:val="21"/>
                      <w:szCs w:val="21"/>
                      <w:lang w:val="en-US" w:eastAsia="zh-CN"/>
                    </w:rPr>
                  </w:pPr>
                  <w:r>
                    <w:rPr>
                      <w:rFonts w:hint="eastAsia"/>
                      <w:color w:val="auto"/>
                      <w:sz w:val="21"/>
                      <w:szCs w:val="21"/>
                    </w:rPr>
                    <w:t>2.9</w:t>
                  </w:r>
                </w:p>
              </w:tc>
              <w:tc>
                <w:tcPr>
                  <w:tcW w:w="685" w:type="pct"/>
                  <w:vAlign w:val="center"/>
                </w:tcPr>
                <w:p w14:paraId="35E9E7B5">
                  <w:pPr>
                    <w:pStyle w:val="91"/>
                    <w:widowControl/>
                    <w:spacing w:line="240" w:lineRule="auto"/>
                    <w:ind w:firstLine="0" w:firstLineChars="0"/>
                    <w:jc w:val="center"/>
                    <w:rPr>
                      <w:color w:val="auto"/>
                      <w:sz w:val="21"/>
                      <w:szCs w:val="21"/>
                    </w:rPr>
                  </w:pPr>
                  <w:r>
                    <w:rPr>
                      <w:rFonts w:hint="eastAsia"/>
                      <w:color w:val="auto"/>
                      <w:sz w:val="21"/>
                      <w:szCs w:val="21"/>
                    </w:rPr>
                    <w:t>18</w:t>
                  </w:r>
                </w:p>
              </w:tc>
              <w:tc>
                <w:tcPr>
                  <w:tcW w:w="424" w:type="pct"/>
                  <w:vAlign w:val="center"/>
                </w:tcPr>
                <w:p w14:paraId="0C0B393C">
                  <w:pPr>
                    <w:pStyle w:val="91"/>
                    <w:widowControl/>
                    <w:spacing w:line="240" w:lineRule="auto"/>
                    <w:ind w:firstLine="0" w:firstLineChars="0"/>
                    <w:jc w:val="center"/>
                    <w:rPr>
                      <w:color w:val="auto"/>
                      <w:sz w:val="21"/>
                      <w:szCs w:val="21"/>
                    </w:rPr>
                  </w:pPr>
                  <w:r>
                    <w:rPr>
                      <w:color w:val="auto"/>
                      <w:sz w:val="21"/>
                      <w:szCs w:val="21"/>
                    </w:rPr>
                    <w:t>达标</w:t>
                  </w:r>
                </w:p>
              </w:tc>
            </w:tr>
            <w:tr w14:paraId="72FA1E8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8" w:type="pct"/>
                  <w:vMerge w:val="continue"/>
                  <w:vAlign w:val="center"/>
                </w:tcPr>
                <w:p w14:paraId="6B16C5AD">
                  <w:pPr>
                    <w:pStyle w:val="91"/>
                    <w:widowControl/>
                    <w:spacing w:line="240" w:lineRule="auto"/>
                    <w:ind w:firstLine="0" w:firstLineChars="0"/>
                    <w:jc w:val="center"/>
                    <w:rPr>
                      <w:color w:val="auto"/>
                      <w:sz w:val="21"/>
                      <w:szCs w:val="21"/>
                    </w:rPr>
                  </w:pPr>
                </w:p>
              </w:tc>
              <w:tc>
                <w:tcPr>
                  <w:tcW w:w="659" w:type="pct"/>
                  <w:vMerge w:val="continue"/>
                  <w:vAlign w:val="center"/>
                </w:tcPr>
                <w:p w14:paraId="624BE05E">
                  <w:pPr>
                    <w:pStyle w:val="91"/>
                    <w:widowControl/>
                    <w:spacing w:line="240" w:lineRule="auto"/>
                    <w:ind w:firstLine="0" w:firstLineChars="0"/>
                    <w:jc w:val="center"/>
                    <w:rPr>
                      <w:color w:val="auto"/>
                      <w:sz w:val="21"/>
                      <w:szCs w:val="21"/>
                    </w:rPr>
                  </w:pPr>
                </w:p>
              </w:tc>
              <w:tc>
                <w:tcPr>
                  <w:tcW w:w="823" w:type="pct"/>
                  <w:vAlign w:val="center"/>
                </w:tcPr>
                <w:p w14:paraId="7F8345BE">
                  <w:pPr>
                    <w:pStyle w:val="91"/>
                    <w:widowControl/>
                    <w:spacing w:line="240" w:lineRule="auto"/>
                    <w:ind w:firstLine="0" w:firstLineChars="0"/>
                    <w:jc w:val="center"/>
                    <w:rPr>
                      <w:color w:val="auto"/>
                      <w:sz w:val="21"/>
                      <w:szCs w:val="21"/>
                    </w:rPr>
                  </w:pPr>
                  <w:r>
                    <w:rPr>
                      <w:color w:val="auto"/>
                      <w:sz w:val="21"/>
                      <w:szCs w:val="21"/>
                    </w:rPr>
                    <w:t>排放速率</w:t>
                  </w:r>
                </w:p>
              </w:tc>
              <w:tc>
                <w:tcPr>
                  <w:tcW w:w="504" w:type="pct"/>
                  <w:vAlign w:val="center"/>
                </w:tcPr>
                <w:p w14:paraId="09950DD3">
                  <w:pPr>
                    <w:pStyle w:val="91"/>
                    <w:widowControl/>
                    <w:spacing w:line="240" w:lineRule="auto"/>
                    <w:ind w:firstLine="0" w:firstLineChars="0"/>
                    <w:jc w:val="center"/>
                    <w:rPr>
                      <w:color w:val="auto"/>
                      <w:sz w:val="21"/>
                      <w:szCs w:val="21"/>
                    </w:rPr>
                  </w:pPr>
                  <w:r>
                    <w:rPr>
                      <w:color w:val="auto"/>
                      <w:sz w:val="21"/>
                      <w:szCs w:val="21"/>
                    </w:rPr>
                    <w:t>kg/h</w:t>
                  </w:r>
                </w:p>
              </w:tc>
              <w:tc>
                <w:tcPr>
                  <w:tcW w:w="685" w:type="pct"/>
                  <w:vAlign w:val="top"/>
                </w:tcPr>
                <w:p w14:paraId="05D9CE0A">
                  <w:pPr>
                    <w:pStyle w:val="91"/>
                    <w:widowControl/>
                    <w:spacing w:line="240" w:lineRule="auto"/>
                    <w:ind w:firstLine="0" w:firstLineChars="0"/>
                    <w:jc w:val="center"/>
                    <w:rPr>
                      <w:rFonts w:hint="eastAsia"/>
                      <w:color w:val="auto"/>
                      <w:sz w:val="21"/>
                      <w:szCs w:val="21"/>
                      <w:lang w:val="en-US" w:eastAsia="zh-CN"/>
                    </w:rPr>
                  </w:pPr>
                  <w:r>
                    <w:rPr>
                      <w:rFonts w:hint="eastAsia"/>
                      <w:color w:val="auto"/>
                      <w:sz w:val="21"/>
                      <w:szCs w:val="21"/>
                    </w:rPr>
                    <w:t>0.0303</w:t>
                  </w:r>
                </w:p>
              </w:tc>
              <w:tc>
                <w:tcPr>
                  <w:tcW w:w="685" w:type="pct"/>
                  <w:vAlign w:val="center"/>
                </w:tcPr>
                <w:p w14:paraId="6D7FF99C">
                  <w:pPr>
                    <w:pStyle w:val="91"/>
                    <w:widowControl/>
                    <w:spacing w:line="240" w:lineRule="auto"/>
                    <w:ind w:firstLine="0" w:firstLineChars="0"/>
                    <w:jc w:val="center"/>
                    <w:rPr>
                      <w:color w:val="auto"/>
                      <w:sz w:val="21"/>
                      <w:szCs w:val="21"/>
                    </w:rPr>
                  </w:pPr>
                  <w:r>
                    <w:rPr>
                      <w:rFonts w:hint="eastAsia"/>
                      <w:color w:val="auto"/>
                      <w:sz w:val="21"/>
                      <w:szCs w:val="21"/>
                    </w:rPr>
                    <w:t>3.4（30m）</w:t>
                  </w:r>
                </w:p>
              </w:tc>
              <w:tc>
                <w:tcPr>
                  <w:tcW w:w="424" w:type="pct"/>
                  <w:vAlign w:val="center"/>
                </w:tcPr>
                <w:p w14:paraId="5E8614C8">
                  <w:pPr>
                    <w:pStyle w:val="91"/>
                    <w:widowControl/>
                    <w:spacing w:line="240" w:lineRule="auto"/>
                    <w:ind w:firstLine="0" w:firstLineChars="0"/>
                    <w:jc w:val="center"/>
                    <w:rPr>
                      <w:color w:val="auto"/>
                      <w:sz w:val="21"/>
                      <w:szCs w:val="21"/>
                    </w:rPr>
                  </w:pPr>
                  <w:r>
                    <w:rPr>
                      <w:color w:val="auto"/>
                      <w:sz w:val="21"/>
                      <w:szCs w:val="21"/>
                    </w:rPr>
                    <w:t>达标</w:t>
                  </w:r>
                </w:p>
              </w:tc>
            </w:tr>
            <w:tr w14:paraId="60932CB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8" w:type="pct"/>
                  <w:vMerge w:val="restart"/>
                  <w:vAlign w:val="center"/>
                </w:tcPr>
                <w:p w14:paraId="57E62BDB">
                  <w:pPr>
                    <w:pStyle w:val="91"/>
                    <w:widowControl/>
                    <w:spacing w:line="240" w:lineRule="auto"/>
                    <w:ind w:firstLine="0" w:firstLineChars="0"/>
                    <w:jc w:val="center"/>
                    <w:rPr>
                      <w:color w:val="auto"/>
                      <w:sz w:val="21"/>
                      <w:szCs w:val="21"/>
                    </w:rPr>
                  </w:pPr>
                  <w:r>
                    <w:rPr>
                      <w:color w:val="auto"/>
                      <w:sz w:val="21"/>
                      <w:szCs w:val="21"/>
                    </w:rPr>
                    <w:t>固化工序</w:t>
                  </w:r>
                  <w:r>
                    <w:rPr>
                      <w:rFonts w:hint="eastAsia"/>
                      <w:color w:val="auto"/>
                      <w:sz w:val="21"/>
                      <w:szCs w:val="21"/>
                    </w:rPr>
                    <w:t>排气筒（</w:t>
                  </w:r>
                  <w:r>
                    <w:rPr>
                      <w:color w:val="auto"/>
                      <w:sz w:val="21"/>
                      <w:szCs w:val="21"/>
                    </w:rPr>
                    <w:t>DA00</w:t>
                  </w:r>
                  <w:r>
                    <w:rPr>
                      <w:rFonts w:hint="eastAsia"/>
                      <w:color w:val="auto"/>
                      <w:sz w:val="21"/>
                      <w:szCs w:val="21"/>
                    </w:rPr>
                    <w:t>3）</w:t>
                  </w:r>
                </w:p>
              </w:tc>
              <w:tc>
                <w:tcPr>
                  <w:tcW w:w="659" w:type="pct"/>
                  <w:vMerge w:val="restart"/>
                  <w:vAlign w:val="center"/>
                </w:tcPr>
                <w:p w14:paraId="45348F96">
                  <w:pPr>
                    <w:pStyle w:val="91"/>
                    <w:widowControl/>
                    <w:spacing w:line="240" w:lineRule="auto"/>
                    <w:ind w:firstLine="0" w:firstLineChars="0"/>
                    <w:jc w:val="center"/>
                    <w:rPr>
                      <w:color w:val="auto"/>
                      <w:sz w:val="21"/>
                      <w:szCs w:val="21"/>
                    </w:rPr>
                  </w:pPr>
                  <w:r>
                    <w:rPr>
                      <w:color w:val="auto"/>
                      <w:sz w:val="21"/>
                      <w:szCs w:val="21"/>
                    </w:rPr>
                    <w:t>非甲烷总烃</w:t>
                  </w:r>
                </w:p>
              </w:tc>
              <w:tc>
                <w:tcPr>
                  <w:tcW w:w="823" w:type="pct"/>
                  <w:shd w:val="clear" w:color="auto" w:fill="auto"/>
                  <w:vAlign w:val="center"/>
                </w:tcPr>
                <w:p w14:paraId="21BEBC4E">
                  <w:pPr>
                    <w:pStyle w:val="91"/>
                    <w:widowControl/>
                    <w:spacing w:line="240" w:lineRule="auto"/>
                    <w:ind w:firstLine="0" w:firstLineChars="0"/>
                    <w:jc w:val="center"/>
                    <w:rPr>
                      <w:rFonts w:ascii="Times New Roman" w:hAnsi="Times New Roman" w:eastAsia="Times New Roman" w:cs="Times New Roman"/>
                      <w:color w:val="auto"/>
                      <w:kern w:val="0"/>
                      <w:sz w:val="21"/>
                      <w:szCs w:val="21"/>
                      <w:lang w:val="en-US" w:eastAsia="zh-CN" w:bidi="en-US"/>
                    </w:rPr>
                  </w:pPr>
                  <w:r>
                    <w:rPr>
                      <w:rFonts w:hint="eastAsia" w:ascii="宋体" w:hAnsi="宋体" w:cs="宋体"/>
                      <w:color w:val="auto"/>
                      <w:sz w:val="21"/>
                      <w:szCs w:val="21"/>
                      <w:lang w:bidi="en-US"/>
                    </w:rPr>
                    <w:t>标干流量</w:t>
                  </w:r>
                </w:p>
              </w:tc>
              <w:tc>
                <w:tcPr>
                  <w:tcW w:w="504" w:type="pct"/>
                  <w:shd w:val="clear" w:color="auto" w:fill="auto"/>
                  <w:vAlign w:val="center"/>
                </w:tcPr>
                <w:p w14:paraId="193A7BE2">
                  <w:pPr>
                    <w:pStyle w:val="91"/>
                    <w:widowControl/>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eastAsia="Times New Roman"/>
                      <w:color w:val="auto"/>
                      <w:sz w:val="21"/>
                      <w:szCs w:val="21"/>
                      <w:lang w:bidi="en-US"/>
                    </w:rPr>
                    <w:t>m</w:t>
                  </w:r>
                  <w:r>
                    <w:rPr>
                      <w:rFonts w:eastAsia="Times New Roman"/>
                      <w:color w:val="auto"/>
                      <w:sz w:val="21"/>
                      <w:szCs w:val="21"/>
                      <w:vertAlign w:val="superscript"/>
                      <w:lang w:bidi="en-US"/>
                    </w:rPr>
                    <w:t>3</w:t>
                  </w:r>
                  <w:r>
                    <w:rPr>
                      <w:rFonts w:eastAsia="Times New Roman"/>
                      <w:color w:val="auto"/>
                      <w:sz w:val="21"/>
                      <w:szCs w:val="21"/>
                      <w:lang w:bidi="en-US"/>
                    </w:rPr>
                    <w:t>/h</w:t>
                  </w:r>
                </w:p>
              </w:tc>
              <w:tc>
                <w:tcPr>
                  <w:tcW w:w="685" w:type="pct"/>
                  <w:shd w:val="clear" w:color="auto" w:fill="auto"/>
                  <w:vAlign w:val="center"/>
                </w:tcPr>
                <w:p w14:paraId="0FC722EC">
                  <w:pPr>
                    <w:pStyle w:val="91"/>
                    <w:widowControl/>
                    <w:spacing w:line="240" w:lineRule="auto"/>
                    <w:ind w:firstLine="0" w:firstLineChars="0"/>
                    <w:jc w:val="center"/>
                    <w:rPr>
                      <w:rFonts w:hint="eastAsia"/>
                      <w:color w:val="auto"/>
                      <w:sz w:val="21"/>
                      <w:szCs w:val="21"/>
                      <w:lang w:val="en-US" w:eastAsia="zh-CN"/>
                    </w:rPr>
                  </w:pPr>
                  <w:r>
                    <w:rPr>
                      <w:rFonts w:hint="eastAsia"/>
                      <w:color w:val="auto"/>
                      <w:sz w:val="21"/>
                      <w:szCs w:val="21"/>
                    </w:rPr>
                    <w:t>6637</w:t>
                  </w:r>
                </w:p>
              </w:tc>
              <w:tc>
                <w:tcPr>
                  <w:tcW w:w="685" w:type="pct"/>
                  <w:shd w:val="clear" w:color="auto" w:fill="auto"/>
                  <w:vAlign w:val="center"/>
                </w:tcPr>
                <w:p w14:paraId="09A3966B">
                  <w:pPr>
                    <w:pStyle w:val="91"/>
                    <w:widowControl/>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hint="eastAsia"/>
                      <w:color w:val="auto"/>
                      <w:sz w:val="21"/>
                      <w:szCs w:val="21"/>
                    </w:rPr>
                    <w:t>--</w:t>
                  </w:r>
                </w:p>
              </w:tc>
              <w:tc>
                <w:tcPr>
                  <w:tcW w:w="424" w:type="pct"/>
                  <w:shd w:val="clear" w:color="auto" w:fill="auto"/>
                  <w:vAlign w:val="center"/>
                </w:tcPr>
                <w:p w14:paraId="41501CC2">
                  <w:pPr>
                    <w:pStyle w:val="91"/>
                    <w:widowControl/>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hint="eastAsia"/>
                      <w:color w:val="auto"/>
                      <w:sz w:val="21"/>
                      <w:szCs w:val="21"/>
                    </w:rPr>
                    <w:t>--</w:t>
                  </w:r>
                </w:p>
              </w:tc>
            </w:tr>
            <w:tr w14:paraId="036CFAE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8" w:type="pct"/>
                  <w:vMerge w:val="continue"/>
                  <w:vAlign w:val="center"/>
                </w:tcPr>
                <w:p w14:paraId="5DEA4EE6">
                  <w:pPr>
                    <w:pStyle w:val="91"/>
                    <w:widowControl/>
                    <w:spacing w:line="240" w:lineRule="auto"/>
                    <w:ind w:firstLine="0" w:firstLineChars="0"/>
                    <w:jc w:val="center"/>
                    <w:rPr>
                      <w:color w:val="auto"/>
                      <w:sz w:val="21"/>
                      <w:szCs w:val="21"/>
                    </w:rPr>
                  </w:pPr>
                </w:p>
              </w:tc>
              <w:tc>
                <w:tcPr>
                  <w:tcW w:w="659" w:type="pct"/>
                  <w:vMerge w:val="continue"/>
                  <w:vAlign w:val="center"/>
                </w:tcPr>
                <w:p w14:paraId="062F3069">
                  <w:pPr>
                    <w:pStyle w:val="91"/>
                    <w:widowControl/>
                    <w:spacing w:line="240" w:lineRule="auto"/>
                    <w:ind w:firstLine="0" w:firstLineChars="0"/>
                    <w:jc w:val="center"/>
                    <w:rPr>
                      <w:color w:val="auto"/>
                      <w:sz w:val="21"/>
                      <w:szCs w:val="21"/>
                    </w:rPr>
                  </w:pPr>
                </w:p>
              </w:tc>
              <w:tc>
                <w:tcPr>
                  <w:tcW w:w="823" w:type="pct"/>
                  <w:shd w:val="clear" w:color="auto" w:fill="auto"/>
                  <w:vAlign w:val="center"/>
                </w:tcPr>
                <w:p w14:paraId="6A43E914">
                  <w:pPr>
                    <w:pStyle w:val="91"/>
                    <w:widowControl/>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color w:val="auto"/>
                      <w:sz w:val="21"/>
                      <w:szCs w:val="21"/>
                    </w:rPr>
                    <w:t>排放浓度</w:t>
                  </w:r>
                </w:p>
              </w:tc>
              <w:tc>
                <w:tcPr>
                  <w:tcW w:w="504" w:type="pct"/>
                  <w:shd w:val="clear" w:color="auto" w:fill="auto"/>
                  <w:vAlign w:val="center"/>
                </w:tcPr>
                <w:p w14:paraId="6052AEAA">
                  <w:pPr>
                    <w:pStyle w:val="91"/>
                    <w:widowControl/>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color w:val="auto"/>
                      <w:sz w:val="21"/>
                      <w:szCs w:val="21"/>
                    </w:rPr>
                    <w:t>mg/m</w:t>
                  </w:r>
                  <w:r>
                    <w:rPr>
                      <w:color w:val="auto"/>
                      <w:sz w:val="21"/>
                      <w:szCs w:val="21"/>
                      <w:vertAlign w:val="superscript"/>
                    </w:rPr>
                    <w:t>3</w:t>
                  </w:r>
                </w:p>
              </w:tc>
              <w:tc>
                <w:tcPr>
                  <w:tcW w:w="685" w:type="pct"/>
                  <w:shd w:val="clear" w:color="auto" w:fill="auto"/>
                  <w:vAlign w:val="top"/>
                </w:tcPr>
                <w:p w14:paraId="685A7D81">
                  <w:pPr>
                    <w:pStyle w:val="91"/>
                    <w:widowControl/>
                    <w:spacing w:line="240" w:lineRule="auto"/>
                    <w:ind w:firstLine="0" w:firstLineChars="0"/>
                    <w:jc w:val="center"/>
                    <w:rPr>
                      <w:rFonts w:hint="eastAsia"/>
                      <w:color w:val="auto"/>
                      <w:sz w:val="21"/>
                      <w:szCs w:val="21"/>
                      <w:lang w:val="en-US" w:eastAsia="zh-CN"/>
                    </w:rPr>
                  </w:pPr>
                  <w:r>
                    <w:rPr>
                      <w:rFonts w:hint="eastAsia"/>
                      <w:color w:val="auto"/>
                      <w:sz w:val="21"/>
                      <w:szCs w:val="21"/>
                    </w:rPr>
                    <w:t>6.24</w:t>
                  </w:r>
                </w:p>
              </w:tc>
              <w:tc>
                <w:tcPr>
                  <w:tcW w:w="685" w:type="pct"/>
                  <w:shd w:val="clear" w:color="auto" w:fill="auto"/>
                  <w:vAlign w:val="center"/>
                </w:tcPr>
                <w:p w14:paraId="40BDEC2E">
                  <w:pPr>
                    <w:pStyle w:val="91"/>
                    <w:widowControl/>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hint="eastAsia"/>
                      <w:color w:val="auto"/>
                      <w:sz w:val="21"/>
                      <w:szCs w:val="21"/>
                    </w:rPr>
                    <w:t>30</w:t>
                  </w:r>
                </w:p>
              </w:tc>
              <w:tc>
                <w:tcPr>
                  <w:tcW w:w="424" w:type="pct"/>
                  <w:shd w:val="clear" w:color="auto" w:fill="auto"/>
                  <w:vAlign w:val="center"/>
                </w:tcPr>
                <w:p w14:paraId="08343A75">
                  <w:pPr>
                    <w:pStyle w:val="91"/>
                    <w:widowControl/>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color w:val="auto"/>
                      <w:sz w:val="21"/>
                      <w:szCs w:val="21"/>
                    </w:rPr>
                    <w:t>达标</w:t>
                  </w:r>
                </w:p>
              </w:tc>
            </w:tr>
            <w:tr w14:paraId="36AF0ED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8" w:type="pct"/>
                  <w:vMerge w:val="continue"/>
                  <w:vAlign w:val="center"/>
                </w:tcPr>
                <w:p w14:paraId="734D2A47">
                  <w:pPr>
                    <w:pStyle w:val="91"/>
                    <w:widowControl/>
                    <w:spacing w:line="240" w:lineRule="auto"/>
                    <w:ind w:firstLine="0" w:firstLineChars="0"/>
                    <w:jc w:val="center"/>
                    <w:rPr>
                      <w:color w:val="auto"/>
                      <w:sz w:val="21"/>
                      <w:szCs w:val="21"/>
                    </w:rPr>
                  </w:pPr>
                </w:p>
              </w:tc>
              <w:tc>
                <w:tcPr>
                  <w:tcW w:w="659" w:type="pct"/>
                  <w:vMerge w:val="continue"/>
                  <w:vAlign w:val="center"/>
                </w:tcPr>
                <w:p w14:paraId="0390C7B5">
                  <w:pPr>
                    <w:pStyle w:val="91"/>
                    <w:widowControl/>
                    <w:spacing w:line="240" w:lineRule="auto"/>
                    <w:ind w:firstLine="0" w:firstLineChars="0"/>
                    <w:jc w:val="center"/>
                    <w:rPr>
                      <w:color w:val="auto"/>
                      <w:sz w:val="21"/>
                      <w:szCs w:val="21"/>
                    </w:rPr>
                  </w:pPr>
                </w:p>
              </w:tc>
              <w:tc>
                <w:tcPr>
                  <w:tcW w:w="823" w:type="pct"/>
                  <w:shd w:val="clear" w:color="auto" w:fill="auto"/>
                  <w:vAlign w:val="center"/>
                </w:tcPr>
                <w:p w14:paraId="351FF1C0">
                  <w:pPr>
                    <w:pStyle w:val="91"/>
                    <w:widowControl/>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color w:val="auto"/>
                      <w:sz w:val="21"/>
                      <w:szCs w:val="21"/>
                    </w:rPr>
                    <w:t>排放速率</w:t>
                  </w:r>
                </w:p>
              </w:tc>
              <w:tc>
                <w:tcPr>
                  <w:tcW w:w="504" w:type="pct"/>
                  <w:shd w:val="clear" w:color="auto" w:fill="auto"/>
                  <w:vAlign w:val="center"/>
                </w:tcPr>
                <w:p w14:paraId="2970BA87">
                  <w:pPr>
                    <w:pStyle w:val="91"/>
                    <w:widowControl/>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color w:val="auto"/>
                      <w:sz w:val="21"/>
                      <w:szCs w:val="21"/>
                    </w:rPr>
                    <w:t>kg/h</w:t>
                  </w:r>
                </w:p>
              </w:tc>
              <w:tc>
                <w:tcPr>
                  <w:tcW w:w="685" w:type="pct"/>
                  <w:shd w:val="clear" w:color="auto" w:fill="auto"/>
                  <w:vAlign w:val="top"/>
                </w:tcPr>
                <w:p w14:paraId="5BFFE114">
                  <w:pPr>
                    <w:pStyle w:val="91"/>
                    <w:widowControl/>
                    <w:spacing w:line="240" w:lineRule="auto"/>
                    <w:ind w:firstLine="0" w:firstLineChars="0"/>
                    <w:jc w:val="center"/>
                    <w:rPr>
                      <w:rFonts w:hint="eastAsia"/>
                      <w:color w:val="auto"/>
                      <w:sz w:val="21"/>
                      <w:szCs w:val="21"/>
                      <w:lang w:val="en-US" w:eastAsia="zh-CN"/>
                    </w:rPr>
                  </w:pPr>
                  <w:r>
                    <w:rPr>
                      <w:rFonts w:hint="eastAsia"/>
                      <w:color w:val="auto"/>
                      <w:sz w:val="21"/>
                      <w:szCs w:val="21"/>
                    </w:rPr>
                    <w:t>0.0415</w:t>
                  </w:r>
                </w:p>
              </w:tc>
              <w:tc>
                <w:tcPr>
                  <w:tcW w:w="685" w:type="pct"/>
                  <w:shd w:val="clear" w:color="auto" w:fill="auto"/>
                  <w:vAlign w:val="center"/>
                </w:tcPr>
                <w:p w14:paraId="053C8557">
                  <w:pPr>
                    <w:pStyle w:val="91"/>
                    <w:widowControl/>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hint="eastAsia"/>
                      <w:color w:val="auto"/>
                      <w:sz w:val="21"/>
                      <w:szCs w:val="21"/>
                    </w:rPr>
                    <w:t>--</w:t>
                  </w:r>
                </w:p>
              </w:tc>
              <w:tc>
                <w:tcPr>
                  <w:tcW w:w="424" w:type="pct"/>
                  <w:shd w:val="clear" w:color="auto" w:fill="auto"/>
                  <w:vAlign w:val="center"/>
                </w:tcPr>
                <w:p w14:paraId="5608751E">
                  <w:pPr>
                    <w:pStyle w:val="91"/>
                    <w:widowControl/>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hint="eastAsia"/>
                      <w:color w:val="auto"/>
                      <w:sz w:val="21"/>
                      <w:szCs w:val="21"/>
                    </w:rPr>
                    <w:t>--</w:t>
                  </w:r>
                </w:p>
              </w:tc>
            </w:tr>
            <w:tr w14:paraId="74A6E8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8" w:type="pct"/>
                  <w:vMerge w:val="restart"/>
                  <w:vAlign w:val="center"/>
                </w:tcPr>
                <w:p w14:paraId="2260F075">
                  <w:pPr>
                    <w:pStyle w:val="91"/>
                    <w:widowControl/>
                    <w:spacing w:line="240" w:lineRule="auto"/>
                    <w:ind w:firstLine="0" w:firstLineChars="0"/>
                    <w:jc w:val="center"/>
                    <w:rPr>
                      <w:color w:val="auto"/>
                      <w:sz w:val="21"/>
                      <w:szCs w:val="21"/>
                    </w:rPr>
                  </w:pPr>
                  <w:r>
                    <w:rPr>
                      <w:color w:val="auto"/>
                      <w:sz w:val="21"/>
                      <w:szCs w:val="21"/>
                      <w:highlight w:val="none"/>
                    </w:rPr>
                    <w:t>重型车间</w:t>
                  </w:r>
                  <w:r>
                    <w:rPr>
                      <w:rFonts w:hint="eastAsia"/>
                      <w:color w:val="auto"/>
                      <w:sz w:val="21"/>
                      <w:szCs w:val="21"/>
                    </w:rPr>
                    <w:t>抛丸工序</w:t>
                  </w:r>
                  <w:r>
                    <w:rPr>
                      <w:color w:val="auto"/>
                      <w:sz w:val="21"/>
                      <w:szCs w:val="21"/>
                    </w:rPr>
                    <w:t>排气筒</w:t>
                  </w:r>
                  <w:r>
                    <w:rPr>
                      <w:rFonts w:hint="eastAsia"/>
                      <w:color w:val="auto"/>
                      <w:sz w:val="21"/>
                      <w:szCs w:val="21"/>
                    </w:rPr>
                    <w:t>（</w:t>
                  </w:r>
                  <w:r>
                    <w:rPr>
                      <w:color w:val="auto"/>
                      <w:sz w:val="21"/>
                      <w:szCs w:val="21"/>
                    </w:rPr>
                    <w:t>DA00</w:t>
                  </w:r>
                  <w:r>
                    <w:rPr>
                      <w:rFonts w:hint="eastAsia"/>
                      <w:color w:val="auto"/>
                      <w:sz w:val="21"/>
                      <w:szCs w:val="21"/>
                      <w:lang w:val="en-US" w:eastAsia="zh-CN"/>
                    </w:rPr>
                    <w:t>4</w:t>
                  </w:r>
                  <w:r>
                    <w:rPr>
                      <w:rFonts w:hint="eastAsia"/>
                      <w:color w:val="auto"/>
                      <w:sz w:val="21"/>
                      <w:szCs w:val="21"/>
                    </w:rPr>
                    <w:t>）</w:t>
                  </w:r>
                </w:p>
              </w:tc>
              <w:tc>
                <w:tcPr>
                  <w:tcW w:w="659" w:type="pct"/>
                  <w:vMerge w:val="restart"/>
                  <w:vAlign w:val="center"/>
                </w:tcPr>
                <w:p w14:paraId="49204378">
                  <w:pPr>
                    <w:pStyle w:val="91"/>
                    <w:widowControl/>
                    <w:spacing w:line="240" w:lineRule="auto"/>
                    <w:ind w:firstLine="0" w:firstLineChars="0"/>
                    <w:jc w:val="center"/>
                    <w:rPr>
                      <w:color w:val="auto"/>
                      <w:sz w:val="21"/>
                      <w:szCs w:val="21"/>
                    </w:rPr>
                  </w:pPr>
                  <w:r>
                    <w:rPr>
                      <w:color w:val="auto"/>
                      <w:sz w:val="21"/>
                      <w:szCs w:val="21"/>
                    </w:rPr>
                    <w:t>颗粒物</w:t>
                  </w:r>
                </w:p>
              </w:tc>
              <w:tc>
                <w:tcPr>
                  <w:tcW w:w="823" w:type="pct"/>
                  <w:vAlign w:val="center"/>
                </w:tcPr>
                <w:p w14:paraId="5F1CA211">
                  <w:pPr>
                    <w:pStyle w:val="91"/>
                    <w:widowControl/>
                    <w:spacing w:line="240" w:lineRule="auto"/>
                    <w:ind w:firstLine="0" w:firstLineChars="0"/>
                    <w:jc w:val="center"/>
                    <w:rPr>
                      <w:color w:val="auto"/>
                      <w:sz w:val="21"/>
                      <w:szCs w:val="21"/>
                    </w:rPr>
                  </w:pPr>
                  <w:r>
                    <w:rPr>
                      <w:rFonts w:hint="eastAsia" w:ascii="宋体" w:hAnsi="宋体" w:cs="宋体"/>
                      <w:color w:val="auto"/>
                      <w:sz w:val="21"/>
                      <w:szCs w:val="21"/>
                      <w:lang w:bidi="en-US"/>
                    </w:rPr>
                    <w:t>标干流量</w:t>
                  </w:r>
                </w:p>
              </w:tc>
              <w:tc>
                <w:tcPr>
                  <w:tcW w:w="504" w:type="pct"/>
                  <w:vAlign w:val="center"/>
                </w:tcPr>
                <w:p w14:paraId="301FDE9B">
                  <w:pPr>
                    <w:pStyle w:val="91"/>
                    <w:widowControl/>
                    <w:spacing w:line="240" w:lineRule="auto"/>
                    <w:ind w:firstLine="0" w:firstLineChars="0"/>
                    <w:jc w:val="center"/>
                    <w:rPr>
                      <w:rFonts w:hint="eastAsia"/>
                      <w:color w:val="auto"/>
                      <w:sz w:val="21"/>
                      <w:szCs w:val="21"/>
                    </w:rPr>
                  </w:pPr>
                  <w:r>
                    <w:rPr>
                      <w:rFonts w:eastAsia="Times New Roman"/>
                      <w:color w:val="auto"/>
                      <w:sz w:val="21"/>
                      <w:szCs w:val="21"/>
                      <w:lang w:bidi="en-US"/>
                    </w:rPr>
                    <w:t>m</w:t>
                  </w:r>
                  <w:r>
                    <w:rPr>
                      <w:rFonts w:eastAsia="Times New Roman"/>
                      <w:color w:val="auto"/>
                      <w:sz w:val="21"/>
                      <w:szCs w:val="21"/>
                      <w:vertAlign w:val="superscript"/>
                      <w:lang w:bidi="en-US"/>
                    </w:rPr>
                    <w:t>3</w:t>
                  </w:r>
                  <w:r>
                    <w:rPr>
                      <w:rFonts w:eastAsia="Times New Roman"/>
                      <w:color w:val="auto"/>
                      <w:sz w:val="21"/>
                      <w:szCs w:val="21"/>
                      <w:lang w:bidi="en-US"/>
                    </w:rPr>
                    <w:t>/h</w:t>
                  </w:r>
                </w:p>
              </w:tc>
              <w:tc>
                <w:tcPr>
                  <w:tcW w:w="685" w:type="pct"/>
                  <w:shd w:val="clear" w:color="auto" w:fill="auto"/>
                  <w:vAlign w:val="center"/>
                </w:tcPr>
                <w:p w14:paraId="069B780B">
                  <w:pPr>
                    <w:pStyle w:val="91"/>
                    <w:widowControl/>
                    <w:spacing w:line="240" w:lineRule="auto"/>
                    <w:ind w:firstLine="0" w:firstLineChars="0"/>
                    <w:jc w:val="center"/>
                    <w:rPr>
                      <w:rFonts w:hint="eastAsia"/>
                      <w:color w:val="auto"/>
                      <w:sz w:val="21"/>
                      <w:szCs w:val="21"/>
                      <w:lang w:val="en-US" w:eastAsia="zh-CN"/>
                    </w:rPr>
                  </w:pPr>
                  <w:r>
                    <w:rPr>
                      <w:rFonts w:hint="eastAsia"/>
                      <w:color w:val="auto"/>
                      <w:sz w:val="21"/>
                      <w:szCs w:val="21"/>
                    </w:rPr>
                    <w:t>22524</w:t>
                  </w:r>
                </w:p>
              </w:tc>
              <w:tc>
                <w:tcPr>
                  <w:tcW w:w="685" w:type="pct"/>
                  <w:shd w:val="clear" w:color="auto" w:fill="auto"/>
                  <w:vAlign w:val="center"/>
                </w:tcPr>
                <w:p w14:paraId="5ECC96DB">
                  <w:pPr>
                    <w:pStyle w:val="91"/>
                    <w:widowControl/>
                    <w:spacing w:line="240" w:lineRule="auto"/>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sz w:val="21"/>
                      <w:szCs w:val="21"/>
                    </w:rPr>
                    <w:t>--</w:t>
                  </w:r>
                </w:p>
              </w:tc>
              <w:tc>
                <w:tcPr>
                  <w:tcW w:w="424" w:type="pct"/>
                  <w:shd w:val="clear" w:color="auto" w:fill="auto"/>
                  <w:vAlign w:val="center"/>
                </w:tcPr>
                <w:p w14:paraId="70A4CEF7">
                  <w:pPr>
                    <w:pStyle w:val="91"/>
                    <w:widowControl/>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hint="eastAsia"/>
                      <w:color w:val="auto"/>
                      <w:sz w:val="21"/>
                      <w:szCs w:val="21"/>
                    </w:rPr>
                    <w:t>--</w:t>
                  </w:r>
                </w:p>
              </w:tc>
            </w:tr>
            <w:tr w14:paraId="2012C7E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1218" w:type="pct"/>
                  <w:vMerge w:val="continue"/>
                  <w:vAlign w:val="center"/>
                </w:tcPr>
                <w:p w14:paraId="348768AB">
                  <w:pPr>
                    <w:pStyle w:val="91"/>
                    <w:widowControl/>
                    <w:spacing w:line="240" w:lineRule="auto"/>
                    <w:ind w:firstLine="0" w:firstLineChars="0"/>
                    <w:jc w:val="center"/>
                    <w:rPr>
                      <w:color w:val="auto"/>
                      <w:sz w:val="21"/>
                      <w:szCs w:val="21"/>
                    </w:rPr>
                  </w:pPr>
                </w:p>
              </w:tc>
              <w:tc>
                <w:tcPr>
                  <w:tcW w:w="659" w:type="pct"/>
                  <w:vMerge w:val="continue"/>
                  <w:vAlign w:val="center"/>
                </w:tcPr>
                <w:p w14:paraId="61C8B709">
                  <w:pPr>
                    <w:pStyle w:val="91"/>
                    <w:widowControl/>
                    <w:spacing w:line="240" w:lineRule="auto"/>
                    <w:ind w:firstLine="0" w:firstLineChars="0"/>
                    <w:jc w:val="center"/>
                    <w:rPr>
                      <w:color w:val="auto"/>
                      <w:sz w:val="21"/>
                      <w:szCs w:val="21"/>
                    </w:rPr>
                  </w:pPr>
                </w:p>
              </w:tc>
              <w:tc>
                <w:tcPr>
                  <w:tcW w:w="823" w:type="pct"/>
                  <w:vAlign w:val="center"/>
                </w:tcPr>
                <w:p w14:paraId="500A319B">
                  <w:pPr>
                    <w:pStyle w:val="91"/>
                    <w:widowControl/>
                    <w:spacing w:line="240" w:lineRule="auto"/>
                    <w:ind w:firstLine="0" w:firstLineChars="0"/>
                    <w:jc w:val="center"/>
                    <w:rPr>
                      <w:color w:val="auto"/>
                      <w:sz w:val="21"/>
                      <w:szCs w:val="21"/>
                    </w:rPr>
                  </w:pPr>
                  <w:r>
                    <w:rPr>
                      <w:color w:val="auto"/>
                      <w:sz w:val="21"/>
                      <w:szCs w:val="21"/>
                    </w:rPr>
                    <w:t>排放浓度</w:t>
                  </w:r>
                </w:p>
              </w:tc>
              <w:tc>
                <w:tcPr>
                  <w:tcW w:w="504" w:type="pct"/>
                  <w:vAlign w:val="center"/>
                </w:tcPr>
                <w:p w14:paraId="3634E737">
                  <w:pPr>
                    <w:pStyle w:val="91"/>
                    <w:widowControl/>
                    <w:spacing w:line="240" w:lineRule="auto"/>
                    <w:ind w:firstLine="0" w:firstLineChars="0"/>
                    <w:jc w:val="center"/>
                    <w:rPr>
                      <w:rFonts w:hint="eastAsia"/>
                      <w:color w:val="auto"/>
                      <w:sz w:val="21"/>
                      <w:szCs w:val="21"/>
                    </w:rPr>
                  </w:pPr>
                  <w:r>
                    <w:rPr>
                      <w:color w:val="auto"/>
                      <w:sz w:val="21"/>
                      <w:szCs w:val="21"/>
                    </w:rPr>
                    <w:t>mg/m</w:t>
                  </w:r>
                  <w:r>
                    <w:rPr>
                      <w:color w:val="auto"/>
                      <w:sz w:val="21"/>
                      <w:szCs w:val="21"/>
                      <w:vertAlign w:val="superscript"/>
                    </w:rPr>
                    <w:t>3</w:t>
                  </w:r>
                </w:p>
              </w:tc>
              <w:tc>
                <w:tcPr>
                  <w:tcW w:w="685" w:type="pct"/>
                  <w:shd w:val="clear" w:color="auto" w:fill="auto"/>
                  <w:vAlign w:val="center"/>
                </w:tcPr>
                <w:p w14:paraId="49FCF5C2">
                  <w:pPr>
                    <w:pStyle w:val="91"/>
                    <w:widowControl/>
                    <w:spacing w:line="240" w:lineRule="auto"/>
                    <w:ind w:firstLine="0" w:firstLineChars="0"/>
                    <w:jc w:val="center"/>
                    <w:rPr>
                      <w:rFonts w:hint="eastAsia"/>
                      <w:color w:val="auto"/>
                      <w:sz w:val="21"/>
                      <w:szCs w:val="21"/>
                      <w:lang w:val="en-US" w:eastAsia="zh-CN"/>
                    </w:rPr>
                  </w:pPr>
                  <w:r>
                    <w:rPr>
                      <w:rFonts w:hint="eastAsia"/>
                      <w:color w:val="auto"/>
                      <w:sz w:val="21"/>
                      <w:szCs w:val="21"/>
                    </w:rPr>
                    <w:t>2.3</w:t>
                  </w:r>
                </w:p>
              </w:tc>
              <w:tc>
                <w:tcPr>
                  <w:tcW w:w="685" w:type="pct"/>
                  <w:shd w:val="clear" w:color="auto" w:fill="auto"/>
                  <w:vAlign w:val="center"/>
                </w:tcPr>
                <w:p w14:paraId="3D762D09">
                  <w:pPr>
                    <w:pStyle w:val="91"/>
                    <w:widowControl/>
                    <w:spacing w:line="240" w:lineRule="auto"/>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sz w:val="21"/>
                      <w:szCs w:val="21"/>
                    </w:rPr>
                    <w:t>10</w:t>
                  </w:r>
                </w:p>
              </w:tc>
              <w:tc>
                <w:tcPr>
                  <w:tcW w:w="424" w:type="pct"/>
                  <w:shd w:val="clear" w:color="auto" w:fill="auto"/>
                  <w:vAlign w:val="center"/>
                </w:tcPr>
                <w:p w14:paraId="41EB636F">
                  <w:pPr>
                    <w:pStyle w:val="91"/>
                    <w:widowControl/>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color w:val="auto"/>
                      <w:sz w:val="21"/>
                      <w:szCs w:val="21"/>
                    </w:rPr>
                    <w:t>达标</w:t>
                  </w:r>
                </w:p>
              </w:tc>
            </w:tr>
            <w:tr w14:paraId="3C4F03D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8" w:type="pct"/>
                  <w:vMerge w:val="continue"/>
                  <w:vAlign w:val="center"/>
                </w:tcPr>
                <w:p w14:paraId="38D57753">
                  <w:pPr>
                    <w:pStyle w:val="91"/>
                    <w:widowControl/>
                    <w:spacing w:line="240" w:lineRule="auto"/>
                    <w:ind w:firstLine="0" w:firstLineChars="0"/>
                    <w:jc w:val="center"/>
                    <w:rPr>
                      <w:color w:val="auto"/>
                      <w:sz w:val="21"/>
                      <w:szCs w:val="21"/>
                    </w:rPr>
                  </w:pPr>
                </w:p>
              </w:tc>
              <w:tc>
                <w:tcPr>
                  <w:tcW w:w="659" w:type="pct"/>
                  <w:vMerge w:val="continue"/>
                  <w:vAlign w:val="center"/>
                </w:tcPr>
                <w:p w14:paraId="79BA09B0">
                  <w:pPr>
                    <w:pStyle w:val="91"/>
                    <w:widowControl/>
                    <w:spacing w:line="240" w:lineRule="auto"/>
                    <w:ind w:firstLine="0" w:firstLineChars="0"/>
                    <w:jc w:val="center"/>
                    <w:rPr>
                      <w:color w:val="auto"/>
                      <w:sz w:val="21"/>
                      <w:szCs w:val="21"/>
                    </w:rPr>
                  </w:pPr>
                </w:p>
              </w:tc>
              <w:tc>
                <w:tcPr>
                  <w:tcW w:w="823" w:type="pct"/>
                  <w:shd w:val="clear" w:color="auto" w:fill="auto"/>
                  <w:vAlign w:val="center"/>
                </w:tcPr>
                <w:p w14:paraId="1EF1C5E2">
                  <w:pPr>
                    <w:pStyle w:val="91"/>
                    <w:widowControl/>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color w:val="auto"/>
                      <w:sz w:val="21"/>
                      <w:szCs w:val="21"/>
                    </w:rPr>
                    <w:t>排放速率</w:t>
                  </w:r>
                </w:p>
              </w:tc>
              <w:tc>
                <w:tcPr>
                  <w:tcW w:w="504" w:type="pct"/>
                  <w:shd w:val="clear" w:color="auto" w:fill="auto"/>
                  <w:vAlign w:val="center"/>
                </w:tcPr>
                <w:p w14:paraId="578145BC">
                  <w:pPr>
                    <w:pStyle w:val="91"/>
                    <w:widowControl/>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color w:val="auto"/>
                      <w:sz w:val="21"/>
                      <w:szCs w:val="21"/>
                    </w:rPr>
                    <w:t>kg/h</w:t>
                  </w:r>
                </w:p>
              </w:tc>
              <w:tc>
                <w:tcPr>
                  <w:tcW w:w="685" w:type="pct"/>
                  <w:shd w:val="clear" w:color="auto" w:fill="auto"/>
                  <w:vAlign w:val="center"/>
                </w:tcPr>
                <w:p w14:paraId="58CA1DCE">
                  <w:pPr>
                    <w:pStyle w:val="91"/>
                    <w:widowControl/>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0.0518</w:t>
                  </w:r>
                </w:p>
              </w:tc>
              <w:tc>
                <w:tcPr>
                  <w:tcW w:w="685" w:type="pct"/>
                  <w:shd w:val="clear" w:color="auto" w:fill="auto"/>
                  <w:vAlign w:val="center"/>
                </w:tcPr>
                <w:p w14:paraId="67D8AEF4">
                  <w:pPr>
                    <w:pStyle w:val="91"/>
                    <w:widowControl/>
                    <w:spacing w:line="240" w:lineRule="auto"/>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sz w:val="21"/>
                      <w:szCs w:val="21"/>
                    </w:rPr>
                    <w:t>--</w:t>
                  </w:r>
                </w:p>
              </w:tc>
              <w:tc>
                <w:tcPr>
                  <w:tcW w:w="424" w:type="pct"/>
                  <w:shd w:val="clear" w:color="auto" w:fill="auto"/>
                  <w:vAlign w:val="center"/>
                </w:tcPr>
                <w:p w14:paraId="3C0F5B02">
                  <w:pPr>
                    <w:pStyle w:val="91"/>
                    <w:widowControl/>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hint="eastAsia"/>
                      <w:color w:val="auto"/>
                      <w:sz w:val="21"/>
                      <w:szCs w:val="21"/>
                    </w:rPr>
                    <w:t>--</w:t>
                  </w:r>
                </w:p>
              </w:tc>
            </w:tr>
          </w:tbl>
          <w:p w14:paraId="1791C26B">
            <w:pPr>
              <w:pStyle w:val="116"/>
              <w:ind w:firstLine="420"/>
              <w:jc w:val="both"/>
              <w:rPr>
                <w:color w:val="auto"/>
              </w:rPr>
            </w:pPr>
            <w:r>
              <w:rPr>
                <w:color w:val="auto"/>
              </w:rPr>
              <w:t>由上表可知，现有工程抛丸工序有组织颗粒物排放</w:t>
            </w:r>
            <w:r>
              <w:rPr>
                <w:rFonts w:hint="eastAsia"/>
                <w:color w:val="auto"/>
              </w:rPr>
              <w:t>满足</w:t>
            </w:r>
            <w:r>
              <w:rPr>
                <w:color w:val="auto"/>
              </w:rPr>
              <w:t>《钢铁工业大气污染物超低排放标准》（DB13/2169-2018）表1中热处理炉、拉矫、精整、抛丸、修磨、焊接机及其他生产设施颗粒物排放限值要求</w:t>
            </w:r>
            <w:r>
              <w:rPr>
                <w:rFonts w:hint="eastAsia"/>
                <w:color w:val="auto"/>
              </w:rPr>
              <w:t>（颗粒物10mg/m</w:t>
            </w:r>
            <w:r>
              <w:rPr>
                <w:rFonts w:hint="eastAsia"/>
                <w:color w:val="auto"/>
                <w:vertAlign w:val="superscript"/>
              </w:rPr>
              <w:t>3</w:t>
            </w:r>
            <w:r>
              <w:rPr>
                <w:rFonts w:hint="eastAsia"/>
                <w:color w:val="auto"/>
              </w:rPr>
              <w:t>）</w:t>
            </w:r>
            <w:r>
              <w:rPr>
                <w:color w:val="auto"/>
              </w:rPr>
              <w:t>；喷塑工序有组织颗粒物排放</w:t>
            </w:r>
            <w:r>
              <w:rPr>
                <w:rFonts w:hint="eastAsia"/>
                <w:color w:val="auto"/>
              </w:rPr>
              <w:t>满足《大气污染物综合排放标准》(GB16297-1996)表2碳黑尘、染料尘二级标准要求（颗粒物18mg/m</w:t>
            </w:r>
            <w:r>
              <w:rPr>
                <w:rFonts w:hint="eastAsia"/>
                <w:color w:val="auto"/>
                <w:vertAlign w:val="superscript"/>
              </w:rPr>
              <w:t>3</w:t>
            </w:r>
            <w:r>
              <w:rPr>
                <w:rFonts w:hint="eastAsia"/>
                <w:color w:val="auto"/>
              </w:rPr>
              <w:t>，3.4kg/h）；固化工序有组织非甲烷总烃排放满足</w:t>
            </w:r>
            <w:r>
              <w:rPr>
                <w:color w:val="auto"/>
              </w:rPr>
              <w:t>《</w:t>
            </w:r>
            <w:r>
              <w:rPr>
                <w:rFonts w:hint="eastAsia"/>
                <w:color w:val="auto"/>
                <w:lang w:val="en-US" w:eastAsia="zh-CN"/>
              </w:rPr>
              <w:t>表面涂装工序大气污染物</w:t>
            </w:r>
            <w:r>
              <w:rPr>
                <w:color w:val="auto"/>
              </w:rPr>
              <w:t>排放标准》（</w:t>
            </w:r>
            <w:r>
              <w:rPr>
                <w:rFonts w:hint="eastAsia"/>
                <w:color w:val="auto"/>
                <w:lang w:eastAsia="zh-CN"/>
              </w:rPr>
              <w:t>DB13/</w:t>
            </w:r>
            <w:r>
              <w:rPr>
                <w:rFonts w:hint="eastAsia"/>
                <w:color w:val="auto"/>
                <w:lang w:val="en-US" w:eastAsia="zh-CN"/>
              </w:rPr>
              <w:t>6187-</w:t>
            </w:r>
            <w:r>
              <w:rPr>
                <w:rFonts w:hint="eastAsia"/>
                <w:color w:val="auto"/>
                <w:lang w:eastAsia="zh-CN"/>
              </w:rPr>
              <w:t>2025</w:t>
            </w:r>
            <w:r>
              <w:rPr>
                <w:color w:val="auto"/>
              </w:rPr>
              <w:t>）表1</w:t>
            </w:r>
            <w:r>
              <w:rPr>
                <w:rFonts w:hint="eastAsia"/>
                <w:color w:val="auto"/>
                <w:lang w:val="en-US" w:eastAsia="zh-CN"/>
              </w:rPr>
              <w:t>金属制品业</w:t>
            </w:r>
            <w:r>
              <w:rPr>
                <w:color w:val="auto"/>
              </w:rPr>
              <w:t>大气污染物排放限值要求</w:t>
            </w:r>
            <w:r>
              <w:rPr>
                <w:rFonts w:hint="eastAsia"/>
                <w:color w:val="auto"/>
              </w:rPr>
              <w:t>（非甲烷总烃</w:t>
            </w:r>
            <w:r>
              <w:rPr>
                <w:rFonts w:hint="eastAsia"/>
                <w:color w:val="auto"/>
                <w:lang w:val="en-US" w:eastAsia="zh-CN"/>
              </w:rPr>
              <w:t>4</w:t>
            </w:r>
            <w:r>
              <w:rPr>
                <w:rFonts w:hint="eastAsia"/>
                <w:color w:val="auto"/>
              </w:rPr>
              <w:t>0mg/m</w:t>
            </w:r>
            <w:r>
              <w:rPr>
                <w:rFonts w:hint="eastAsia"/>
                <w:color w:val="auto"/>
                <w:vertAlign w:val="superscript"/>
              </w:rPr>
              <w:t>3</w:t>
            </w:r>
            <w:r>
              <w:rPr>
                <w:rFonts w:hint="eastAsia"/>
                <w:color w:val="auto"/>
              </w:rPr>
              <w:t>），同时满足《重污染天气重点行业应急减排措施制定技术指南》排放限值要求（非甲烷总烃30mg/m</w:t>
            </w:r>
            <w:r>
              <w:rPr>
                <w:rFonts w:hint="eastAsia"/>
                <w:color w:val="auto"/>
                <w:vertAlign w:val="superscript"/>
              </w:rPr>
              <w:t>3</w:t>
            </w:r>
            <w:r>
              <w:rPr>
                <w:rFonts w:hint="eastAsia"/>
                <w:color w:val="auto"/>
              </w:rPr>
              <w:t>）。</w:t>
            </w:r>
          </w:p>
          <w:p w14:paraId="69138DD9">
            <w:pPr>
              <w:pStyle w:val="116"/>
              <w:ind w:firstLine="420"/>
              <w:rPr>
                <w:color w:val="auto"/>
                <w:highlight w:val="none"/>
              </w:rPr>
            </w:pPr>
            <w:r>
              <w:rPr>
                <w:color w:val="auto"/>
                <w:highlight w:val="none"/>
              </w:rPr>
              <w:t>企业委托</w:t>
            </w:r>
            <w:r>
              <w:rPr>
                <w:rFonts w:hint="eastAsia"/>
                <w:color w:val="auto"/>
                <w:highlight w:val="none"/>
              </w:rPr>
              <w:t>唐山赫力环境检测有限公司</w:t>
            </w:r>
            <w:r>
              <w:rPr>
                <w:color w:val="auto"/>
                <w:highlight w:val="none"/>
              </w:rPr>
              <w:t>对</w:t>
            </w:r>
            <w:r>
              <w:rPr>
                <w:rFonts w:hint="eastAsia"/>
                <w:color w:val="auto"/>
                <w:highlight w:val="none"/>
              </w:rPr>
              <w:t>企业无组织废气</w:t>
            </w:r>
            <w:r>
              <w:rPr>
                <w:color w:val="auto"/>
                <w:highlight w:val="none"/>
              </w:rPr>
              <w:t>进行了监测，</w:t>
            </w:r>
            <w:r>
              <w:rPr>
                <w:rFonts w:hint="eastAsia"/>
                <w:color w:val="auto"/>
                <w:highlight w:val="none"/>
              </w:rPr>
              <w:t>监测报告编号为TSHL</w:t>
            </w:r>
            <w:r>
              <w:rPr>
                <w:rFonts w:hint="eastAsia"/>
                <w:color w:val="auto"/>
                <w:highlight w:val="none"/>
                <w:lang w:eastAsia="zh-CN"/>
              </w:rPr>
              <w:t>（</w:t>
            </w:r>
            <w:r>
              <w:rPr>
                <w:rFonts w:hint="eastAsia"/>
                <w:color w:val="auto"/>
                <w:highlight w:val="none"/>
                <w:lang w:val="en-US" w:eastAsia="zh-CN"/>
              </w:rPr>
              <w:t>Y</w:t>
            </w:r>
            <w:r>
              <w:rPr>
                <w:rFonts w:hint="eastAsia"/>
                <w:color w:val="auto"/>
                <w:highlight w:val="none"/>
                <w:lang w:eastAsia="zh-CN"/>
              </w:rPr>
              <w:t>）</w:t>
            </w:r>
            <w:r>
              <w:rPr>
                <w:rFonts w:hint="eastAsia"/>
                <w:color w:val="auto"/>
              </w:rPr>
              <w:t>字(2025)第0857号，监测时间为202</w:t>
            </w:r>
            <w:r>
              <w:rPr>
                <w:rFonts w:hint="eastAsia"/>
                <w:color w:val="auto"/>
                <w:lang w:val="en-US" w:eastAsia="zh-CN"/>
              </w:rPr>
              <w:t>6</w:t>
            </w:r>
            <w:r>
              <w:rPr>
                <w:rFonts w:hint="eastAsia"/>
                <w:color w:val="auto"/>
              </w:rPr>
              <w:t>年</w:t>
            </w:r>
            <w:r>
              <w:rPr>
                <w:rFonts w:hint="eastAsia"/>
                <w:color w:val="auto"/>
                <w:lang w:val="en-US" w:eastAsia="zh-CN"/>
              </w:rPr>
              <w:t>1</w:t>
            </w:r>
            <w:r>
              <w:rPr>
                <w:rFonts w:hint="eastAsia"/>
                <w:color w:val="auto"/>
              </w:rPr>
              <w:t>月</w:t>
            </w:r>
            <w:r>
              <w:rPr>
                <w:rFonts w:hint="eastAsia"/>
                <w:color w:val="auto"/>
                <w:lang w:val="en-US" w:eastAsia="zh-CN"/>
              </w:rPr>
              <w:t>6</w:t>
            </w:r>
            <w:r>
              <w:rPr>
                <w:rFonts w:hint="eastAsia"/>
                <w:color w:val="auto"/>
              </w:rPr>
              <w:t>日</w:t>
            </w:r>
            <w:r>
              <w:rPr>
                <w:rFonts w:hint="eastAsia"/>
                <w:color w:val="auto"/>
                <w:highlight w:val="none"/>
              </w:rPr>
              <w:t>，</w:t>
            </w:r>
            <w:r>
              <w:rPr>
                <w:color w:val="auto"/>
                <w:highlight w:val="none"/>
              </w:rPr>
              <w:t>监测结果见下表。</w:t>
            </w:r>
          </w:p>
          <w:p w14:paraId="106CBB07">
            <w:pPr>
              <w:pStyle w:val="10"/>
              <w:rPr>
                <w:color w:val="auto"/>
                <w:highlight w:val="none"/>
              </w:rPr>
            </w:pPr>
            <w:r>
              <w:rPr>
                <w:rFonts w:hint="eastAsia"/>
                <w:color w:val="auto"/>
                <w:highlight w:val="none"/>
              </w:rPr>
              <w:t>表2</w:t>
            </w:r>
            <w:r>
              <w:rPr>
                <w:rFonts w:hint="eastAsia"/>
                <w:color w:val="auto"/>
                <w:highlight w:val="none"/>
                <w:lang w:eastAsia="zh-CN"/>
              </w:rPr>
              <w:t>-</w:t>
            </w:r>
            <w:r>
              <w:rPr>
                <w:color w:val="auto"/>
                <w:highlight w:val="none"/>
              </w:rPr>
              <w:fldChar w:fldCharType="begin"/>
            </w:r>
            <w:r>
              <w:rPr>
                <w:color w:val="auto"/>
                <w:highlight w:val="none"/>
              </w:rPr>
              <w:instrText xml:space="preserve"> </w:instrText>
            </w:r>
            <w:r>
              <w:rPr>
                <w:rFonts w:hint="eastAsia"/>
                <w:color w:val="auto"/>
                <w:highlight w:val="none"/>
              </w:rPr>
              <w:instrText xml:space="preserve">SEQ 表2- \* ARABIC</w:instrText>
            </w:r>
            <w:r>
              <w:rPr>
                <w:color w:val="auto"/>
                <w:highlight w:val="none"/>
              </w:rPr>
              <w:instrText xml:space="preserve"> </w:instrText>
            </w:r>
            <w:r>
              <w:rPr>
                <w:color w:val="auto"/>
                <w:highlight w:val="none"/>
              </w:rPr>
              <w:fldChar w:fldCharType="separate"/>
            </w:r>
            <w:r>
              <w:rPr>
                <w:color w:val="auto"/>
                <w:highlight w:val="none"/>
              </w:rPr>
              <w:t>1</w:t>
            </w:r>
            <w:r>
              <w:rPr>
                <w:rFonts w:hint="eastAsia"/>
                <w:color w:val="auto"/>
                <w:highlight w:val="none"/>
                <w:lang w:val="en-US" w:eastAsia="zh-CN"/>
              </w:rPr>
              <w:t>7</w:t>
            </w:r>
            <w:r>
              <w:rPr>
                <w:color w:val="auto"/>
                <w:highlight w:val="none"/>
              </w:rPr>
              <w:fldChar w:fldCharType="end"/>
            </w:r>
            <w:r>
              <w:rPr>
                <w:color w:val="auto"/>
                <w:highlight w:val="none"/>
              </w:rPr>
              <w:t>现有工程</w:t>
            </w:r>
            <w:r>
              <w:rPr>
                <w:color w:val="auto"/>
                <w:szCs w:val="21"/>
                <w:highlight w:val="none"/>
              </w:rPr>
              <w:t>无组织废气检测结果</w:t>
            </w:r>
          </w:p>
          <w:tbl>
            <w:tblPr>
              <w:tblStyle w:val="33"/>
              <w:tblW w:w="5000" w:type="pct"/>
              <w:tblInd w:w="0" w:type="dxa"/>
              <w:tblBorders>
                <w:top w:val="single" w:color="auto" w:sz="4" w:space="0"/>
                <w:left w:val="single" w:color="auto" w:sz="4"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428"/>
              <w:gridCol w:w="1428"/>
              <w:gridCol w:w="1883"/>
              <w:gridCol w:w="1645"/>
              <w:gridCol w:w="1193"/>
            </w:tblGrid>
            <w:tr w14:paraId="483734B6">
              <w:tblPrEx>
                <w:tblBorders>
                  <w:top w:val="single" w:color="auto" w:sz="4" w:space="0"/>
                  <w:left w:val="single" w:color="auto" w:sz="4"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432" w:type="pct"/>
                  <w:vMerge w:val="restart"/>
                  <w:tcBorders>
                    <w:top w:val="single" w:color="auto" w:sz="4" w:space="0"/>
                    <w:left w:val="nil"/>
                    <w:right w:val="single" w:color="auto" w:sz="4" w:space="0"/>
                  </w:tcBorders>
                  <w:vAlign w:val="center"/>
                </w:tcPr>
                <w:p w14:paraId="69A4AFFB">
                  <w:pPr>
                    <w:pStyle w:val="91"/>
                    <w:widowControl/>
                    <w:spacing w:line="240" w:lineRule="auto"/>
                    <w:ind w:firstLine="0" w:firstLineChars="0"/>
                    <w:jc w:val="center"/>
                    <w:rPr>
                      <w:color w:val="auto"/>
                      <w:sz w:val="21"/>
                      <w:szCs w:val="21"/>
                      <w:highlight w:val="none"/>
                    </w:rPr>
                  </w:pPr>
                  <w:r>
                    <w:rPr>
                      <w:color w:val="auto"/>
                      <w:sz w:val="21"/>
                      <w:szCs w:val="21"/>
                      <w:highlight w:val="none"/>
                    </w:rPr>
                    <w:t>序号</w:t>
                  </w:r>
                </w:p>
              </w:tc>
              <w:tc>
                <w:tcPr>
                  <w:tcW w:w="860" w:type="pct"/>
                  <w:vMerge w:val="restart"/>
                  <w:tcBorders>
                    <w:top w:val="single" w:color="auto" w:sz="4" w:space="0"/>
                    <w:left w:val="nil"/>
                    <w:right w:val="single" w:color="auto" w:sz="4" w:space="0"/>
                  </w:tcBorders>
                  <w:shd w:val="clear" w:color="auto" w:fill="auto"/>
                  <w:vAlign w:val="center"/>
                </w:tcPr>
                <w:p w14:paraId="00D80B79">
                  <w:pPr>
                    <w:pStyle w:val="91"/>
                    <w:widowControl/>
                    <w:spacing w:line="240" w:lineRule="auto"/>
                    <w:ind w:firstLine="0" w:firstLineChars="0"/>
                    <w:jc w:val="center"/>
                    <w:rPr>
                      <w:color w:val="auto"/>
                      <w:sz w:val="21"/>
                      <w:szCs w:val="21"/>
                      <w:highlight w:val="none"/>
                    </w:rPr>
                  </w:pPr>
                  <w:r>
                    <w:rPr>
                      <w:color w:val="auto"/>
                      <w:sz w:val="21"/>
                      <w:szCs w:val="21"/>
                      <w:highlight w:val="none"/>
                    </w:rPr>
                    <w:t>监测因子</w:t>
                  </w:r>
                </w:p>
              </w:tc>
              <w:tc>
                <w:tcPr>
                  <w:tcW w:w="860" w:type="pct"/>
                  <w:vMerge w:val="restart"/>
                  <w:tcBorders>
                    <w:top w:val="single" w:color="auto" w:sz="4" w:space="0"/>
                    <w:left w:val="nil"/>
                    <w:right w:val="single" w:color="auto" w:sz="4" w:space="0"/>
                  </w:tcBorders>
                  <w:shd w:val="clear" w:color="auto" w:fill="auto"/>
                  <w:vAlign w:val="center"/>
                </w:tcPr>
                <w:p w14:paraId="01A82B27">
                  <w:pPr>
                    <w:pStyle w:val="91"/>
                    <w:widowControl/>
                    <w:spacing w:line="240" w:lineRule="auto"/>
                    <w:ind w:firstLine="0" w:firstLineChars="0"/>
                    <w:jc w:val="center"/>
                    <w:rPr>
                      <w:color w:val="auto"/>
                      <w:sz w:val="21"/>
                      <w:szCs w:val="21"/>
                      <w:highlight w:val="none"/>
                    </w:rPr>
                  </w:pPr>
                  <w:r>
                    <w:rPr>
                      <w:color w:val="auto"/>
                      <w:sz w:val="21"/>
                      <w:szCs w:val="21"/>
                      <w:highlight w:val="none"/>
                    </w:rPr>
                    <w:t>监测点位</w:t>
                  </w:r>
                </w:p>
              </w:tc>
              <w:tc>
                <w:tcPr>
                  <w:tcW w:w="1134" w:type="pct"/>
                  <w:tcBorders>
                    <w:top w:val="single" w:color="auto" w:sz="4" w:space="0"/>
                    <w:left w:val="nil"/>
                    <w:bottom w:val="single" w:color="auto" w:sz="4" w:space="0"/>
                    <w:right w:val="single" w:color="auto" w:sz="4" w:space="0"/>
                  </w:tcBorders>
                  <w:shd w:val="clear" w:color="auto" w:fill="auto"/>
                  <w:vAlign w:val="center"/>
                </w:tcPr>
                <w:p w14:paraId="0B46D22D">
                  <w:pPr>
                    <w:pStyle w:val="91"/>
                    <w:widowControl/>
                    <w:spacing w:line="240" w:lineRule="auto"/>
                    <w:ind w:firstLine="0" w:firstLineChars="0"/>
                    <w:jc w:val="center"/>
                    <w:rPr>
                      <w:color w:val="auto"/>
                      <w:sz w:val="21"/>
                      <w:szCs w:val="21"/>
                      <w:highlight w:val="none"/>
                    </w:rPr>
                  </w:pPr>
                  <w:r>
                    <w:rPr>
                      <w:color w:val="auto"/>
                      <w:sz w:val="21"/>
                      <w:szCs w:val="21"/>
                      <w:highlight w:val="none"/>
                    </w:rPr>
                    <w:t>监测结果mg/m</w:t>
                  </w:r>
                  <w:r>
                    <w:rPr>
                      <w:color w:val="auto"/>
                      <w:sz w:val="21"/>
                      <w:szCs w:val="21"/>
                      <w:highlight w:val="none"/>
                      <w:vertAlign w:val="superscript"/>
                    </w:rPr>
                    <w:t>3</w:t>
                  </w:r>
                </w:p>
              </w:tc>
              <w:tc>
                <w:tcPr>
                  <w:tcW w:w="991" w:type="pct"/>
                  <w:vMerge w:val="restart"/>
                  <w:tcBorders>
                    <w:top w:val="single" w:color="auto" w:sz="4" w:space="0"/>
                    <w:left w:val="nil"/>
                    <w:right w:val="single" w:color="auto" w:sz="4" w:space="0"/>
                  </w:tcBorders>
                  <w:shd w:val="clear" w:color="auto" w:fill="auto"/>
                  <w:vAlign w:val="center"/>
                </w:tcPr>
                <w:p w14:paraId="443D292F">
                  <w:pPr>
                    <w:pStyle w:val="91"/>
                    <w:widowControl/>
                    <w:spacing w:line="240" w:lineRule="auto"/>
                    <w:ind w:firstLine="0" w:firstLineChars="0"/>
                    <w:jc w:val="center"/>
                    <w:rPr>
                      <w:color w:val="auto"/>
                      <w:sz w:val="21"/>
                      <w:szCs w:val="21"/>
                      <w:highlight w:val="none"/>
                    </w:rPr>
                  </w:pPr>
                  <w:r>
                    <w:rPr>
                      <w:color w:val="auto"/>
                      <w:sz w:val="21"/>
                      <w:szCs w:val="21"/>
                      <w:highlight w:val="none"/>
                    </w:rPr>
                    <w:t>标准值mg/m</w:t>
                  </w:r>
                  <w:r>
                    <w:rPr>
                      <w:color w:val="auto"/>
                      <w:sz w:val="21"/>
                      <w:szCs w:val="21"/>
                      <w:highlight w:val="none"/>
                      <w:vertAlign w:val="superscript"/>
                    </w:rPr>
                    <w:t>3</w:t>
                  </w:r>
                </w:p>
              </w:tc>
              <w:tc>
                <w:tcPr>
                  <w:tcW w:w="718" w:type="pct"/>
                  <w:vMerge w:val="restart"/>
                  <w:tcBorders>
                    <w:top w:val="single" w:color="auto" w:sz="4" w:space="0"/>
                    <w:left w:val="nil"/>
                  </w:tcBorders>
                  <w:shd w:val="clear" w:color="auto" w:fill="auto"/>
                  <w:vAlign w:val="center"/>
                </w:tcPr>
                <w:p w14:paraId="6D9EB07C">
                  <w:pPr>
                    <w:pStyle w:val="91"/>
                    <w:widowControl/>
                    <w:spacing w:line="240" w:lineRule="auto"/>
                    <w:ind w:firstLine="0" w:firstLineChars="0"/>
                    <w:jc w:val="center"/>
                    <w:rPr>
                      <w:color w:val="auto"/>
                      <w:sz w:val="21"/>
                      <w:szCs w:val="21"/>
                      <w:highlight w:val="none"/>
                    </w:rPr>
                  </w:pPr>
                  <w:r>
                    <w:rPr>
                      <w:color w:val="auto"/>
                      <w:sz w:val="21"/>
                      <w:szCs w:val="21"/>
                      <w:highlight w:val="none"/>
                    </w:rPr>
                    <w:t>达标分析</w:t>
                  </w:r>
                </w:p>
              </w:tc>
            </w:tr>
            <w:tr w14:paraId="1F322C0E">
              <w:tblPrEx>
                <w:tblBorders>
                  <w:top w:val="single" w:color="auto" w:sz="4" w:space="0"/>
                  <w:left w:val="single" w:color="auto" w:sz="4"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432" w:type="pct"/>
                  <w:vMerge w:val="continue"/>
                  <w:tcBorders>
                    <w:left w:val="nil"/>
                    <w:bottom w:val="single" w:color="auto" w:sz="4" w:space="0"/>
                    <w:right w:val="single" w:color="auto" w:sz="4" w:space="0"/>
                  </w:tcBorders>
                  <w:vAlign w:val="center"/>
                </w:tcPr>
                <w:p w14:paraId="5E5B033D">
                  <w:pPr>
                    <w:pStyle w:val="91"/>
                    <w:widowControl/>
                    <w:spacing w:line="240" w:lineRule="auto"/>
                    <w:ind w:firstLine="0" w:firstLineChars="0"/>
                    <w:jc w:val="center"/>
                    <w:rPr>
                      <w:color w:val="auto"/>
                      <w:sz w:val="21"/>
                      <w:szCs w:val="21"/>
                      <w:highlight w:val="none"/>
                    </w:rPr>
                  </w:pPr>
                </w:p>
              </w:tc>
              <w:tc>
                <w:tcPr>
                  <w:tcW w:w="860" w:type="pct"/>
                  <w:vMerge w:val="continue"/>
                  <w:tcBorders>
                    <w:left w:val="nil"/>
                    <w:bottom w:val="single" w:color="auto" w:sz="4" w:space="0"/>
                    <w:right w:val="single" w:color="auto" w:sz="4" w:space="0"/>
                  </w:tcBorders>
                  <w:shd w:val="clear" w:color="auto" w:fill="auto"/>
                  <w:vAlign w:val="center"/>
                </w:tcPr>
                <w:p w14:paraId="1ACA5DAE">
                  <w:pPr>
                    <w:pStyle w:val="91"/>
                    <w:widowControl/>
                    <w:spacing w:line="240" w:lineRule="auto"/>
                    <w:ind w:firstLine="0" w:firstLineChars="0"/>
                    <w:jc w:val="center"/>
                    <w:rPr>
                      <w:color w:val="auto"/>
                      <w:sz w:val="21"/>
                      <w:szCs w:val="21"/>
                      <w:highlight w:val="none"/>
                    </w:rPr>
                  </w:pPr>
                </w:p>
              </w:tc>
              <w:tc>
                <w:tcPr>
                  <w:tcW w:w="860" w:type="pct"/>
                  <w:vMerge w:val="continue"/>
                  <w:tcBorders>
                    <w:left w:val="nil"/>
                    <w:bottom w:val="single" w:color="auto" w:sz="4" w:space="0"/>
                    <w:right w:val="single" w:color="auto" w:sz="4" w:space="0"/>
                  </w:tcBorders>
                  <w:shd w:val="clear" w:color="auto" w:fill="auto"/>
                  <w:vAlign w:val="center"/>
                </w:tcPr>
                <w:p w14:paraId="182862A0">
                  <w:pPr>
                    <w:pStyle w:val="91"/>
                    <w:widowControl/>
                    <w:spacing w:line="240" w:lineRule="auto"/>
                    <w:ind w:firstLine="0" w:firstLineChars="0"/>
                    <w:jc w:val="center"/>
                    <w:rPr>
                      <w:color w:val="auto"/>
                      <w:sz w:val="21"/>
                      <w:szCs w:val="21"/>
                      <w:highlight w:val="none"/>
                    </w:rPr>
                  </w:pPr>
                </w:p>
              </w:tc>
              <w:tc>
                <w:tcPr>
                  <w:tcW w:w="1134" w:type="pct"/>
                  <w:tcBorders>
                    <w:left w:val="nil"/>
                    <w:bottom w:val="single" w:color="auto" w:sz="4" w:space="0"/>
                    <w:right w:val="single" w:color="auto" w:sz="4" w:space="0"/>
                  </w:tcBorders>
                  <w:shd w:val="clear" w:color="auto" w:fill="auto"/>
                  <w:vAlign w:val="center"/>
                </w:tcPr>
                <w:p w14:paraId="468D7816">
                  <w:pPr>
                    <w:pStyle w:val="91"/>
                    <w:widowControl/>
                    <w:spacing w:line="240" w:lineRule="auto"/>
                    <w:ind w:firstLine="0" w:firstLineChars="0"/>
                    <w:jc w:val="center"/>
                    <w:rPr>
                      <w:color w:val="auto"/>
                      <w:sz w:val="21"/>
                      <w:szCs w:val="21"/>
                      <w:highlight w:val="none"/>
                    </w:rPr>
                  </w:pPr>
                  <w:r>
                    <w:rPr>
                      <w:color w:val="auto"/>
                      <w:sz w:val="21"/>
                      <w:szCs w:val="21"/>
                      <w:highlight w:val="none"/>
                    </w:rPr>
                    <w:t>最大值</w:t>
                  </w:r>
                </w:p>
              </w:tc>
              <w:tc>
                <w:tcPr>
                  <w:tcW w:w="991" w:type="pct"/>
                  <w:vMerge w:val="continue"/>
                  <w:tcBorders>
                    <w:left w:val="nil"/>
                    <w:bottom w:val="single" w:color="auto" w:sz="4" w:space="0"/>
                    <w:right w:val="single" w:color="auto" w:sz="4" w:space="0"/>
                  </w:tcBorders>
                  <w:shd w:val="clear" w:color="auto" w:fill="auto"/>
                  <w:vAlign w:val="center"/>
                </w:tcPr>
                <w:p w14:paraId="502314E0">
                  <w:pPr>
                    <w:pStyle w:val="91"/>
                    <w:widowControl/>
                    <w:spacing w:line="240" w:lineRule="auto"/>
                    <w:ind w:firstLine="0" w:firstLineChars="0"/>
                    <w:jc w:val="center"/>
                    <w:rPr>
                      <w:color w:val="auto"/>
                      <w:sz w:val="21"/>
                      <w:szCs w:val="21"/>
                      <w:highlight w:val="none"/>
                    </w:rPr>
                  </w:pPr>
                </w:p>
              </w:tc>
              <w:tc>
                <w:tcPr>
                  <w:tcW w:w="718" w:type="pct"/>
                  <w:vMerge w:val="continue"/>
                  <w:tcBorders>
                    <w:left w:val="nil"/>
                    <w:bottom w:val="single" w:color="auto" w:sz="4" w:space="0"/>
                  </w:tcBorders>
                  <w:shd w:val="clear" w:color="auto" w:fill="auto"/>
                  <w:vAlign w:val="center"/>
                </w:tcPr>
                <w:p w14:paraId="4E21D5EA">
                  <w:pPr>
                    <w:pStyle w:val="91"/>
                    <w:widowControl/>
                    <w:spacing w:line="240" w:lineRule="auto"/>
                    <w:ind w:firstLine="0" w:firstLineChars="0"/>
                    <w:jc w:val="center"/>
                    <w:rPr>
                      <w:color w:val="auto"/>
                      <w:sz w:val="21"/>
                      <w:szCs w:val="21"/>
                      <w:highlight w:val="none"/>
                    </w:rPr>
                  </w:pPr>
                </w:p>
              </w:tc>
            </w:tr>
            <w:tr w14:paraId="10A0A5D8">
              <w:tblPrEx>
                <w:tblBorders>
                  <w:top w:val="single" w:color="auto" w:sz="4" w:space="0"/>
                  <w:left w:val="single" w:color="auto" w:sz="4"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2" w:type="pct"/>
                  <w:tcBorders>
                    <w:top w:val="single" w:color="auto" w:sz="4" w:space="0"/>
                    <w:left w:val="nil"/>
                    <w:bottom w:val="single" w:color="auto" w:sz="4" w:space="0"/>
                    <w:right w:val="single" w:color="auto" w:sz="4" w:space="0"/>
                  </w:tcBorders>
                  <w:vAlign w:val="center"/>
                </w:tcPr>
                <w:p w14:paraId="64DF7913">
                  <w:pPr>
                    <w:pStyle w:val="91"/>
                    <w:widowControl/>
                    <w:spacing w:line="240" w:lineRule="auto"/>
                    <w:ind w:firstLine="0" w:firstLineChars="0"/>
                    <w:jc w:val="center"/>
                    <w:rPr>
                      <w:color w:val="auto"/>
                      <w:sz w:val="21"/>
                      <w:szCs w:val="21"/>
                      <w:highlight w:val="none"/>
                    </w:rPr>
                  </w:pPr>
                  <w:r>
                    <w:rPr>
                      <w:rFonts w:hint="eastAsia"/>
                      <w:color w:val="auto"/>
                      <w:sz w:val="21"/>
                      <w:szCs w:val="21"/>
                      <w:highlight w:val="none"/>
                    </w:rPr>
                    <w:t>1</w:t>
                  </w:r>
                </w:p>
              </w:tc>
              <w:tc>
                <w:tcPr>
                  <w:tcW w:w="860" w:type="pct"/>
                  <w:tcBorders>
                    <w:top w:val="single" w:color="auto" w:sz="4" w:space="0"/>
                    <w:left w:val="nil"/>
                    <w:bottom w:val="single" w:color="auto" w:sz="4" w:space="0"/>
                    <w:right w:val="single" w:color="auto" w:sz="4" w:space="0"/>
                  </w:tcBorders>
                  <w:shd w:val="clear" w:color="auto" w:fill="auto"/>
                  <w:vAlign w:val="center"/>
                </w:tcPr>
                <w:p w14:paraId="1A0836B4">
                  <w:pPr>
                    <w:pStyle w:val="91"/>
                    <w:widowControl/>
                    <w:spacing w:line="240" w:lineRule="auto"/>
                    <w:ind w:firstLine="0" w:firstLineChars="0"/>
                    <w:jc w:val="center"/>
                    <w:rPr>
                      <w:color w:val="auto"/>
                      <w:sz w:val="21"/>
                      <w:szCs w:val="21"/>
                      <w:highlight w:val="none"/>
                    </w:rPr>
                  </w:pPr>
                  <w:r>
                    <w:rPr>
                      <w:color w:val="auto"/>
                      <w:sz w:val="21"/>
                      <w:szCs w:val="21"/>
                      <w:highlight w:val="none"/>
                    </w:rPr>
                    <w:t>颗粒物</w:t>
                  </w:r>
                </w:p>
              </w:tc>
              <w:tc>
                <w:tcPr>
                  <w:tcW w:w="860" w:type="pct"/>
                  <w:tcBorders>
                    <w:top w:val="single" w:color="auto" w:sz="4" w:space="0"/>
                    <w:left w:val="nil"/>
                    <w:bottom w:val="single" w:color="auto" w:sz="4" w:space="0"/>
                    <w:right w:val="single" w:color="auto" w:sz="4" w:space="0"/>
                  </w:tcBorders>
                  <w:shd w:val="clear" w:color="auto" w:fill="auto"/>
                  <w:vAlign w:val="center"/>
                </w:tcPr>
                <w:p w14:paraId="7836A4A1">
                  <w:pPr>
                    <w:pStyle w:val="91"/>
                    <w:widowControl/>
                    <w:spacing w:line="240" w:lineRule="auto"/>
                    <w:ind w:firstLine="0" w:firstLineChars="0"/>
                    <w:jc w:val="center"/>
                    <w:rPr>
                      <w:color w:val="auto"/>
                      <w:sz w:val="21"/>
                      <w:szCs w:val="21"/>
                      <w:highlight w:val="none"/>
                    </w:rPr>
                  </w:pPr>
                  <w:r>
                    <w:rPr>
                      <w:rFonts w:hint="eastAsia"/>
                      <w:color w:val="auto"/>
                      <w:sz w:val="21"/>
                      <w:szCs w:val="21"/>
                      <w:highlight w:val="none"/>
                    </w:rPr>
                    <w:t>厂界</w:t>
                  </w:r>
                  <w:r>
                    <w:rPr>
                      <w:color w:val="auto"/>
                      <w:sz w:val="21"/>
                      <w:szCs w:val="21"/>
                      <w:highlight w:val="none"/>
                    </w:rPr>
                    <w:t>下风向</w:t>
                  </w:r>
                </w:p>
              </w:tc>
              <w:tc>
                <w:tcPr>
                  <w:tcW w:w="1134" w:type="pct"/>
                  <w:tcBorders>
                    <w:top w:val="single" w:color="auto" w:sz="4" w:space="0"/>
                    <w:left w:val="nil"/>
                    <w:bottom w:val="single" w:color="auto" w:sz="4" w:space="0"/>
                    <w:right w:val="single" w:color="auto" w:sz="4" w:space="0"/>
                  </w:tcBorders>
                  <w:shd w:val="clear" w:color="auto" w:fill="auto"/>
                  <w:vAlign w:val="center"/>
                </w:tcPr>
                <w:p w14:paraId="549EE3E0">
                  <w:pPr>
                    <w:pStyle w:val="91"/>
                    <w:widowControl/>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eastAsia"/>
                      <w:color w:val="auto"/>
                      <w:sz w:val="21"/>
                      <w:szCs w:val="21"/>
                      <w:highlight w:val="none"/>
                      <w:lang w:val="en-US" w:eastAsia="zh-CN"/>
                    </w:rPr>
                    <w:t>0.425</w:t>
                  </w:r>
                </w:p>
              </w:tc>
              <w:tc>
                <w:tcPr>
                  <w:tcW w:w="991" w:type="pct"/>
                  <w:tcBorders>
                    <w:top w:val="single" w:color="auto" w:sz="4" w:space="0"/>
                    <w:left w:val="nil"/>
                    <w:bottom w:val="single" w:color="auto" w:sz="4" w:space="0"/>
                    <w:right w:val="single" w:color="auto" w:sz="4" w:space="0"/>
                  </w:tcBorders>
                  <w:shd w:val="clear" w:color="auto" w:fill="auto"/>
                  <w:vAlign w:val="center"/>
                </w:tcPr>
                <w:p w14:paraId="3A46A077">
                  <w:pPr>
                    <w:pStyle w:val="91"/>
                    <w:widowControl/>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1.0</w:t>
                  </w:r>
                </w:p>
              </w:tc>
              <w:tc>
                <w:tcPr>
                  <w:tcW w:w="718" w:type="pct"/>
                  <w:tcBorders>
                    <w:top w:val="single" w:color="auto" w:sz="4" w:space="0"/>
                    <w:left w:val="nil"/>
                    <w:bottom w:val="single" w:color="auto" w:sz="4" w:space="0"/>
                  </w:tcBorders>
                  <w:shd w:val="clear" w:color="auto" w:fill="auto"/>
                  <w:vAlign w:val="center"/>
                </w:tcPr>
                <w:p w14:paraId="3BE5F0F9">
                  <w:pPr>
                    <w:pStyle w:val="91"/>
                    <w:widowControl/>
                    <w:spacing w:line="240" w:lineRule="auto"/>
                    <w:ind w:firstLine="0" w:firstLineChars="0"/>
                    <w:jc w:val="center"/>
                    <w:rPr>
                      <w:color w:val="auto"/>
                      <w:sz w:val="21"/>
                      <w:szCs w:val="21"/>
                      <w:highlight w:val="none"/>
                    </w:rPr>
                  </w:pPr>
                  <w:r>
                    <w:rPr>
                      <w:color w:val="auto"/>
                      <w:sz w:val="21"/>
                      <w:szCs w:val="21"/>
                      <w:highlight w:val="none"/>
                    </w:rPr>
                    <w:t>达标</w:t>
                  </w:r>
                </w:p>
              </w:tc>
            </w:tr>
            <w:tr w14:paraId="129376E3">
              <w:tblPrEx>
                <w:tblBorders>
                  <w:top w:val="single" w:color="auto" w:sz="4" w:space="0"/>
                  <w:left w:val="single" w:color="auto" w:sz="4"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2" w:type="pct"/>
                  <w:tcBorders>
                    <w:top w:val="single" w:color="auto" w:sz="4" w:space="0"/>
                    <w:left w:val="nil"/>
                    <w:bottom w:val="single" w:color="auto" w:sz="4" w:space="0"/>
                    <w:right w:val="single" w:color="auto" w:sz="4" w:space="0"/>
                  </w:tcBorders>
                  <w:vAlign w:val="center"/>
                </w:tcPr>
                <w:p w14:paraId="27192CDD">
                  <w:pPr>
                    <w:pStyle w:val="91"/>
                    <w:widowControl/>
                    <w:spacing w:line="240" w:lineRule="auto"/>
                    <w:ind w:firstLine="0" w:firstLineChars="0"/>
                    <w:jc w:val="center"/>
                    <w:rPr>
                      <w:color w:val="auto"/>
                      <w:sz w:val="21"/>
                      <w:szCs w:val="21"/>
                      <w:highlight w:val="none"/>
                    </w:rPr>
                  </w:pPr>
                  <w:r>
                    <w:rPr>
                      <w:rFonts w:hint="eastAsia"/>
                      <w:color w:val="auto"/>
                      <w:sz w:val="21"/>
                      <w:szCs w:val="21"/>
                      <w:highlight w:val="none"/>
                    </w:rPr>
                    <w:t>2</w:t>
                  </w:r>
                </w:p>
              </w:tc>
              <w:tc>
                <w:tcPr>
                  <w:tcW w:w="860" w:type="pct"/>
                  <w:tcBorders>
                    <w:top w:val="single" w:color="auto" w:sz="4" w:space="0"/>
                    <w:left w:val="nil"/>
                    <w:right w:val="single" w:color="auto" w:sz="4" w:space="0"/>
                  </w:tcBorders>
                  <w:shd w:val="clear" w:color="auto" w:fill="auto"/>
                  <w:vAlign w:val="center"/>
                </w:tcPr>
                <w:p w14:paraId="43F96296">
                  <w:pPr>
                    <w:pStyle w:val="91"/>
                    <w:widowControl/>
                    <w:spacing w:line="240" w:lineRule="auto"/>
                    <w:ind w:firstLine="0" w:firstLineChars="0"/>
                    <w:jc w:val="center"/>
                    <w:rPr>
                      <w:color w:val="auto"/>
                      <w:sz w:val="21"/>
                      <w:szCs w:val="21"/>
                      <w:highlight w:val="none"/>
                    </w:rPr>
                  </w:pPr>
                  <w:r>
                    <w:rPr>
                      <w:color w:val="auto"/>
                      <w:sz w:val="21"/>
                      <w:szCs w:val="21"/>
                      <w:highlight w:val="none"/>
                    </w:rPr>
                    <w:t>非甲烷总烃</w:t>
                  </w:r>
                </w:p>
              </w:tc>
              <w:tc>
                <w:tcPr>
                  <w:tcW w:w="860" w:type="pct"/>
                  <w:tcBorders>
                    <w:top w:val="single" w:color="auto" w:sz="4" w:space="0"/>
                    <w:left w:val="nil"/>
                    <w:bottom w:val="single" w:color="auto" w:sz="4" w:space="0"/>
                    <w:right w:val="single" w:color="auto" w:sz="4" w:space="0"/>
                  </w:tcBorders>
                  <w:shd w:val="clear" w:color="auto" w:fill="auto"/>
                  <w:vAlign w:val="center"/>
                </w:tcPr>
                <w:p w14:paraId="28B11B38">
                  <w:pPr>
                    <w:pStyle w:val="91"/>
                    <w:widowControl/>
                    <w:spacing w:line="240" w:lineRule="auto"/>
                    <w:ind w:firstLine="0" w:firstLineChars="0"/>
                    <w:jc w:val="center"/>
                    <w:rPr>
                      <w:rFonts w:ascii="Times New Roman" w:hAnsi="Times New Roman" w:eastAsia="宋体" w:cs="Times New Roman"/>
                      <w:color w:val="auto"/>
                      <w:kern w:val="0"/>
                      <w:sz w:val="21"/>
                      <w:szCs w:val="21"/>
                      <w:highlight w:val="none"/>
                      <w:lang w:val="en-US" w:eastAsia="zh-CN" w:bidi="ar-SA"/>
                    </w:rPr>
                  </w:pPr>
                  <w:r>
                    <w:rPr>
                      <w:color w:val="auto"/>
                      <w:sz w:val="21"/>
                      <w:szCs w:val="21"/>
                      <w:highlight w:val="none"/>
                    </w:rPr>
                    <w:t>车间门口</w:t>
                  </w:r>
                </w:p>
              </w:tc>
              <w:tc>
                <w:tcPr>
                  <w:tcW w:w="1134" w:type="pct"/>
                  <w:tcBorders>
                    <w:top w:val="single" w:color="auto" w:sz="4" w:space="0"/>
                    <w:left w:val="nil"/>
                    <w:bottom w:val="single" w:color="auto" w:sz="4" w:space="0"/>
                    <w:right w:val="single" w:color="auto" w:sz="4" w:space="0"/>
                  </w:tcBorders>
                  <w:shd w:val="clear" w:color="auto" w:fill="auto"/>
                  <w:vAlign w:val="center"/>
                </w:tcPr>
                <w:p w14:paraId="05E69E06">
                  <w:pPr>
                    <w:pStyle w:val="110"/>
                    <w:spacing w:after="0"/>
                    <w:ind w:firstLine="0" w:firstLineChars="0"/>
                    <w:jc w:val="center"/>
                    <w:rPr>
                      <w:rFonts w:hint="default" w:ascii="Times New Roman" w:hAnsi="Times New Roman" w:cs="Times New Roman" w:eastAsiaTheme="minorEastAsia"/>
                      <w:color w:val="auto"/>
                      <w:kern w:val="2"/>
                      <w:sz w:val="21"/>
                      <w:szCs w:val="21"/>
                      <w:highlight w:val="none"/>
                      <w:lang w:val="en-US" w:eastAsia="zh-CN" w:bidi="zh-TW"/>
                    </w:rPr>
                  </w:pPr>
                  <w:r>
                    <w:rPr>
                      <w:rFonts w:hint="eastAsia" w:ascii="Times New Roman" w:hAnsi="Times New Roman" w:cs="Times New Roman" w:eastAsiaTheme="minorEastAsia"/>
                      <w:color w:val="auto"/>
                      <w:sz w:val="21"/>
                      <w:szCs w:val="21"/>
                      <w:highlight w:val="none"/>
                      <w:lang w:val="en-US" w:eastAsia="zh-CN"/>
                    </w:rPr>
                    <w:t>1.62</w:t>
                  </w:r>
                </w:p>
              </w:tc>
              <w:tc>
                <w:tcPr>
                  <w:tcW w:w="991" w:type="pct"/>
                  <w:tcBorders>
                    <w:top w:val="single" w:color="auto" w:sz="4" w:space="0"/>
                    <w:left w:val="nil"/>
                    <w:bottom w:val="single" w:color="auto" w:sz="4" w:space="0"/>
                    <w:right w:val="single" w:color="auto" w:sz="4" w:space="0"/>
                  </w:tcBorders>
                  <w:shd w:val="clear" w:color="auto" w:fill="auto"/>
                  <w:vAlign w:val="center"/>
                </w:tcPr>
                <w:p w14:paraId="5072AD47">
                  <w:pPr>
                    <w:pStyle w:val="91"/>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2.0</w:t>
                  </w:r>
                </w:p>
              </w:tc>
              <w:tc>
                <w:tcPr>
                  <w:tcW w:w="718" w:type="pct"/>
                  <w:tcBorders>
                    <w:top w:val="single" w:color="auto" w:sz="4" w:space="0"/>
                    <w:left w:val="nil"/>
                    <w:bottom w:val="single" w:color="auto" w:sz="4" w:space="0"/>
                  </w:tcBorders>
                  <w:shd w:val="clear" w:color="auto" w:fill="auto"/>
                  <w:vAlign w:val="center"/>
                </w:tcPr>
                <w:p w14:paraId="76A214BA">
                  <w:pPr>
                    <w:pStyle w:val="91"/>
                    <w:widowControl/>
                    <w:spacing w:line="240" w:lineRule="auto"/>
                    <w:ind w:firstLine="0" w:firstLineChars="0"/>
                    <w:jc w:val="center"/>
                    <w:rPr>
                      <w:rFonts w:ascii="Times New Roman" w:hAnsi="Times New Roman" w:eastAsia="宋体" w:cs="Times New Roman"/>
                      <w:color w:val="auto"/>
                      <w:kern w:val="0"/>
                      <w:sz w:val="21"/>
                      <w:szCs w:val="21"/>
                      <w:highlight w:val="none"/>
                      <w:lang w:val="en-US" w:eastAsia="zh-CN" w:bidi="ar-SA"/>
                    </w:rPr>
                  </w:pPr>
                  <w:r>
                    <w:rPr>
                      <w:color w:val="auto"/>
                      <w:sz w:val="21"/>
                      <w:szCs w:val="21"/>
                      <w:highlight w:val="none"/>
                    </w:rPr>
                    <w:t>达标</w:t>
                  </w:r>
                </w:p>
              </w:tc>
            </w:tr>
          </w:tbl>
          <w:p w14:paraId="6026EC53">
            <w:pPr>
              <w:pStyle w:val="116"/>
              <w:ind w:firstLine="420"/>
              <w:rPr>
                <w:color w:val="auto"/>
              </w:rPr>
            </w:pPr>
            <w:r>
              <w:rPr>
                <w:color w:val="auto"/>
              </w:rPr>
              <w:t>由上表可知</w:t>
            </w:r>
            <w:r>
              <w:rPr>
                <w:rFonts w:hint="eastAsia"/>
                <w:color w:val="auto"/>
              </w:rPr>
              <w:t>，</w:t>
            </w:r>
            <w:r>
              <w:rPr>
                <w:color w:val="auto"/>
              </w:rPr>
              <w:t>现有工程厂界无组织颗粒物排放</w:t>
            </w:r>
            <w:r>
              <w:rPr>
                <w:rFonts w:hint="eastAsia"/>
                <w:color w:val="auto"/>
              </w:rPr>
              <w:t>满足</w:t>
            </w:r>
            <w:r>
              <w:rPr>
                <w:color w:val="auto"/>
              </w:rPr>
              <w:t>《钢铁工业大气污染物超低排放标准》（DB13/2169-2018）表5限值要求</w:t>
            </w:r>
            <w:r>
              <w:rPr>
                <w:color w:val="auto"/>
                <w:kern w:val="0"/>
              </w:rPr>
              <w:t>（</w:t>
            </w:r>
            <w:r>
              <w:rPr>
                <w:rFonts w:hint="eastAsia"/>
                <w:color w:val="auto"/>
                <w:kern w:val="0"/>
              </w:rPr>
              <w:t>颗粒物</w:t>
            </w:r>
            <w:r>
              <w:rPr>
                <w:color w:val="auto"/>
                <w:kern w:val="0"/>
              </w:rPr>
              <w:t>≤</w:t>
            </w:r>
            <w:r>
              <w:rPr>
                <w:rFonts w:hint="eastAsia"/>
                <w:color w:val="auto"/>
                <w:kern w:val="0"/>
              </w:rPr>
              <w:t>1</w:t>
            </w:r>
            <w:r>
              <w:rPr>
                <w:color w:val="auto"/>
                <w:kern w:val="0"/>
              </w:rPr>
              <w:t>.0mg/m</w:t>
            </w:r>
            <w:r>
              <w:rPr>
                <w:color w:val="auto"/>
                <w:kern w:val="0"/>
                <w:vertAlign w:val="superscript"/>
              </w:rPr>
              <w:t>3</w:t>
            </w:r>
            <w:r>
              <w:rPr>
                <w:color w:val="auto"/>
                <w:kern w:val="0"/>
              </w:rPr>
              <w:t>）</w:t>
            </w:r>
            <w:r>
              <w:rPr>
                <w:rFonts w:hint="eastAsia"/>
                <w:color w:val="auto"/>
                <w:kern w:val="0"/>
              </w:rPr>
              <w:t>，</w:t>
            </w:r>
            <w:r>
              <w:rPr>
                <w:color w:val="auto"/>
                <w:kern w:val="0"/>
              </w:rPr>
              <w:t>厂</w:t>
            </w:r>
            <w:r>
              <w:rPr>
                <w:rFonts w:hint="eastAsia"/>
                <w:color w:val="auto"/>
                <w:kern w:val="0"/>
                <w:lang w:val="en-US" w:eastAsia="zh-CN"/>
              </w:rPr>
              <w:t>区内</w:t>
            </w:r>
            <w:r>
              <w:rPr>
                <w:color w:val="auto"/>
                <w:kern w:val="0"/>
              </w:rPr>
              <w:t>非甲烷总烃排放满足</w:t>
            </w:r>
            <w:r>
              <w:rPr>
                <w:color w:val="auto"/>
              </w:rPr>
              <w:t>《</w:t>
            </w:r>
            <w:r>
              <w:rPr>
                <w:rFonts w:hint="eastAsia"/>
                <w:color w:val="auto"/>
                <w:lang w:val="en-US" w:eastAsia="zh-CN"/>
              </w:rPr>
              <w:t>表面涂装工序大气污染物</w:t>
            </w:r>
            <w:r>
              <w:rPr>
                <w:color w:val="auto"/>
              </w:rPr>
              <w:t>排放标准》（</w:t>
            </w:r>
            <w:r>
              <w:rPr>
                <w:rFonts w:hint="eastAsia"/>
                <w:color w:val="auto"/>
                <w:lang w:eastAsia="zh-CN"/>
              </w:rPr>
              <w:t>DB13/</w:t>
            </w:r>
            <w:r>
              <w:rPr>
                <w:rFonts w:hint="eastAsia"/>
                <w:color w:val="auto"/>
                <w:lang w:val="en-US" w:eastAsia="zh-CN"/>
              </w:rPr>
              <w:t>6187-</w:t>
            </w:r>
            <w:r>
              <w:rPr>
                <w:rFonts w:hint="eastAsia"/>
                <w:color w:val="auto"/>
                <w:lang w:eastAsia="zh-CN"/>
              </w:rPr>
              <w:t>2025</w:t>
            </w:r>
            <w:r>
              <w:rPr>
                <w:color w:val="auto"/>
              </w:rPr>
              <w:t>）</w:t>
            </w:r>
            <w:r>
              <w:rPr>
                <w:color w:val="auto"/>
                <w:kern w:val="0"/>
              </w:rPr>
              <w:t>表2</w:t>
            </w:r>
            <w:r>
              <w:rPr>
                <w:rFonts w:hint="eastAsia"/>
                <w:color w:val="auto"/>
                <w:kern w:val="0"/>
                <w:lang w:val="en-US" w:eastAsia="zh-CN"/>
              </w:rPr>
              <w:t>厂房外</w:t>
            </w:r>
            <w:r>
              <w:rPr>
                <w:color w:val="auto"/>
                <w:kern w:val="0"/>
              </w:rPr>
              <w:t>大气污染物浓度限值</w:t>
            </w:r>
            <w:r>
              <w:rPr>
                <w:rFonts w:hint="eastAsia"/>
                <w:color w:val="auto"/>
                <w:kern w:val="0"/>
              </w:rPr>
              <w:t>要求</w:t>
            </w:r>
            <w:r>
              <w:rPr>
                <w:rFonts w:hint="eastAsia"/>
                <w:color w:val="auto"/>
              </w:rPr>
              <w:t>。</w:t>
            </w:r>
          </w:p>
          <w:p w14:paraId="5B704855">
            <w:pPr>
              <w:pStyle w:val="116"/>
              <w:ind w:firstLine="420"/>
              <w:rPr>
                <w:color w:val="auto"/>
              </w:rPr>
            </w:pPr>
            <w:r>
              <w:rPr>
                <w:rFonts w:hint="eastAsia"/>
                <w:color w:val="auto"/>
              </w:rPr>
              <w:t>由检测报告可知，计算污染物实际有组织排放量如下：</w:t>
            </w:r>
          </w:p>
          <w:p w14:paraId="4B68DAE9">
            <w:pPr>
              <w:pStyle w:val="10"/>
              <w:rPr>
                <w:bCs/>
                <w:color w:val="auto"/>
                <w:highlight w:val="none"/>
              </w:rPr>
            </w:pPr>
            <w:r>
              <w:rPr>
                <w:rFonts w:hint="eastAsia"/>
                <w:color w:val="auto"/>
                <w:highlight w:val="none"/>
              </w:rPr>
              <w:t>表2</w:t>
            </w:r>
            <w:r>
              <w:rPr>
                <w:rFonts w:hint="eastAsia"/>
                <w:color w:val="auto"/>
                <w:highlight w:val="none"/>
                <w:lang w:eastAsia="zh-CN"/>
              </w:rPr>
              <w:t>-</w:t>
            </w:r>
            <w:r>
              <w:rPr>
                <w:color w:val="auto"/>
                <w:highlight w:val="none"/>
              </w:rPr>
              <w:fldChar w:fldCharType="begin"/>
            </w:r>
            <w:r>
              <w:rPr>
                <w:color w:val="auto"/>
                <w:highlight w:val="none"/>
              </w:rPr>
              <w:instrText xml:space="preserve"> </w:instrText>
            </w:r>
            <w:r>
              <w:rPr>
                <w:rFonts w:hint="eastAsia"/>
                <w:color w:val="auto"/>
                <w:highlight w:val="none"/>
              </w:rPr>
              <w:instrText xml:space="preserve">SEQ 表2- \* ARABIC</w:instrText>
            </w:r>
            <w:r>
              <w:rPr>
                <w:color w:val="auto"/>
                <w:highlight w:val="none"/>
              </w:rPr>
              <w:instrText xml:space="preserve"> </w:instrText>
            </w:r>
            <w:r>
              <w:rPr>
                <w:color w:val="auto"/>
                <w:highlight w:val="none"/>
              </w:rPr>
              <w:fldChar w:fldCharType="separate"/>
            </w:r>
            <w:r>
              <w:rPr>
                <w:color w:val="auto"/>
                <w:highlight w:val="none"/>
              </w:rPr>
              <w:t>1</w:t>
            </w:r>
            <w:r>
              <w:rPr>
                <w:rFonts w:hint="eastAsia"/>
                <w:color w:val="auto"/>
                <w:highlight w:val="none"/>
                <w:lang w:val="en-US" w:eastAsia="zh-CN"/>
              </w:rPr>
              <w:t>8</w:t>
            </w:r>
            <w:r>
              <w:rPr>
                <w:color w:val="auto"/>
                <w:highlight w:val="none"/>
              </w:rPr>
              <w:fldChar w:fldCharType="end"/>
            </w:r>
            <w:r>
              <w:rPr>
                <w:rFonts w:hint="eastAsia"/>
                <w:bCs/>
                <w:color w:val="auto"/>
                <w:highlight w:val="none"/>
              </w:rPr>
              <w:t>现有工程污染物实际有组织排放量</w:t>
            </w:r>
          </w:p>
          <w:tbl>
            <w:tblPr>
              <w:tblStyle w:val="33"/>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028"/>
              <w:gridCol w:w="1283"/>
              <w:gridCol w:w="1380"/>
              <w:gridCol w:w="1257"/>
              <w:gridCol w:w="1348"/>
            </w:tblGrid>
            <w:tr w14:paraId="31737A8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4" w:type="pct"/>
                  <w:vAlign w:val="center"/>
                </w:tcPr>
                <w:p w14:paraId="14E0E425">
                  <w:pPr>
                    <w:pStyle w:val="116"/>
                    <w:spacing w:line="240" w:lineRule="auto"/>
                    <w:ind w:firstLine="0" w:firstLineChars="0"/>
                    <w:jc w:val="center"/>
                    <w:rPr>
                      <w:color w:val="auto"/>
                      <w:highlight w:val="none"/>
                    </w:rPr>
                  </w:pPr>
                  <w:r>
                    <w:rPr>
                      <w:rFonts w:hint="eastAsia"/>
                      <w:color w:val="auto"/>
                      <w:highlight w:val="none"/>
                    </w:rPr>
                    <w:t>污染源</w:t>
                  </w:r>
                </w:p>
              </w:tc>
              <w:tc>
                <w:tcPr>
                  <w:tcW w:w="773" w:type="pct"/>
                  <w:vAlign w:val="center"/>
                </w:tcPr>
                <w:p w14:paraId="7892D4C3">
                  <w:pPr>
                    <w:pStyle w:val="116"/>
                    <w:spacing w:line="240" w:lineRule="auto"/>
                    <w:ind w:firstLine="0" w:firstLineChars="0"/>
                    <w:jc w:val="center"/>
                    <w:rPr>
                      <w:color w:val="auto"/>
                      <w:highlight w:val="none"/>
                    </w:rPr>
                  </w:pPr>
                  <w:r>
                    <w:rPr>
                      <w:rFonts w:hint="eastAsia"/>
                      <w:color w:val="auto"/>
                      <w:highlight w:val="none"/>
                    </w:rPr>
                    <w:t>污染物</w:t>
                  </w:r>
                </w:p>
              </w:tc>
              <w:tc>
                <w:tcPr>
                  <w:tcW w:w="831" w:type="pct"/>
                  <w:vAlign w:val="center"/>
                </w:tcPr>
                <w:p w14:paraId="6F6B4E84">
                  <w:pPr>
                    <w:pStyle w:val="116"/>
                    <w:spacing w:line="240" w:lineRule="auto"/>
                    <w:ind w:firstLine="0" w:firstLineChars="0"/>
                    <w:jc w:val="center"/>
                    <w:rPr>
                      <w:color w:val="auto"/>
                      <w:highlight w:val="none"/>
                    </w:rPr>
                  </w:pPr>
                  <w:r>
                    <w:rPr>
                      <w:rFonts w:hint="eastAsia"/>
                      <w:color w:val="auto"/>
                      <w:highlight w:val="none"/>
                    </w:rPr>
                    <w:t>排放速率/（kg</w:t>
                  </w:r>
                  <w:r>
                    <w:rPr>
                      <w:color w:val="auto"/>
                      <w:highlight w:val="none"/>
                    </w:rPr>
                    <w:t>/</w:t>
                  </w:r>
                  <w:r>
                    <w:rPr>
                      <w:rFonts w:hint="eastAsia"/>
                      <w:color w:val="auto"/>
                      <w:highlight w:val="none"/>
                    </w:rPr>
                    <w:t>h）</w:t>
                  </w:r>
                </w:p>
              </w:tc>
              <w:tc>
                <w:tcPr>
                  <w:tcW w:w="757" w:type="pct"/>
                  <w:vAlign w:val="center"/>
                </w:tcPr>
                <w:p w14:paraId="1E2CB603">
                  <w:pPr>
                    <w:pStyle w:val="116"/>
                    <w:spacing w:line="240" w:lineRule="auto"/>
                    <w:ind w:firstLine="0" w:firstLineChars="0"/>
                    <w:jc w:val="center"/>
                    <w:rPr>
                      <w:color w:val="auto"/>
                      <w:highlight w:val="none"/>
                    </w:rPr>
                  </w:pPr>
                  <w:r>
                    <w:rPr>
                      <w:rFonts w:hint="eastAsia"/>
                      <w:color w:val="auto"/>
                      <w:highlight w:val="none"/>
                    </w:rPr>
                    <w:t>运行时间/（h</w:t>
                  </w:r>
                  <w:r>
                    <w:rPr>
                      <w:color w:val="auto"/>
                      <w:highlight w:val="none"/>
                    </w:rPr>
                    <w:t>/</w:t>
                  </w:r>
                  <w:r>
                    <w:rPr>
                      <w:rFonts w:hint="eastAsia"/>
                      <w:color w:val="auto"/>
                      <w:highlight w:val="none"/>
                    </w:rPr>
                    <w:t>a）</w:t>
                  </w:r>
                </w:p>
              </w:tc>
              <w:tc>
                <w:tcPr>
                  <w:tcW w:w="812" w:type="pct"/>
                  <w:vAlign w:val="center"/>
                </w:tcPr>
                <w:p w14:paraId="1B687576">
                  <w:pPr>
                    <w:pStyle w:val="116"/>
                    <w:spacing w:line="240" w:lineRule="auto"/>
                    <w:ind w:firstLine="0" w:firstLineChars="0"/>
                    <w:jc w:val="center"/>
                    <w:rPr>
                      <w:color w:val="auto"/>
                      <w:highlight w:val="none"/>
                    </w:rPr>
                  </w:pPr>
                  <w:r>
                    <w:rPr>
                      <w:rFonts w:hint="eastAsia"/>
                      <w:color w:val="auto"/>
                      <w:highlight w:val="none"/>
                    </w:rPr>
                    <w:t>污染物排放量/（t/a）</w:t>
                  </w:r>
                </w:p>
              </w:tc>
            </w:tr>
            <w:tr w14:paraId="382B982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4" w:type="pct"/>
                  <w:vAlign w:val="center"/>
                </w:tcPr>
                <w:p w14:paraId="0BD7CCBA">
                  <w:pPr>
                    <w:pStyle w:val="116"/>
                    <w:spacing w:line="240" w:lineRule="auto"/>
                    <w:ind w:firstLine="0" w:firstLineChars="0"/>
                    <w:jc w:val="center"/>
                    <w:rPr>
                      <w:color w:val="auto"/>
                      <w:highlight w:val="none"/>
                    </w:rPr>
                  </w:pPr>
                  <w:r>
                    <w:rPr>
                      <w:rFonts w:hint="eastAsia"/>
                      <w:color w:val="auto"/>
                      <w:highlight w:val="none"/>
                    </w:rPr>
                    <w:t>抛丸工序</w:t>
                  </w:r>
                  <w:r>
                    <w:rPr>
                      <w:color w:val="auto"/>
                      <w:highlight w:val="none"/>
                    </w:rPr>
                    <w:t>排气筒</w:t>
                  </w:r>
                  <w:r>
                    <w:rPr>
                      <w:rFonts w:hint="eastAsia"/>
                      <w:color w:val="auto"/>
                      <w:highlight w:val="none"/>
                    </w:rPr>
                    <w:t>（</w:t>
                  </w:r>
                  <w:r>
                    <w:rPr>
                      <w:color w:val="auto"/>
                      <w:highlight w:val="none"/>
                    </w:rPr>
                    <w:t>DA001</w:t>
                  </w:r>
                  <w:r>
                    <w:rPr>
                      <w:rFonts w:hint="eastAsia"/>
                      <w:color w:val="auto"/>
                      <w:highlight w:val="none"/>
                    </w:rPr>
                    <w:t>）</w:t>
                  </w:r>
                </w:p>
              </w:tc>
              <w:tc>
                <w:tcPr>
                  <w:tcW w:w="773" w:type="pct"/>
                  <w:vAlign w:val="center"/>
                </w:tcPr>
                <w:p w14:paraId="09AE5163">
                  <w:pPr>
                    <w:pStyle w:val="116"/>
                    <w:spacing w:line="240" w:lineRule="auto"/>
                    <w:ind w:firstLine="0" w:firstLineChars="0"/>
                    <w:jc w:val="center"/>
                    <w:rPr>
                      <w:color w:val="auto"/>
                      <w:highlight w:val="none"/>
                    </w:rPr>
                  </w:pPr>
                  <w:r>
                    <w:rPr>
                      <w:rFonts w:hint="eastAsia"/>
                      <w:color w:val="auto"/>
                      <w:highlight w:val="none"/>
                    </w:rPr>
                    <w:t>颗粒物</w:t>
                  </w:r>
                </w:p>
              </w:tc>
              <w:tc>
                <w:tcPr>
                  <w:tcW w:w="831" w:type="pct"/>
                  <w:vAlign w:val="center"/>
                </w:tcPr>
                <w:p w14:paraId="46CFD511">
                  <w:pPr>
                    <w:pStyle w:val="116"/>
                    <w:spacing w:line="240" w:lineRule="auto"/>
                    <w:ind w:firstLine="0" w:firstLineChars="0"/>
                    <w:jc w:val="center"/>
                    <w:rPr>
                      <w:rFonts w:hint="default" w:eastAsia="宋体"/>
                      <w:color w:val="auto"/>
                      <w:highlight w:val="none"/>
                      <w:lang w:val="en-US" w:eastAsia="zh-CN"/>
                    </w:rPr>
                  </w:pPr>
                  <w:r>
                    <w:rPr>
                      <w:rFonts w:hint="eastAsia"/>
                      <w:color w:val="auto"/>
                      <w:sz w:val="21"/>
                      <w:szCs w:val="21"/>
                      <w:highlight w:val="none"/>
                    </w:rPr>
                    <w:t>0.0434</w:t>
                  </w:r>
                </w:p>
              </w:tc>
              <w:tc>
                <w:tcPr>
                  <w:tcW w:w="757" w:type="pct"/>
                  <w:vAlign w:val="center"/>
                </w:tcPr>
                <w:p w14:paraId="6E13E28E">
                  <w:pPr>
                    <w:pStyle w:val="116"/>
                    <w:spacing w:line="240" w:lineRule="auto"/>
                    <w:ind w:firstLine="0" w:firstLineChars="0"/>
                    <w:jc w:val="center"/>
                    <w:rPr>
                      <w:color w:val="auto"/>
                      <w:highlight w:val="none"/>
                    </w:rPr>
                  </w:pPr>
                  <w:r>
                    <w:rPr>
                      <w:rFonts w:hint="eastAsia"/>
                      <w:color w:val="auto"/>
                      <w:highlight w:val="none"/>
                    </w:rPr>
                    <w:t>2000</w:t>
                  </w:r>
                </w:p>
              </w:tc>
              <w:tc>
                <w:tcPr>
                  <w:tcW w:w="812" w:type="pct"/>
                  <w:vAlign w:val="center"/>
                </w:tcPr>
                <w:p w14:paraId="33D1BC94">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0.087</w:t>
                  </w:r>
                </w:p>
              </w:tc>
            </w:tr>
            <w:tr w14:paraId="7DC23F2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4" w:type="pct"/>
                  <w:vAlign w:val="center"/>
                </w:tcPr>
                <w:p w14:paraId="0986CD21">
                  <w:pPr>
                    <w:pStyle w:val="116"/>
                    <w:spacing w:line="240" w:lineRule="auto"/>
                    <w:ind w:firstLine="0" w:firstLineChars="0"/>
                    <w:jc w:val="center"/>
                    <w:rPr>
                      <w:color w:val="auto"/>
                      <w:highlight w:val="none"/>
                    </w:rPr>
                  </w:pPr>
                  <w:r>
                    <w:rPr>
                      <w:color w:val="auto"/>
                      <w:highlight w:val="none"/>
                    </w:rPr>
                    <w:t>喷塑工序排气筒</w:t>
                  </w:r>
                  <w:r>
                    <w:rPr>
                      <w:rFonts w:hint="eastAsia"/>
                      <w:color w:val="auto"/>
                      <w:highlight w:val="none"/>
                    </w:rPr>
                    <w:t>（</w:t>
                  </w:r>
                  <w:r>
                    <w:rPr>
                      <w:color w:val="auto"/>
                      <w:highlight w:val="none"/>
                    </w:rPr>
                    <w:t>DA00</w:t>
                  </w:r>
                  <w:r>
                    <w:rPr>
                      <w:rFonts w:hint="eastAsia"/>
                      <w:color w:val="auto"/>
                      <w:highlight w:val="none"/>
                    </w:rPr>
                    <w:t>2）</w:t>
                  </w:r>
                </w:p>
              </w:tc>
              <w:tc>
                <w:tcPr>
                  <w:tcW w:w="773" w:type="pct"/>
                  <w:vAlign w:val="center"/>
                </w:tcPr>
                <w:p w14:paraId="693EDA4E">
                  <w:pPr>
                    <w:pStyle w:val="116"/>
                    <w:spacing w:line="240" w:lineRule="auto"/>
                    <w:ind w:firstLine="0" w:firstLineChars="0"/>
                    <w:jc w:val="center"/>
                    <w:rPr>
                      <w:color w:val="auto"/>
                      <w:highlight w:val="none"/>
                    </w:rPr>
                  </w:pPr>
                  <w:r>
                    <w:rPr>
                      <w:rFonts w:hint="eastAsia"/>
                      <w:color w:val="auto"/>
                      <w:highlight w:val="none"/>
                    </w:rPr>
                    <w:t>颗粒物</w:t>
                  </w:r>
                </w:p>
              </w:tc>
              <w:tc>
                <w:tcPr>
                  <w:tcW w:w="831" w:type="pct"/>
                  <w:vAlign w:val="center"/>
                </w:tcPr>
                <w:p w14:paraId="615993E0">
                  <w:pPr>
                    <w:pStyle w:val="116"/>
                    <w:spacing w:line="240" w:lineRule="auto"/>
                    <w:ind w:firstLine="0" w:firstLineChars="0"/>
                    <w:jc w:val="center"/>
                    <w:rPr>
                      <w:rFonts w:hint="default" w:eastAsia="宋体"/>
                      <w:color w:val="auto"/>
                      <w:highlight w:val="none"/>
                      <w:lang w:val="en-US" w:eastAsia="zh-CN"/>
                    </w:rPr>
                  </w:pPr>
                  <w:r>
                    <w:rPr>
                      <w:rFonts w:hint="eastAsia"/>
                      <w:color w:val="auto"/>
                      <w:sz w:val="21"/>
                      <w:szCs w:val="21"/>
                      <w:highlight w:val="none"/>
                    </w:rPr>
                    <w:t>0.0303</w:t>
                  </w:r>
                </w:p>
              </w:tc>
              <w:tc>
                <w:tcPr>
                  <w:tcW w:w="757" w:type="pct"/>
                  <w:vAlign w:val="center"/>
                </w:tcPr>
                <w:p w14:paraId="78573C26">
                  <w:pPr>
                    <w:pStyle w:val="116"/>
                    <w:spacing w:line="240" w:lineRule="auto"/>
                    <w:ind w:firstLine="0" w:firstLineChars="0"/>
                    <w:jc w:val="center"/>
                    <w:rPr>
                      <w:color w:val="auto"/>
                      <w:highlight w:val="none"/>
                    </w:rPr>
                  </w:pPr>
                  <w:r>
                    <w:rPr>
                      <w:rFonts w:hint="eastAsia"/>
                      <w:color w:val="auto"/>
                      <w:highlight w:val="none"/>
                    </w:rPr>
                    <w:t>2400</w:t>
                  </w:r>
                </w:p>
              </w:tc>
              <w:tc>
                <w:tcPr>
                  <w:tcW w:w="812" w:type="pct"/>
                  <w:vAlign w:val="center"/>
                </w:tcPr>
                <w:p w14:paraId="132C11C8">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0.073</w:t>
                  </w:r>
                </w:p>
              </w:tc>
            </w:tr>
            <w:tr w14:paraId="3B74CB7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4" w:type="pct"/>
                  <w:vAlign w:val="center"/>
                </w:tcPr>
                <w:p w14:paraId="36A6FF9C">
                  <w:pPr>
                    <w:pStyle w:val="116"/>
                    <w:spacing w:line="240" w:lineRule="auto"/>
                    <w:ind w:firstLine="0" w:firstLineChars="0"/>
                    <w:jc w:val="center"/>
                    <w:rPr>
                      <w:color w:val="auto"/>
                      <w:highlight w:val="none"/>
                    </w:rPr>
                  </w:pPr>
                  <w:r>
                    <w:rPr>
                      <w:color w:val="auto"/>
                      <w:highlight w:val="none"/>
                    </w:rPr>
                    <w:t>固化工序排气筒</w:t>
                  </w:r>
                  <w:r>
                    <w:rPr>
                      <w:rFonts w:hint="eastAsia"/>
                      <w:color w:val="auto"/>
                      <w:highlight w:val="none"/>
                    </w:rPr>
                    <w:t>（</w:t>
                  </w:r>
                  <w:r>
                    <w:rPr>
                      <w:color w:val="auto"/>
                      <w:highlight w:val="none"/>
                    </w:rPr>
                    <w:t>DA00</w:t>
                  </w:r>
                  <w:r>
                    <w:rPr>
                      <w:rFonts w:hint="eastAsia"/>
                      <w:color w:val="auto"/>
                      <w:highlight w:val="none"/>
                    </w:rPr>
                    <w:t>3）</w:t>
                  </w:r>
                </w:p>
              </w:tc>
              <w:tc>
                <w:tcPr>
                  <w:tcW w:w="773" w:type="pct"/>
                  <w:vAlign w:val="center"/>
                </w:tcPr>
                <w:p w14:paraId="4A486C8C">
                  <w:pPr>
                    <w:pStyle w:val="116"/>
                    <w:spacing w:line="240" w:lineRule="auto"/>
                    <w:ind w:firstLine="0" w:firstLineChars="0"/>
                    <w:jc w:val="center"/>
                    <w:rPr>
                      <w:color w:val="auto"/>
                      <w:highlight w:val="none"/>
                    </w:rPr>
                  </w:pPr>
                  <w:r>
                    <w:rPr>
                      <w:rFonts w:hint="eastAsia"/>
                      <w:color w:val="auto"/>
                      <w:highlight w:val="none"/>
                    </w:rPr>
                    <w:t>非甲烷总烃</w:t>
                  </w:r>
                </w:p>
              </w:tc>
              <w:tc>
                <w:tcPr>
                  <w:tcW w:w="831" w:type="pct"/>
                  <w:vAlign w:val="center"/>
                </w:tcPr>
                <w:p w14:paraId="690BB2C9">
                  <w:pPr>
                    <w:pStyle w:val="116"/>
                    <w:spacing w:line="240" w:lineRule="auto"/>
                    <w:ind w:firstLine="0" w:firstLineChars="0"/>
                    <w:jc w:val="center"/>
                    <w:rPr>
                      <w:rFonts w:hint="default" w:eastAsia="宋体"/>
                      <w:color w:val="auto"/>
                      <w:highlight w:val="none"/>
                      <w:lang w:val="en-US" w:eastAsia="zh-CN"/>
                    </w:rPr>
                  </w:pPr>
                  <w:r>
                    <w:rPr>
                      <w:rFonts w:hint="eastAsia"/>
                      <w:color w:val="auto"/>
                      <w:sz w:val="21"/>
                      <w:szCs w:val="21"/>
                      <w:highlight w:val="none"/>
                    </w:rPr>
                    <w:t>0.0415</w:t>
                  </w:r>
                </w:p>
              </w:tc>
              <w:tc>
                <w:tcPr>
                  <w:tcW w:w="757" w:type="pct"/>
                  <w:vAlign w:val="center"/>
                </w:tcPr>
                <w:p w14:paraId="4676D186">
                  <w:pPr>
                    <w:pStyle w:val="116"/>
                    <w:spacing w:line="240" w:lineRule="auto"/>
                    <w:ind w:firstLine="0" w:firstLineChars="0"/>
                    <w:jc w:val="center"/>
                    <w:rPr>
                      <w:color w:val="auto"/>
                      <w:highlight w:val="none"/>
                    </w:rPr>
                  </w:pPr>
                  <w:r>
                    <w:rPr>
                      <w:rFonts w:hint="eastAsia"/>
                      <w:color w:val="auto"/>
                      <w:highlight w:val="none"/>
                    </w:rPr>
                    <w:t>1950</w:t>
                  </w:r>
                </w:p>
              </w:tc>
              <w:tc>
                <w:tcPr>
                  <w:tcW w:w="812" w:type="pct"/>
                  <w:vAlign w:val="center"/>
                </w:tcPr>
                <w:p w14:paraId="2BB91E1A">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0.081</w:t>
                  </w:r>
                </w:p>
              </w:tc>
            </w:tr>
            <w:tr w14:paraId="442A418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4" w:type="pct"/>
                  <w:shd w:val="clear" w:color="auto" w:fill="auto"/>
                  <w:vAlign w:val="center"/>
                </w:tcPr>
                <w:p w14:paraId="4FB2EE99">
                  <w:pPr>
                    <w:pStyle w:val="116"/>
                    <w:spacing w:line="240" w:lineRule="auto"/>
                    <w:ind w:firstLine="0" w:firstLineChars="0"/>
                    <w:jc w:val="center"/>
                    <w:rPr>
                      <w:rFonts w:ascii="Times New Roman" w:hAnsi="Times New Roman" w:eastAsia="宋体" w:cs="Times New Roman"/>
                      <w:bCs/>
                      <w:color w:val="auto"/>
                      <w:kern w:val="2"/>
                      <w:sz w:val="21"/>
                      <w:szCs w:val="21"/>
                      <w:highlight w:val="none"/>
                      <w:lang w:val="en-US" w:eastAsia="zh-CN" w:bidi="ar-SA"/>
                    </w:rPr>
                  </w:pPr>
                  <w:r>
                    <w:rPr>
                      <w:rFonts w:hint="eastAsia"/>
                      <w:color w:val="auto"/>
                      <w:highlight w:val="none"/>
                    </w:rPr>
                    <w:t>抛丸工序</w:t>
                  </w:r>
                  <w:r>
                    <w:rPr>
                      <w:color w:val="auto"/>
                      <w:highlight w:val="none"/>
                    </w:rPr>
                    <w:t>排气筒</w:t>
                  </w:r>
                  <w:r>
                    <w:rPr>
                      <w:rFonts w:hint="eastAsia"/>
                      <w:color w:val="auto"/>
                      <w:highlight w:val="none"/>
                    </w:rPr>
                    <w:t>（</w:t>
                  </w:r>
                  <w:r>
                    <w:rPr>
                      <w:color w:val="auto"/>
                      <w:highlight w:val="none"/>
                    </w:rPr>
                    <w:t>DA00</w:t>
                  </w:r>
                  <w:r>
                    <w:rPr>
                      <w:rFonts w:hint="eastAsia"/>
                      <w:color w:val="auto"/>
                      <w:highlight w:val="none"/>
                      <w:lang w:val="en-US" w:eastAsia="zh-CN"/>
                    </w:rPr>
                    <w:t>4</w:t>
                  </w:r>
                  <w:r>
                    <w:rPr>
                      <w:rFonts w:hint="eastAsia"/>
                      <w:color w:val="auto"/>
                      <w:highlight w:val="none"/>
                    </w:rPr>
                    <w:t>）</w:t>
                  </w:r>
                </w:p>
              </w:tc>
              <w:tc>
                <w:tcPr>
                  <w:tcW w:w="773" w:type="pct"/>
                  <w:shd w:val="clear" w:color="auto" w:fill="auto"/>
                  <w:vAlign w:val="center"/>
                </w:tcPr>
                <w:p w14:paraId="1FA5FBF8">
                  <w:pPr>
                    <w:pStyle w:val="116"/>
                    <w:spacing w:line="240" w:lineRule="auto"/>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color w:val="auto"/>
                      <w:highlight w:val="none"/>
                    </w:rPr>
                    <w:t>颗粒物</w:t>
                  </w:r>
                </w:p>
              </w:tc>
              <w:tc>
                <w:tcPr>
                  <w:tcW w:w="831" w:type="pct"/>
                  <w:vAlign w:val="center"/>
                </w:tcPr>
                <w:p w14:paraId="7B2CF4C5">
                  <w:pPr>
                    <w:pStyle w:val="116"/>
                    <w:spacing w:line="240" w:lineRule="auto"/>
                    <w:ind w:firstLine="0" w:firstLineChars="0"/>
                    <w:jc w:val="center"/>
                    <w:rPr>
                      <w:rFonts w:hint="default" w:eastAsia="宋体"/>
                      <w:color w:val="auto"/>
                      <w:highlight w:val="none"/>
                      <w:lang w:val="en-US" w:eastAsia="zh-CN"/>
                    </w:rPr>
                  </w:pPr>
                  <w:r>
                    <w:rPr>
                      <w:rFonts w:hint="eastAsia"/>
                      <w:color w:val="auto"/>
                      <w:highlight w:val="none"/>
                      <w:lang w:val="en-US" w:eastAsia="zh-CN"/>
                    </w:rPr>
                    <w:t>0.0518</w:t>
                  </w:r>
                </w:p>
              </w:tc>
              <w:tc>
                <w:tcPr>
                  <w:tcW w:w="757" w:type="pct"/>
                  <w:vAlign w:val="center"/>
                </w:tcPr>
                <w:p w14:paraId="462886D7">
                  <w:pPr>
                    <w:pStyle w:val="116"/>
                    <w:spacing w:line="240" w:lineRule="auto"/>
                    <w:ind w:firstLine="0" w:firstLineChars="0"/>
                    <w:jc w:val="center"/>
                    <w:rPr>
                      <w:rFonts w:hint="default" w:eastAsia="宋体"/>
                      <w:color w:val="auto"/>
                      <w:highlight w:val="none"/>
                      <w:lang w:val="en-US" w:eastAsia="zh-CN"/>
                    </w:rPr>
                  </w:pPr>
                  <w:r>
                    <w:rPr>
                      <w:rFonts w:hint="eastAsia"/>
                      <w:color w:val="auto"/>
                      <w:highlight w:val="none"/>
                      <w:lang w:val="en-US" w:eastAsia="zh-CN"/>
                    </w:rPr>
                    <w:t>222</w:t>
                  </w:r>
                </w:p>
              </w:tc>
              <w:tc>
                <w:tcPr>
                  <w:tcW w:w="812" w:type="pct"/>
                  <w:vAlign w:val="center"/>
                </w:tcPr>
                <w:p w14:paraId="5B0BD13E">
                  <w:pPr>
                    <w:keepNext w:val="0"/>
                    <w:keepLines w:val="0"/>
                    <w:widowControl/>
                    <w:suppressLineNumbers w:val="0"/>
                    <w:jc w:val="center"/>
                    <w:textAlignment w:val="center"/>
                    <w:rPr>
                      <w:rFonts w:hint="eastAsia"/>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0.011</w:t>
                  </w:r>
                </w:p>
              </w:tc>
            </w:tr>
          </w:tbl>
          <w:p w14:paraId="325E9A0D">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color w:val="auto"/>
                <w:szCs w:val="21"/>
              </w:rPr>
            </w:pPr>
            <w:r>
              <w:rPr>
                <w:rFonts w:hint="eastAsia"/>
                <w:color w:val="auto"/>
                <w:szCs w:val="21"/>
                <w:highlight w:val="none"/>
              </w:rPr>
              <w:t>综合上述数据，现有工程污染物实际排放总量为：颗粒物</w:t>
            </w:r>
            <w:r>
              <w:rPr>
                <w:rFonts w:hint="eastAsia"/>
                <w:color w:val="auto"/>
                <w:szCs w:val="21"/>
                <w:highlight w:val="none"/>
                <w:lang w:val="en-US" w:eastAsia="zh-CN"/>
              </w:rPr>
              <w:t>0.171</w:t>
            </w:r>
            <w:r>
              <w:rPr>
                <w:rFonts w:hint="eastAsia"/>
                <w:color w:val="auto"/>
                <w:szCs w:val="21"/>
                <w:highlight w:val="none"/>
              </w:rPr>
              <w:t>t/a，非甲烷总烃0.</w:t>
            </w:r>
            <w:r>
              <w:rPr>
                <w:rFonts w:hint="eastAsia"/>
                <w:color w:val="auto"/>
                <w:szCs w:val="21"/>
                <w:highlight w:val="none"/>
                <w:lang w:val="en-US" w:eastAsia="zh-CN"/>
              </w:rPr>
              <w:t>081</w:t>
            </w:r>
            <w:r>
              <w:rPr>
                <w:rFonts w:hint="eastAsia"/>
                <w:color w:val="auto"/>
                <w:szCs w:val="21"/>
                <w:highlight w:val="none"/>
              </w:rPr>
              <w:t>t/a</w:t>
            </w:r>
            <w:r>
              <w:rPr>
                <w:rFonts w:hint="eastAsia"/>
                <w:color w:val="auto"/>
                <w:szCs w:val="21"/>
              </w:rPr>
              <w:t>。</w:t>
            </w:r>
          </w:p>
          <w:p w14:paraId="7F784E45">
            <w:pPr>
              <w:pStyle w:val="119"/>
              <w:keepNext w:val="0"/>
              <w:keepLines w:val="0"/>
              <w:pageBreakBefore w:val="0"/>
              <w:kinsoku/>
              <w:wordWrap/>
              <w:overflowPunct/>
              <w:topLinePunct w:val="0"/>
              <w:autoSpaceDE/>
              <w:autoSpaceDN/>
              <w:bidi w:val="0"/>
              <w:adjustRightInd/>
              <w:snapToGrid/>
              <w:spacing w:line="360" w:lineRule="auto"/>
              <w:ind w:firstLine="420" w:firstLineChars="200"/>
              <w:textAlignment w:val="auto"/>
              <w:rPr>
                <w:color w:val="auto"/>
              </w:rPr>
            </w:pPr>
            <w:r>
              <w:rPr>
                <w:rFonts w:hint="eastAsia"/>
                <w:color w:val="auto"/>
              </w:rPr>
              <w:t>（2）废水</w:t>
            </w:r>
          </w:p>
          <w:p w14:paraId="302D01B2">
            <w:pPr>
              <w:pStyle w:val="116"/>
              <w:keepNext w:val="0"/>
              <w:keepLines w:val="0"/>
              <w:pageBreakBefore w:val="0"/>
              <w:kinsoku/>
              <w:wordWrap/>
              <w:overflowPunct/>
              <w:topLinePunct w:val="0"/>
              <w:autoSpaceDE/>
              <w:autoSpaceDN/>
              <w:bidi w:val="0"/>
              <w:adjustRightInd/>
              <w:snapToGrid/>
              <w:spacing w:line="360" w:lineRule="auto"/>
              <w:ind w:firstLine="420" w:firstLineChars="200"/>
              <w:textAlignment w:val="auto"/>
              <w:rPr>
                <w:color w:val="auto"/>
              </w:rPr>
            </w:pPr>
            <w:r>
              <w:rPr>
                <w:color w:val="auto"/>
              </w:rPr>
              <w:t>全厂主要排水环节有办公、生活污水，水淬冷却水、设备冷却水</w:t>
            </w:r>
            <w:r>
              <w:rPr>
                <w:rFonts w:hint="eastAsia"/>
                <w:color w:val="auto"/>
              </w:rPr>
              <w:t>、</w:t>
            </w:r>
            <w:r>
              <w:rPr>
                <w:color w:val="auto"/>
              </w:rPr>
              <w:t>水压试验用水等。其中，生活污水通过隔油、化粪池处理后经市政污水管网排入唐山市东北郊污水处理厂统</w:t>
            </w:r>
            <w:r>
              <w:rPr>
                <w:rFonts w:hint="eastAsia"/>
                <w:color w:val="auto"/>
              </w:rPr>
              <w:t>一</w:t>
            </w:r>
            <w:r>
              <w:rPr>
                <w:color w:val="auto"/>
              </w:rPr>
              <w:t>处理；淬火冷却水经过沉淀处理后回用水淬工艺中，不外排；精锻车间液压机冷却水循环使用，不外排；除磷工序用水经过沉淀处理后循环使用，不外排；</w:t>
            </w:r>
            <w:r>
              <w:rPr>
                <w:color w:val="auto"/>
                <w:kern w:val="0"/>
              </w:rPr>
              <w:t>水压试验用水循环使用</w:t>
            </w:r>
            <w:r>
              <w:rPr>
                <w:rFonts w:hint="eastAsia"/>
                <w:color w:val="auto"/>
                <w:kern w:val="0"/>
              </w:rPr>
              <w:t>，</w:t>
            </w:r>
            <w:r>
              <w:rPr>
                <w:color w:val="auto"/>
                <w:kern w:val="0"/>
              </w:rPr>
              <w:t>不外排</w:t>
            </w:r>
            <w:r>
              <w:rPr>
                <w:rFonts w:hint="eastAsia"/>
                <w:color w:val="auto"/>
                <w:kern w:val="0"/>
              </w:rPr>
              <w:t>；</w:t>
            </w:r>
            <w:r>
              <w:rPr>
                <w:color w:val="auto"/>
              </w:rPr>
              <w:t>废乳化液作为危险废物委托</w:t>
            </w:r>
            <w:r>
              <w:rPr>
                <w:rFonts w:hint="eastAsia"/>
                <w:color w:val="auto"/>
              </w:rPr>
              <w:t>有资质单位</w:t>
            </w:r>
            <w:r>
              <w:rPr>
                <w:color w:val="auto"/>
              </w:rPr>
              <w:t>处理。</w:t>
            </w:r>
          </w:p>
          <w:p w14:paraId="13E80700">
            <w:pPr>
              <w:pStyle w:val="116"/>
              <w:keepNext w:val="0"/>
              <w:keepLines w:val="0"/>
              <w:pageBreakBefore w:val="0"/>
              <w:kinsoku/>
              <w:wordWrap/>
              <w:overflowPunct/>
              <w:topLinePunct w:val="0"/>
              <w:autoSpaceDE/>
              <w:autoSpaceDN/>
              <w:bidi w:val="0"/>
              <w:adjustRightInd/>
              <w:snapToGrid/>
              <w:spacing w:line="360" w:lineRule="auto"/>
              <w:ind w:firstLine="420" w:firstLineChars="200"/>
              <w:jc w:val="both"/>
              <w:textAlignment w:val="auto"/>
              <w:rPr>
                <w:color w:val="auto"/>
              </w:rPr>
            </w:pPr>
            <w:bookmarkStart w:id="13" w:name="bookmark44"/>
            <w:r>
              <w:rPr>
                <w:color w:val="auto"/>
              </w:rPr>
              <w:t>企业委托</w:t>
            </w:r>
            <w:r>
              <w:rPr>
                <w:rFonts w:hint="eastAsia"/>
                <w:color w:val="auto"/>
              </w:rPr>
              <w:t>唐山赫力环境检测有限公司</w:t>
            </w:r>
            <w:r>
              <w:rPr>
                <w:color w:val="auto"/>
              </w:rPr>
              <w:t>对</w:t>
            </w:r>
            <w:r>
              <w:rPr>
                <w:rFonts w:hint="eastAsia"/>
                <w:color w:val="auto"/>
              </w:rPr>
              <w:t>企业生活污水</w:t>
            </w:r>
            <w:r>
              <w:rPr>
                <w:color w:val="auto"/>
              </w:rPr>
              <w:t>进行了监测，</w:t>
            </w:r>
            <w:r>
              <w:rPr>
                <w:rFonts w:hint="eastAsia"/>
                <w:color w:val="auto"/>
              </w:rPr>
              <w:t>监测报告编号为TSHL自行检测（202</w:t>
            </w:r>
            <w:r>
              <w:rPr>
                <w:rFonts w:hint="eastAsia"/>
                <w:color w:val="auto"/>
                <w:lang w:val="en-US" w:eastAsia="zh-CN"/>
              </w:rPr>
              <w:t>5</w:t>
            </w:r>
            <w:r>
              <w:rPr>
                <w:rFonts w:hint="eastAsia"/>
                <w:color w:val="auto"/>
              </w:rPr>
              <w:t>）第</w:t>
            </w:r>
            <w:r>
              <w:rPr>
                <w:rFonts w:hint="eastAsia"/>
                <w:color w:val="auto"/>
                <w:lang w:val="en-US" w:eastAsia="zh-CN"/>
              </w:rPr>
              <w:t>0504</w:t>
            </w:r>
            <w:r>
              <w:rPr>
                <w:rFonts w:hint="eastAsia"/>
                <w:color w:val="auto"/>
              </w:rPr>
              <w:t>号，监测时间为202</w:t>
            </w:r>
            <w:r>
              <w:rPr>
                <w:rFonts w:hint="eastAsia"/>
                <w:color w:val="auto"/>
                <w:lang w:val="en-US" w:eastAsia="zh-CN"/>
              </w:rPr>
              <w:t>5</w:t>
            </w:r>
            <w:r>
              <w:rPr>
                <w:rFonts w:hint="eastAsia"/>
                <w:color w:val="auto"/>
              </w:rPr>
              <w:t>年</w:t>
            </w:r>
            <w:r>
              <w:rPr>
                <w:rFonts w:hint="eastAsia"/>
                <w:color w:val="auto"/>
                <w:lang w:val="en-US" w:eastAsia="zh-CN"/>
              </w:rPr>
              <w:t>6</w:t>
            </w:r>
            <w:r>
              <w:rPr>
                <w:rFonts w:hint="eastAsia"/>
                <w:color w:val="auto"/>
              </w:rPr>
              <w:t>月</w:t>
            </w:r>
            <w:r>
              <w:rPr>
                <w:rFonts w:hint="eastAsia"/>
                <w:color w:val="auto"/>
                <w:lang w:val="en-US" w:eastAsia="zh-CN"/>
              </w:rPr>
              <w:t>17</w:t>
            </w:r>
            <w:r>
              <w:rPr>
                <w:rFonts w:hint="eastAsia"/>
                <w:color w:val="auto"/>
              </w:rPr>
              <w:t>日。</w:t>
            </w:r>
            <w:r>
              <w:rPr>
                <w:color w:val="auto"/>
              </w:rPr>
              <w:t>监测结果见下表。</w:t>
            </w:r>
          </w:p>
          <w:bookmarkEnd w:id="13"/>
          <w:p w14:paraId="6221C66D">
            <w:pPr>
              <w:pStyle w:val="10"/>
              <w:rPr>
                <w:color w:val="auto"/>
              </w:rPr>
            </w:pPr>
            <w:r>
              <w:rPr>
                <w:rFonts w:hint="eastAsia"/>
                <w:color w:val="auto"/>
              </w:rPr>
              <w:t>表2</w:t>
            </w:r>
            <w:r>
              <w:rPr>
                <w:rFonts w:hint="eastAsia"/>
                <w:color w:val="auto"/>
                <w:lang w:eastAsia="zh-CN"/>
              </w:rPr>
              <w:t>-</w:t>
            </w:r>
            <w:r>
              <w:rPr>
                <w:color w:val="auto"/>
              </w:rPr>
              <w:fldChar w:fldCharType="begin"/>
            </w:r>
            <w:r>
              <w:rPr>
                <w:color w:val="auto"/>
              </w:rPr>
              <w:instrText xml:space="preserve"> </w:instrText>
            </w:r>
            <w:r>
              <w:rPr>
                <w:rFonts w:hint="eastAsia"/>
                <w:color w:val="auto"/>
              </w:rPr>
              <w:instrText xml:space="preserve">SEQ 表2- \* ARABIC</w:instrText>
            </w:r>
            <w:r>
              <w:rPr>
                <w:color w:val="auto"/>
              </w:rPr>
              <w:instrText xml:space="preserve"> </w:instrText>
            </w:r>
            <w:r>
              <w:rPr>
                <w:color w:val="auto"/>
              </w:rPr>
              <w:fldChar w:fldCharType="separate"/>
            </w:r>
            <w:r>
              <w:rPr>
                <w:color w:val="auto"/>
              </w:rPr>
              <w:t>1</w:t>
            </w:r>
            <w:r>
              <w:rPr>
                <w:rFonts w:hint="eastAsia"/>
                <w:color w:val="auto"/>
                <w:lang w:val="en-US" w:eastAsia="zh-CN"/>
              </w:rPr>
              <w:t>9</w:t>
            </w:r>
            <w:r>
              <w:rPr>
                <w:color w:val="auto"/>
              </w:rPr>
              <w:fldChar w:fldCharType="end"/>
            </w:r>
            <w:r>
              <w:rPr>
                <w:color w:val="auto"/>
              </w:rPr>
              <w:t>现有工程</w:t>
            </w:r>
            <w:r>
              <w:rPr>
                <w:color w:val="auto"/>
                <w:szCs w:val="21"/>
              </w:rPr>
              <w:t>废水监测结果</w:t>
            </w:r>
          </w:p>
          <w:tbl>
            <w:tblPr>
              <w:tblStyle w:val="33"/>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4"/>
              <w:gridCol w:w="1256"/>
              <w:gridCol w:w="949"/>
              <w:gridCol w:w="1688"/>
              <w:gridCol w:w="1255"/>
              <w:gridCol w:w="1255"/>
              <w:gridCol w:w="1252"/>
            </w:tblGrid>
            <w:tr w14:paraId="3F0C5A7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388" w:type="pct"/>
                  <w:vAlign w:val="center"/>
                </w:tcPr>
                <w:p w14:paraId="7A8D3B4B">
                  <w:pPr>
                    <w:pStyle w:val="91"/>
                    <w:spacing w:line="240" w:lineRule="auto"/>
                    <w:ind w:firstLine="0" w:firstLineChars="0"/>
                    <w:jc w:val="center"/>
                    <w:rPr>
                      <w:color w:val="auto"/>
                      <w:sz w:val="21"/>
                      <w:szCs w:val="21"/>
                    </w:rPr>
                  </w:pPr>
                  <w:r>
                    <w:rPr>
                      <w:color w:val="auto"/>
                      <w:sz w:val="21"/>
                      <w:szCs w:val="21"/>
                    </w:rPr>
                    <w:t>序号</w:t>
                  </w:r>
                </w:p>
              </w:tc>
              <w:tc>
                <w:tcPr>
                  <w:tcW w:w="757" w:type="pct"/>
                  <w:vAlign w:val="center"/>
                </w:tcPr>
                <w:p w14:paraId="1D93BBE0">
                  <w:pPr>
                    <w:pStyle w:val="91"/>
                    <w:widowControl/>
                    <w:spacing w:line="240" w:lineRule="auto"/>
                    <w:ind w:firstLine="0" w:firstLineChars="0"/>
                    <w:jc w:val="center"/>
                    <w:rPr>
                      <w:color w:val="auto"/>
                      <w:sz w:val="21"/>
                      <w:szCs w:val="21"/>
                    </w:rPr>
                  </w:pPr>
                  <w:r>
                    <w:rPr>
                      <w:color w:val="auto"/>
                      <w:sz w:val="21"/>
                      <w:szCs w:val="21"/>
                    </w:rPr>
                    <w:t>监测指标</w:t>
                  </w:r>
                </w:p>
              </w:tc>
              <w:tc>
                <w:tcPr>
                  <w:tcW w:w="572" w:type="pct"/>
                  <w:vAlign w:val="center"/>
                </w:tcPr>
                <w:p w14:paraId="24D1C370">
                  <w:pPr>
                    <w:pStyle w:val="91"/>
                    <w:widowControl/>
                    <w:spacing w:line="240" w:lineRule="auto"/>
                    <w:ind w:firstLine="0" w:firstLineChars="0"/>
                    <w:jc w:val="center"/>
                    <w:rPr>
                      <w:color w:val="auto"/>
                      <w:sz w:val="21"/>
                      <w:szCs w:val="21"/>
                    </w:rPr>
                  </w:pPr>
                  <w:r>
                    <w:rPr>
                      <w:color w:val="auto"/>
                      <w:sz w:val="21"/>
                      <w:szCs w:val="21"/>
                    </w:rPr>
                    <w:t>单位</w:t>
                  </w:r>
                </w:p>
              </w:tc>
              <w:tc>
                <w:tcPr>
                  <w:tcW w:w="1017" w:type="pct"/>
                  <w:vAlign w:val="center"/>
                </w:tcPr>
                <w:p w14:paraId="35B440C0">
                  <w:pPr>
                    <w:pStyle w:val="91"/>
                    <w:widowControl/>
                    <w:spacing w:line="240" w:lineRule="auto"/>
                    <w:ind w:firstLine="0" w:firstLineChars="0"/>
                    <w:jc w:val="center"/>
                    <w:rPr>
                      <w:color w:val="auto"/>
                      <w:sz w:val="21"/>
                      <w:szCs w:val="21"/>
                    </w:rPr>
                  </w:pPr>
                  <w:r>
                    <w:rPr>
                      <w:rFonts w:hint="eastAsia"/>
                      <w:color w:val="auto"/>
                      <w:sz w:val="21"/>
                      <w:szCs w:val="21"/>
                    </w:rPr>
                    <w:t>检测</w:t>
                  </w:r>
                  <w:r>
                    <w:rPr>
                      <w:color w:val="auto"/>
                      <w:sz w:val="21"/>
                      <w:szCs w:val="21"/>
                    </w:rPr>
                    <w:t>结果</w:t>
                  </w:r>
                </w:p>
              </w:tc>
              <w:tc>
                <w:tcPr>
                  <w:tcW w:w="756" w:type="pct"/>
                  <w:vAlign w:val="center"/>
                </w:tcPr>
                <w:p w14:paraId="3BE58169">
                  <w:pPr>
                    <w:pStyle w:val="91"/>
                    <w:widowControl/>
                    <w:spacing w:line="240" w:lineRule="auto"/>
                    <w:ind w:firstLine="0" w:firstLineChars="0"/>
                    <w:jc w:val="center"/>
                    <w:rPr>
                      <w:color w:val="auto"/>
                      <w:sz w:val="21"/>
                      <w:szCs w:val="21"/>
                    </w:rPr>
                  </w:pPr>
                  <w:r>
                    <w:rPr>
                      <w:color w:val="auto"/>
                      <w:sz w:val="21"/>
                      <w:szCs w:val="21"/>
                    </w:rPr>
                    <w:t>均值</w:t>
                  </w:r>
                </w:p>
              </w:tc>
              <w:tc>
                <w:tcPr>
                  <w:tcW w:w="756" w:type="pct"/>
                  <w:vAlign w:val="center"/>
                </w:tcPr>
                <w:p w14:paraId="4F699E8B">
                  <w:pPr>
                    <w:pStyle w:val="91"/>
                    <w:widowControl/>
                    <w:spacing w:line="240" w:lineRule="auto"/>
                    <w:ind w:firstLine="0" w:firstLineChars="0"/>
                    <w:jc w:val="center"/>
                    <w:rPr>
                      <w:color w:val="auto"/>
                      <w:sz w:val="21"/>
                      <w:szCs w:val="21"/>
                    </w:rPr>
                  </w:pPr>
                  <w:r>
                    <w:rPr>
                      <w:color w:val="auto"/>
                      <w:sz w:val="21"/>
                      <w:szCs w:val="21"/>
                    </w:rPr>
                    <w:t>排放限值</w:t>
                  </w:r>
                </w:p>
              </w:tc>
              <w:tc>
                <w:tcPr>
                  <w:tcW w:w="755" w:type="pct"/>
                  <w:vAlign w:val="center"/>
                </w:tcPr>
                <w:p w14:paraId="7F70E992">
                  <w:pPr>
                    <w:pStyle w:val="91"/>
                    <w:widowControl/>
                    <w:spacing w:line="240" w:lineRule="auto"/>
                    <w:ind w:firstLine="0" w:firstLineChars="0"/>
                    <w:jc w:val="center"/>
                    <w:rPr>
                      <w:color w:val="auto"/>
                      <w:sz w:val="21"/>
                      <w:szCs w:val="21"/>
                    </w:rPr>
                  </w:pPr>
                  <w:r>
                    <w:rPr>
                      <w:color w:val="auto"/>
                      <w:sz w:val="21"/>
                      <w:szCs w:val="21"/>
                    </w:rPr>
                    <w:t>是否达标</w:t>
                  </w:r>
                </w:p>
              </w:tc>
            </w:tr>
            <w:tr w14:paraId="30113F7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exact"/>
              </w:trPr>
              <w:tc>
                <w:tcPr>
                  <w:tcW w:w="388" w:type="pct"/>
                  <w:vAlign w:val="center"/>
                </w:tcPr>
                <w:p w14:paraId="6CCA89C8">
                  <w:pPr>
                    <w:pStyle w:val="91"/>
                    <w:widowControl/>
                    <w:spacing w:line="240" w:lineRule="auto"/>
                    <w:ind w:firstLine="0" w:firstLineChars="0"/>
                    <w:jc w:val="center"/>
                    <w:rPr>
                      <w:color w:val="auto"/>
                      <w:sz w:val="21"/>
                      <w:szCs w:val="21"/>
                    </w:rPr>
                  </w:pPr>
                  <w:r>
                    <w:rPr>
                      <w:rFonts w:hint="eastAsia"/>
                      <w:color w:val="auto"/>
                      <w:sz w:val="21"/>
                      <w:szCs w:val="21"/>
                    </w:rPr>
                    <w:t>1</w:t>
                  </w:r>
                </w:p>
              </w:tc>
              <w:tc>
                <w:tcPr>
                  <w:tcW w:w="757" w:type="pct"/>
                  <w:vAlign w:val="center"/>
                </w:tcPr>
                <w:p w14:paraId="78F2314F">
                  <w:pPr>
                    <w:pStyle w:val="91"/>
                    <w:widowControl/>
                    <w:spacing w:line="240" w:lineRule="auto"/>
                    <w:ind w:firstLine="0" w:firstLineChars="0"/>
                    <w:jc w:val="center"/>
                    <w:rPr>
                      <w:color w:val="auto"/>
                      <w:sz w:val="21"/>
                      <w:szCs w:val="21"/>
                    </w:rPr>
                  </w:pPr>
                  <w:r>
                    <w:rPr>
                      <w:color w:val="auto"/>
                      <w:sz w:val="21"/>
                      <w:szCs w:val="21"/>
                    </w:rPr>
                    <w:t>pH</w:t>
                  </w:r>
                </w:p>
              </w:tc>
              <w:tc>
                <w:tcPr>
                  <w:tcW w:w="572" w:type="pct"/>
                  <w:vAlign w:val="center"/>
                </w:tcPr>
                <w:p w14:paraId="4861D5CE">
                  <w:pPr>
                    <w:pStyle w:val="91"/>
                    <w:widowControl/>
                    <w:spacing w:line="240" w:lineRule="auto"/>
                    <w:ind w:firstLine="0" w:firstLineChars="0"/>
                    <w:jc w:val="center"/>
                    <w:rPr>
                      <w:color w:val="auto"/>
                      <w:sz w:val="21"/>
                      <w:szCs w:val="21"/>
                    </w:rPr>
                  </w:pPr>
                  <w:r>
                    <w:rPr>
                      <w:color w:val="auto"/>
                      <w:sz w:val="21"/>
                      <w:szCs w:val="21"/>
                    </w:rPr>
                    <w:t>无量纲</w:t>
                  </w:r>
                </w:p>
              </w:tc>
              <w:tc>
                <w:tcPr>
                  <w:tcW w:w="1017" w:type="pct"/>
                  <w:vAlign w:val="center"/>
                </w:tcPr>
                <w:p w14:paraId="1E69CA65">
                  <w:pPr>
                    <w:pStyle w:val="91"/>
                    <w:widowControl/>
                    <w:spacing w:line="240" w:lineRule="auto"/>
                    <w:ind w:firstLine="0" w:firstLineChars="0"/>
                    <w:jc w:val="center"/>
                    <w:rPr>
                      <w:rFonts w:hint="eastAsia" w:eastAsia="宋体"/>
                      <w:color w:val="auto"/>
                      <w:sz w:val="21"/>
                      <w:szCs w:val="21"/>
                      <w:lang w:eastAsia="zh-CN"/>
                    </w:rPr>
                  </w:pPr>
                  <w:r>
                    <w:rPr>
                      <w:color w:val="auto"/>
                      <w:sz w:val="21"/>
                      <w:szCs w:val="21"/>
                    </w:rPr>
                    <w:t>7.</w:t>
                  </w:r>
                  <w:r>
                    <w:rPr>
                      <w:rFonts w:hint="eastAsia"/>
                      <w:color w:val="auto"/>
                      <w:sz w:val="21"/>
                      <w:szCs w:val="21"/>
                      <w:lang w:val="en-US" w:eastAsia="zh-CN"/>
                    </w:rPr>
                    <w:t>2</w:t>
                  </w:r>
                  <w:r>
                    <w:rPr>
                      <w:rFonts w:hint="eastAsia" w:ascii="MS Mincho" w:hAnsi="MS Mincho" w:eastAsia="MS Mincho" w:cs="MS Mincho"/>
                      <w:color w:val="auto"/>
                      <w:sz w:val="21"/>
                      <w:szCs w:val="21"/>
                    </w:rPr>
                    <w:t>〜</w:t>
                  </w:r>
                  <w:r>
                    <w:rPr>
                      <w:color w:val="auto"/>
                      <w:sz w:val="21"/>
                      <w:szCs w:val="21"/>
                    </w:rPr>
                    <w:t>7.</w:t>
                  </w:r>
                  <w:r>
                    <w:rPr>
                      <w:rFonts w:hint="eastAsia"/>
                      <w:color w:val="auto"/>
                      <w:sz w:val="21"/>
                      <w:szCs w:val="21"/>
                      <w:lang w:val="en-US" w:eastAsia="zh-CN"/>
                    </w:rPr>
                    <w:t>4</w:t>
                  </w:r>
                </w:p>
              </w:tc>
              <w:tc>
                <w:tcPr>
                  <w:tcW w:w="756" w:type="pct"/>
                  <w:vAlign w:val="center"/>
                </w:tcPr>
                <w:p w14:paraId="49D4B354">
                  <w:pPr>
                    <w:pStyle w:val="91"/>
                    <w:widowControl/>
                    <w:spacing w:line="240" w:lineRule="auto"/>
                    <w:ind w:firstLine="0" w:firstLineChars="0"/>
                    <w:jc w:val="center"/>
                    <w:rPr>
                      <w:color w:val="auto"/>
                      <w:sz w:val="21"/>
                      <w:szCs w:val="21"/>
                    </w:rPr>
                  </w:pPr>
                  <w:r>
                    <w:rPr>
                      <w:rFonts w:hint="eastAsia"/>
                      <w:color w:val="auto"/>
                      <w:sz w:val="21"/>
                      <w:szCs w:val="21"/>
                    </w:rPr>
                    <w:t>-</w:t>
                  </w:r>
                </w:p>
              </w:tc>
              <w:tc>
                <w:tcPr>
                  <w:tcW w:w="756" w:type="pct"/>
                  <w:vAlign w:val="center"/>
                </w:tcPr>
                <w:p w14:paraId="510EC330">
                  <w:pPr>
                    <w:pStyle w:val="91"/>
                    <w:widowControl/>
                    <w:spacing w:line="240" w:lineRule="auto"/>
                    <w:ind w:firstLine="0" w:firstLineChars="0"/>
                    <w:jc w:val="center"/>
                    <w:rPr>
                      <w:color w:val="auto"/>
                      <w:sz w:val="21"/>
                      <w:szCs w:val="21"/>
                    </w:rPr>
                  </w:pPr>
                  <w:r>
                    <w:rPr>
                      <w:color w:val="auto"/>
                      <w:sz w:val="21"/>
                      <w:szCs w:val="21"/>
                    </w:rPr>
                    <w:t>6-9</w:t>
                  </w:r>
                </w:p>
              </w:tc>
              <w:tc>
                <w:tcPr>
                  <w:tcW w:w="755" w:type="pct"/>
                  <w:vAlign w:val="center"/>
                </w:tcPr>
                <w:p w14:paraId="64BE3A0C">
                  <w:pPr>
                    <w:pStyle w:val="91"/>
                    <w:widowControl/>
                    <w:spacing w:line="240" w:lineRule="auto"/>
                    <w:ind w:firstLine="0" w:firstLineChars="0"/>
                    <w:jc w:val="center"/>
                    <w:rPr>
                      <w:color w:val="auto"/>
                      <w:sz w:val="21"/>
                      <w:szCs w:val="21"/>
                    </w:rPr>
                  </w:pPr>
                  <w:r>
                    <w:rPr>
                      <w:color w:val="auto"/>
                      <w:sz w:val="21"/>
                      <w:szCs w:val="21"/>
                    </w:rPr>
                    <w:t>达标</w:t>
                  </w:r>
                </w:p>
              </w:tc>
            </w:tr>
            <w:tr w14:paraId="778F165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exact"/>
              </w:trPr>
              <w:tc>
                <w:tcPr>
                  <w:tcW w:w="388" w:type="pct"/>
                  <w:vAlign w:val="center"/>
                </w:tcPr>
                <w:p w14:paraId="0649DA24">
                  <w:pPr>
                    <w:pStyle w:val="91"/>
                    <w:widowControl/>
                    <w:spacing w:line="240" w:lineRule="auto"/>
                    <w:ind w:firstLine="0" w:firstLineChars="0"/>
                    <w:jc w:val="center"/>
                    <w:rPr>
                      <w:color w:val="auto"/>
                      <w:sz w:val="21"/>
                      <w:szCs w:val="21"/>
                    </w:rPr>
                  </w:pPr>
                  <w:r>
                    <w:rPr>
                      <w:rFonts w:hint="eastAsia"/>
                      <w:color w:val="auto"/>
                      <w:sz w:val="21"/>
                      <w:szCs w:val="21"/>
                    </w:rPr>
                    <w:t>2</w:t>
                  </w:r>
                </w:p>
              </w:tc>
              <w:tc>
                <w:tcPr>
                  <w:tcW w:w="757" w:type="pct"/>
                  <w:vAlign w:val="center"/>
                </w:tcPr>
                <w:p w14:paraId="5FA1623C">
                  <w:pPr>
                    <w:pStyle w:val="91"/>
                    <w:widowControl/>
                    <w:spacing w:line="240" w:lineRule="auto"/>
                    <w:ind w:firstLine="0" w:firstLineChars="0"/>
                    <w:jc w:val="center"/>
                    <w:rPr>
                      <w:color w:val="auto"/>
                      <w:sz w:val="21"/>
                      <w:szCs w:val="21"/>
                    </w:rPr>
                  </w:pPr>
                  <w:r>
                    <w:rPr>
                      <w:rFonts w:hint="eastAsia"/>
                      <w:color w:val="auto"/>
                      <w:sz w:val="21"/>
                      <w:szCs w:val="21"/>
                    </w:rPr>
                    <w:t>SS</w:t>
                  </w:r>
                </w:p>
              </w:tc>
              <w:tc>
                <w:tcPr>
                  <w:tcW w:w="572" w:type="pct"/>
                  <w:vAlign w:val="center"/>
                </w:tcPr>
                <w:p w14:paraId="0A463A7B">
                  <w:pPr>
                    <w:pStyle w:val="91"/>
                    <w:widowControl/>
                    <w:spacing w:line="240" w:lineRule="auto"/>
                    <w:ind w:firstLine="0" w:firstLineChars="0"/>
                    <w:jc w:val="center"/>
                    <w:rPr>
                      <w:color w:val="auto"/>
                      <w:sz w:val="21"/>
                      <w:szCs w:val="21"/>
                    </w:rPr>
                  </w:pPr>
                  <w:r>
                    <w:rPr>
                      <w:color w:val="auto"/>
                      <w:sz w:val="21"/>
                      <w:szCs w:val="21"/>
                    </w:rPr>
                    <w:t>mg/L</w:t>
                  </w:r>
                </w:p>
              </w:tc>
              <w:tc>
                <w:tcPr>
                  <w:tcW w:w="1017" w:type="pct"/>
                  <w:vAlign w:val="center"/>
                </w:tcPr>
                <w:p w14:paraId="011F7F20">
                  <w:pPr>
                    <w:pStyle w:val="91"/>
                    <w:widowControl/>
                    <w:spacing w:line="240" w:lineRule="auto"/>
                    <w:ind w:firstLine="0" w:firstLineChars="0"/>
                    <w:jc w:val="center"/>
                    <w:rPr>
                      <w:rFonts w:hint="default" w:eastAsia="宋体"/>
                      <w:color w:val="auto"/>
                      <w:sz w:val="21"/>
                      <w:szCs w:val="21"/>
                      <w:lang w:val="en-US" w:eastAsia="zh-CN"/>
                    </w:rPr>
                  </w:pPr>
                  <w:r>
                    <w:rPr>
                      <w:rFonts w:hint="eastAsia"/>
                      <w:color w:val="auto"/>
                      <w:sz w:val="21"/>
                      <w:szCs w:val="21"/>
                    </w:rPr>
                    <w:t>1</w:t>
                  </w:r>
                  <w:r>
                    <w:rPr>
                      <w:rFonts w:hint="eastAsia"/>
                      <w:color w:val="auto"/>
                      <w:sz w:val="21"/>
                      <w:szCs w:val="21"/>
                      <w:lang w:val="en-US" w:eastAsia="zh-CN"/>
                    </w:rPr>
                    <w:t>2</w:t>
                  </w:r>
                  <w:r>
                    <w:rPr>
                      <w:rFonts w:hint="eastAsia"/>
                      <w:color w:val="auto"/>
                      <w:sz w:val="21"/>
                      <w:szCs w:val="21"/>
                    </w:rPr>
                    <w:t>8~1</w:t>
                  </w:r>
                  <w:r>
                    <w:rPr>
                      <w:rFonts w:hint="eastAsia"/>
                      <w:color w:val="auto"/>
                      <w:sz w:val="21"/>
                      <w:szCs w:val="21"/>
                      <w:lang w:val="en-US" w:eastAsia="zh-CN"/>
                    </w:rPr>
                    <w:t>53</w:t>
                  </w:r>
                </w:p>
              </w:tc>
              <w:tc>
                <w:tcPr>
                  <w:tcW w:w="756" w:type="pct"/>
                  <w:vAlign w:val="center"/>
                </w:tcPr>
                <w:p w14:paraId="283C0A60">
                  <w:pPr>
                    <w:pStyle w:val="91"/>
                    <w:widowControl/>
                    <w:spacing w:line="240" w:lineRule="auto"/>
                    <w:ind w:firstLine="0" w:firstLineChars="0"/>
                    <w:jc w:val="center"/>
                    <w:rPr>
                      <w:rFonts w:hint="default" w:eastAsia="宋体"/>
                      <w:color w:val="auto"/>
                      <w:sz w:val="21"/>
                      <w:szCs w:val="21"/>
                      <w:lang w:val="en-US" w:eastAsia="zh-CN"/>
                    </w:rPr>
                  </w:pPr>
                  <w:r>
                    <w:rPr>
                      <w:rFonts w:hint="eastAsia"/>
                      <w:color w:val="auto"/>
                      <w:sz w:val="21"/>
                      <w:szCs w:val="21"/>
                    </w:rPr>
                    <w:t>1</w:t>
                  </w:r>
                  <w:r>
                    <w:rPr>
                      <w:rFonts w:hint="eastAsia"/>
                      <w:color w:val="auto"/>
                      <w:sz w:val="21"/>
                      <w:szCs w:val="21"/>
                      <w:lang w:val="en-US" w:eastAsia="zh-CN"/>
                    </w:rPr>
                    <w:t>40</w:t>
                  </w:r>
                </w:p>
              </w:tc>
              <w:tc>
                <w:tcPr>
                  <w:tcW w:w="756" w:type="pct"/>
                  <w:vAlign w:val="center"/>
                </w:tcPr>
                <w:p w14:paraId="33F6D8D4">
                  <w:pPr>
                    <w:pStyle w:val="91"/>
                    <w:widowControl/>
                    <w:spacing w:line="240" w:lineRule="auto"/>
                    <w:ind w:firstLine="0" w:firstLineChars="0"/>
                    <w:jc w:val="center"/>
                    <w:rPr>
                      <w:color w:val="auto"/>
                      <w:sz w:val="21"/>
                      <w:szCs w:val="21"/>
                    </w:rPr>
                  </w:pPr>
                  <w:r>
                    <w:rPr>
                      <w:color w:val="auto"/>
                      <w:sz w:val="21"/>
                      <w:szCs w:val="21"/>
                    </w:rPr>
                    <w:t>400</w:t>
                  </w:r>
                </w:p>
              </w:tc>
              <w:tc>
                <w:tcPr>
                  <w:tcW w:w="755" w:type="pct"/>
                  <w:vAlign w:val="center"/>
                </w:tcPr>
                <w:p w14:paraId="585AC6BF">
                  <w:pPr>
                    <w:pStyle w:val="91"/>
                    <w:widowControl/>
                    <w:spacing w:line="240" w:lineRule="auto"/>
                    <w:ind w:firstLine="0" w:firstLineChars="0"/>
                    <w:jc w:val="center"/>
                    <w:rPr>
                      <w:color w:val="auto"/>
                      <w:sz w:val="21"/>
                      <w:szCs w:val="21"/>
                    </w:rPr>
                  </w:pPr>
                  <w:r>
                    <w:rPr>
                      <w:color w:val="auto"/>
                      <w:sz w:val="21"/>
                      <w:szCs w:val="21"/>
                    </w:rPr>
                    <w:t>达标</w:t>
                  </w:r>
                </w:p>
              </w:tc>
            </w:tr>
            <w:tr w14:paraId="116837C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exact"/>
              </w:trPr>
              <w:tc>
                <w:tcPr>
                  <w:tcW w:w="388" w:type="pct"/>
                  <w:vAlign w:val="center"/>
                </w:tcPr>
                <w:p w14:paraId="29A3D353">
                  <w:pPr>
                    <w:pStyle w:val="91"/>
                    <w:widowControl/>
                    <w:spacing w:line="240" w:lineRule="auto"/>
                    <w:ind w:firstLine="0" w:firstLineChars="0"/>
                    <w:jc w:val="center"/>
                    <w:rPr>
                      <w:color w:val="auto"/>
                      <w:sz w:val="21"/>
                      <w:szCs w:val="21"/>
                    </w:rPr>
                  </w:pPr>
                  <w:r>
                    <w:rPr>
                      <w:rFonts w:hint="eastAsia"/>
                      <w:color w:val="auto"/>
                      <w:sz w:val="21"/>
                      <w:szCs w:val="21"/>
                    </w:rPr>
                    <w:t>3</w:t>
                  </w:r>
                </w:p>
              </w:tc>
              <w:tc>
                <w:tcPr>
                  <w:tcW w:w="757" w:type="pct"/>
                  <w:vAlign w:val="center"/>
                </w:tcPr>
                <w:p w14:paraId="5FA286AD">
                  <w:pPr>
                    <w:pStyle w:val="91"/>
                    <w:widowControl/>
                    <w:spacing w:line="240" w:lineRule="auto"/>
                    <w:ind w:firstLine="0" w:firstLineChars="0"/>
                    <w:jc w:val="center"/>
                    <w:rPr>
                      <w:color w:val="auto"/>
                      <w:sz w:val="21"/>
                      <w:szCs w:val="21"/>
                    </w:rPr>
                  </w:pPr>
                  <w:r>
                    <w:rPr>
                      <w:rFonts w:hint="eastAsia"/>
                      <w:color w:val="auto"/>
                      <w:sz w:val="21"/>
                      <w:szCs w:val="21"/>
                    </w:rPr>
                    <w:t>COD</w:t>
                  </w:r>
                </w:p>
              </w:tc>
              <w:tc>
                <w:tcPr>
                  <w:tcW w:w="572" w:type="pct"/>
                  <w:vAlign w:val="center"/>
                </w:tcPr>
                <w:p w14:paraId="2D5928B2">
                  <w:pPr>
                    <w:pStyle w:val="91"/>
                    <w:widowControl/>
                    <w:spacing w:line="240" w:lineRule="auto"/>
                    <w:ind w:firstLine="0" w:firstLineChars="0"/>
                    <w:jc w:val="center"/>
                    <w:rPr>
                      <w:color w:val="auto"/>
                      <w:sz w:val="21"/>
                      <w:szCs w:val="21"/>
                    </w:rPr>
                  </w:pPr>
                  <w:r>
                    <w:rPr>
                      <w:color w:val="auto"/>
                      <w:sz w:val="21"/>
                      <w:szCs w:val="21"/>
                    </w:rPr>
                    <w:t>mg/L</w:t>
                  </w:r>
                </w:p>
              </w:tc>
              <w:tc>
                <w:tcPr>
                  <w:tcW w:w="1017" w:type="pct"/>
                  <w:vAlign w:val="center"/>
                </w:tcPr>
                <w:p w14:paraId="508707B2">
                  <w:pPr>
                    <w:pStyle w:val="91"/>
                    <w:widowControl/>
                    <w:spacing w:line="240" w:lineRule="auto"/>
                    <w:ind w:firstLine="0" w:firstLineChars="0"/>
                    <w:jc w:val="center"/>
                    <w:rPr>
                      <w:rFonts w:hint="eastAsia" w:eastAsia="宋体"/>
                      <w:color w:val="auto"/>
                      <w:sz w:val="21"/>
                      <w:szCs w:val="21"/>
                      <w:lang w:eastAsia="zh-CN"/>
                    </w:rPr>
                  </w:pPr>
                  <w:r>
                    <w:rPr>
                      <w:rFonts w:hint="eastAsia"/>
                      <w:color w:val="auto"/>
                      <w:sz w:val="21"/>
                      <w:szCs w:val="21"/>
                    </w:rPr>
                    <w:t>9</w:t>
                  </w:r>
                  <w:r>
                    <w:rPr>
                      <w:rFonts w:hint="eastAsia"/>
                      <w:color w:val="auto"/>
                      <w:sz w:val="21"/>
                      <w:szCs w:val="21"/>
                      <w:lang w:val="en-US" w:eastAsia="zh-CN"/>
                    </w:rPr>
                    <w:t>9</w:t>
                  </w:r>
                  <w:r>
                    <w:rPr>
                      <w:rFonts w:hint="eastAsia"/>
                      <w:color w:val="auto"/>
                      <w:sz w:val="21"/>
                      <w:szCs w:val="21"/>
                    </w:rPr>
                    <w:t>~11</w:t>
                  </w:r>
                  <w:r>
                    <w:rPr>
                      <w:rFonts w:hint="eastAsia"/>
                      <w:color w:val="auto"/>
                      <w:sz w:val="21"/>
                      <w:szCs w:val="21"/>
                      <w:lang w:val="en-US" w:eastAsia="zh-CN"/>
                    </w:rPr>
                    <w:t>9</w:t>
                  </w:r>
                </w:p>
              </w:tc>
              <w:tc>
                <w:tcPr>
                  <w:tcW w:w="756" w:type="pct"/>
                  <w:vAlign w:val="center"/>
                </w:tcPr>
                <w:p w14:paraId="2230EDA2">
                  <w:pPr>
                    <w:pStyle w:val="91"/>
                    <w:widowControl/>
                    <w:spacing w:line="240" w:lineRule="auto"/>
                    <w:ind w:firstLine="0" w:firstLineChars="0"/>
                    <w:jc w:val="center"/>
                    <w:rPr>
                      <w:rFonts w:hint="default" w:eastAsia="宋体"/>
                      <w:color w:val="auto"/>
                      <w:sz w:val="21"/>
                      <w:szCs w:val="21"/>
                      <w:lang w:val="en-US" w:eastAsia="zh-CN"/>
                    </w:rPr>
                  </w:pPr>
                  <w:r>
                    <w:rPr>
                      <w:rFonts w:hint="eastAsia"/>
                      <w:color w:val="auto"/>
                      <w:sz w:val="21"/>
                      <w:szCs w:val="21"/>
                    </w:rPr>
                    <w:t>1</w:t>
                  </w:r>
                  <w:r>
                    <w:rPr>
                      <w:rFonts w:hint="eastAsia"/>
                      <w:color w:val="auto"/>
                      <w:sz w:val="21"/>
                      <w:szCs w:val="21"/>
                      <w:lang w:val="en-US" w:eastAsia="zh-CN"/>
                    </w:rPr>
                    <w:t>10</w:t>
                  </w:r>
                </w:p>
              </w:tc>
              <w:tc>
                <w:tcPr>
                  <w:tcW w:w="756" w:type="pct"/>
                  <w:vAlign w:val="center"/>
                </w:tcPr>
                <w:p w14:paraId="55FA354C">
                  <w:pPr>
                    <w:pStyle w:val="91"/>
                    <w:widowControl/>
                    <w:spacing w:line="240" w:lineRule="auto"/>
                    <w:ind w:firstLine="0" w:firstLineChars="0"/>
                    <w:jc w:val="center"/>
                    <w:rPr>
                      <w:color w:val="auto"/>
                      <w:sz w:val="21"/>
                      <w:szCs w:val="21"/>
                    </w:rPr>
                  </w:pPr>
                  <w:r>
                    <w:rPr>
                      <w:color w:val="auto"/>
                      <w:sz w:val="21"/>
                      <w:szCs w:val="21"/>
                    </w:rPr>
                    <w:t>500</w:t>
                  </w:r>
                </w:p>
              </w:tc>
              <w:tc>
                <w:tcPr>
                  <w:tcW w:w="755" w:type="pct"/>
                  <w:vAlign w:val="center"/>
                </w:tcPr>
                <w:p w14:paraId="1A3CF5E0">
                  <w:pPr>
                    <w:pStyle w:val="91"/>
                    <w:widowControl/>
                    <w:spacing w:line="240" w:lineRule="auto"/>
                    <w:ind w:firstLine="0" w:firstLineChars="0"/>
                    <w:jc w:val="center"/>
                    <w:rPr>
                      <w:color w:val="auto"/>
                      <w:sz w:val="21"/>
                      <w:szCs w:val="21"/>
                    </w:rPr>
                  </w:pPr>
                  <w:r>
                    <w:rPr>
                      <w:color w:val="auto"/>
                      <w:sz w:val="21"/>
                      <w:szCs w:val="21"/>
                    </w:rPr>
                    <w:t>达标</w:t>
                  </w:r>
                </w:p>
              </w:tc>
            </w:tr>
            <w:tr w14:paraId="6F36D9B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exact"/>
              </w:trPr>
              <w:tc>
                <w:tcPr>
                  <w:tcW w:w="388" w:type="pct"/>
                  <w:vAlign w:val="center"/>
                </w:tcPr>
                <w:p w14:paraId="04B45B62">
                  <w:pPr>
                    <w:pStyle w:val="91"/>
                    <w:widowControl/>
                    <w:spacing w:line="240" w:lineRule="auto"/>
                    <w:ind w:firstLine="0" w:firstLineChars="0"/>
                    <w:jc w:val="center"/>
                    <w:rPr>
                      <w:color w:val="auto"/>
                      <w:sz w:val="21"/>
                      <w:szCs w:val="21"/>
                    </w:rPr>
                  </w:pPr>
                  <w:r>
                    <w:rPr>
                      <w:rFonts w:hint="eastAsia"/>
                      <w:color w:val="auto"/>
                      <w:sz w:val="21"/>
                      <w:szCs w:val="21"/>
                    </w:rPr>
                    <w:t>4</w:t>
                  </w:r>
                </w:p>
              </w:tc>
              <w:tc>
                <w:tcPr>
                  <w:tcW w:w="757" w:type="pct"/>
                  <w:vAlign w:val="center"/>
                </w:tcPr>
                <w:p w14:paraId="318B9AA8">
                  <w:pPr>
                    <w:pStyle w:val="91"/>
                    <w:widowControl/>
                    <w:spacing w:line="240" w:lineRule="auto"/>
                    <w:ind w:firstLine="0" w:firstLineChars="0"/>
                    <w:jc w:val="center"/>
                    <w:rPr>
                      <w:color w:val="auto"/>
                      <w:sz w:val="21"/>
                      <w:szCs w:val="21"/>
                    </w:rPr>
                  </w:pPr>
                  <w:r>
                    <w:rPr>
                      <w:color w:val="auto"/>
                      <w:sz w:val="21"/>
                      <w:szCs w:val="21"/>
                    </w:rPr>
                    <w:t>氨氮</w:t>
                  </w:r>
                </w:p>
              </w:tc>
              <w:tc>
                <w:tcPr>
                  <w:tcW w:w="572" w:type="pct"/>
                  <w:vAlign w:val="center"/>
                </w:tcPr>
                <w:p w14:paraId="73ACC02A">
                  <w:pPr>
                    <w:pStyle w:val="91"/>
                    <w:widowControl/>
                    <w:spacing w:line="240" w:lineRule="auto"/>
                    <w:ind w:firstLine="0" w:firstLineChars="0"/>
                    <w:jc w:val="center"/>
                    <w:rPr>
                      <w:color w:val="auto"/>
                      <w:sz w:val="21"/>
                      <w:szCs w:val="21"/>
                    </w:rPr>
                  </w:pPr>
                  <w:r>
                    <w:rPr>
                      <w:color w:val="auto"/>
                      <w:sz w:val="21"/>
                      <w:szCs w:val="21"/>
                    </w:rPr>
                    <w:t>mg/L</w:t>
                  </w:r>
                </w:p>
              </w:tc>
              <w:tc>
                <w:tcPr>
                  <w:tcW w:w="1017" w:type="pct"/>
                  <w:vAlign w:val="center"/>
                </w:tcPr>
                <w:p w14:paraId="465D1396">
                  <w:pPr>
                    <w:pStyle w:val="91"/>
                    <w:widowControl/>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4.24</w:t>
                  </w:r>
                  <w:r>
                    <w:rPr>
                      <w:rFonts w:hint="eastAsia"/>
                      <w:color w:val="auto"/>
                      <w:sz w:val="21"/>
                      <w:szCs w:val="21"/>
                    </w:rPr>
                    <w:t>~</w:t>
                  </w:r>
                  <w:r>
                    <w:rPr>
                      <w:rFonts w:hint="eastAsia"/>
                      <w:color w:val="auto"/>
                      <w:sz w:val="21"/>
                      <w:szCs w:val="21"/>
                      <w:lang w:val="en-US" w:eastAsia="zh-CN"/>
                    </w:rPr>
                    <w:t>5.75</w:t>
                  </w:r>
                </w:p>
              </w:tc>
              <w:tc>
                <w:tcPr>
                  <w:tcW w:w="756" w:type="pct"/>
                  <w:vAlign w:val="center"/>
                </w:tcPr>
                <w:p w14:paraId="22230B4C">
                  <w:pPr>
                    <w:pStyle w:val="91"/>
                    <w:widowControl/>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5.02</w:t>
                  </w:r>
                </w:p>
              </w:tc>
              <w:tc>
                <w:tcPr>
                  <w:tcW w:w="756" w:type="pct"/>
                  <w:vAlign w:val="center"/>
                </w:tcPr>
                <w:p w14:paraId="25D0AA1A">
                  <w:pPr>
                    <w:pStyle w:val="91"/>
                    <w:widowControl/>
                    <w:spacing w:line="240" w:lineRule="auto"/>
                    <w:ind w:firstLine="0" w:firstLineChars="0"/>
                    <w:jc w:val="center"/>
                    <w:rPr>
                      <w:color w:val="auto"/>
                      <w:sz w:val="21"/>
                      <w:szCs w:val="21"/>
                    </w:rPr>
                  </w:pPr>
                  <w:r>
                    <w:rPr>
                      <w:rFonts w:hint="eastAsia"/>
                      <w:color w:val="auto"/>
                      <w:sz w:val="21"/>
                      <w:szCs w:val="21"/>
                    </w:rPr>
                    <w:t>30</w:t>
                  </w:r>
                </w:p>
              </w:tc>
              <w:tc>
                <w:tcPr>
                  <w:tcW w:w="755" w:type="pct"/>
                  <w:vAlign w:val="center"/>
                </w:tcPr>
                <w:p w14:paraId="0A8A7F5E">
                  <w:pPr>
                    <w:pStyle w:val="91"/>
                    <w:widowControl/>
                    <w:spacing w:line="240" w:lineRule="auto"/>
                    <w:ind w:firstLine="0" w:firstLineChars="0"/>
                    <w:jc w:val="center"/>
                    <w:rPr>
                      <w:color w:val="auto"/>
                      <w:sz w:val="21"/>
                      <w:szCs w:val="21"/>
                    </w:rPr>
                  </w:pPr>
                  <w:r>
                    <w:rPr>
                      <w:rFonts w:hint="eastAsia"/>
                      <w:color w:val="auto"/>
                      <w:sz w:val="21"/>
                      <w:szCs w:val="21"/>
                    </w:rPr>
                    <w:t>达标</w:t>
                  </w:r>
                </w:p>
              </w:tc>
            </w:tr>
            <w:tr w14:paraId="46CA75A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exact"/>
              </w:trPr>
              <w:tc>
                <w:tcPr>
                  <w:tcW w:w="388" w:type="pct"/>
                  <w:vAlign w:val="center"/>
                </w:tcPr>
                <w:p w14:paraId="3CE12B13">
                  <w:pPr>
                    <w:pStyle w:val="91"/>
                    <w:widowControl/>
                    <w:spacing w:line="240" w:lineRule="auto"/>
                    <w:ind w:firstLine="0" w:firstLineChars="0"/>
                    <w:jc w:val="center"/>
                    <w:rPr>
                      <w:color w:val="auto"/>
                      <w:sz w:val="21"/>
                      <w:szCs w:val="21"/>
                    </w:rPr>
                  </w:pPr>
                  <w:r>
                    <w:rPr>
                      <w:rFonts w:hint="eastAsia"/>
                      <w:color w:val="auto"/>
                      <w:sz w:val="21"/>
                      <w:szCs w:val="21"/>
                    </w:rPr>
                    <w:t>5</w:t>
                  </w:r>
                </w:p>
              </w:tc>
              <w:tc>
                <w:tcPr>
                  <w:tcW w:w="757" w:type="pct"/>
                  <w:vAlign w:val="center"/>
                </w:tcPr>
                <w:p w14:paraId="2E426B23">
                  <w:pPr>
                    <w:pStyle w:val="91"/>
                    <w:widowControl/>
                    <w:spacing w:line="240" w:lineRule="auto"/>
                    <w:ind w:firstLine="0" w:firstLineChars="0"/>
                    <w:jc w:val="center"/>
                    <w:rPr>
                      <w:color w:val="auto"/>
                      <w:sz w:val="21"/>
                      <w:szCs w:val="21"/>
                    </w:rPr>
                  </w:pPr>
                  <w:r>
                    <w:rPr>
                      <w:rFonts w:hint="eastAsia"/>
                      <w:color w:val="auto"/>
                      <w:sz w:val="21"/>
                      <w:szCs w:val="21"/>
                    </w:rPr>
                    <w:t>BOD</w:t>
                  </w:r>
                  <w:r>
                    <w:rPr>
                      <w:rFonts w:hint="eastAsia"/>
                      <w:color w:val="auto"/>
                      <w:sz w:val="21"/>
                      <w:szCs w:val="21"/>
                      <w:vertAlign w:val="subscript"/>
                    </w:rPr>
                    <w:t>5</w:t>
                  </w:r>
                </w:p>
              </w:tc>
              <w:tc>
                <w:tcPr>
                  <w:tcW w:w="572" w:type="pct"/>
                  <w:vAlign w:val="center"/>
                </w:tcPr>
                <w:p w14:paraId="5DE470EF">
                  <w:pPr>
                    <w:pStyle w:val="91"/>
                    <w:widowControl/>
                    <w:spacing w:line="240" w:lineRule="auto"/>
                    <w:ind w:firstLine="0" w:firstLineChars="0"/>
                    <w:jc w:val="center"/>
                    <w:rPr>
                      <w:color w:val="auto"/>
                      <w:sz w:val="21"/>
                      <w:szCs w:val="21"/>
                    </w:rPr>
                  </w:pPr>
                  <w:r>
                    <w:rPr>
                      <w:color w:val="auto"/>
                      <w:sz w:val="21"/>
                      <w:szCs w:val="21"/>
                    </w:rPr>
                    <w:t>mg/L</w:t>
                  </w:r>
                </w:p>
              </w:tc>
              <w:tc>
                <w:tcPr>
                  <w:tcW w:w="1017" w:type="pct"/>
                  <w:vAlign w:val="center"/>
                </w:tcPr>
                <w:p w14:paraId="4F5436AC">
                  <w:pPr>
                    <w:pStyle w:val="91"/>
                    <w:widowControl/>
                    <w:spacing w:line="240" w:lineRule="auto"/>
                    <w:ind w:firstLine="0" w:firstLineChars="0"/>
                    <w:jc w:val="center"/>
                    <w:rPr>
                      <w:rFonts w:hint="default" w:eastAsia="宋体"/>
                      <w:color w:val="auto"/>
                      <w:sz w:val="21"/>
                      <w:szCs w:val="21"/>
                      <w:lang w:val="en-US" w:eastAsia="zh-CN"/>
                    </w:rPr>
                  </w:pPr>
                  <w:r>
                    <w:rPr>
                      <w:rFonts w:hint="eastAsia"/>
                      <w:color w:val="auto"/>
                      <w:sz w:val="21"/>
                      <w:szCs w:val="21"/>
                    </w:rPr>
                    <w:t>3</w:t>
                  </w:r>
                  <w:r>
                    <w:rPr>
                      <w:rFonts w:hint="eastAsia"/>
                      <w:color w:val="auto"/>
                      <w:sz w:val="21"/>
                      <w:szCs w:val="21"/>
                      <w:lang w:val="en-US" w:eastAsia="zh-CN"/>
                    </w:rPr>
                    <w:t>6.5</w:t>
                  </w:r>
                  <w:r>
                    <w:rPr>
                      <w:rFonts w:hint="eastAsia"/>
                      <w:color w:val="auto"/>
                      <w:sz w:val="21"/>
                      <w:szCs w:val="21"/>
                    </w:rPr>
                    <w:t>~4</w:t>
                  </w:r>
                  <w:r>
                    <w:rPr>
                      <w:rFonts w:hint="eastAsia"/>
                      <w:color w:val="auto"/>
                      <w:sz w:val="21"/>
                      <w:szCs w:val="21"/>
                      <w:lang w:val="en-US" w:eastAsia="zh-CN"/>
                    </w:rPr>
                    <w:t>7.3</w:t>
                  </w:r>
                </w:p>
              </w:tc>
              <w:tc>
                <w:tcPr>
                  <w:tcW w:w="756" w:type="pct"/>
                  <w:vAlign w:val="center"/>
                </w:tcPr>
                <w:p w14:paraId="2A9C3025">
                  <w:pPr>
                    <w:pStyle w:val="91"/>
                    <w:widowControl/>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41.2</w:t>
                  </w:r>
                </w:p>
              </w:tc>
              <w:tc>
                <w:tcPr>
                  <w:tcW w:w="756" w:type="pct"/>
                  <w:vAlign w:val="center"/>
                </w:tcPr>
                <w:p w14:paraId="19B483DD">
                  <w:pPr>
                    <w:pStyle w:val="91"/>
                    <w:widowControl/>
                    <w:spacing w:line="240" w:lineRule="auto"/>
                    <w:ind w:firstLine="0" w:firstLineChars="0"/>
                    <w:jc w:val="center"/>
                    <w:rPr>
                      <w:color w:val="auto"/>
                      <w:sz w:val="21"/>
                      <w:szCs w:val="21"/>
                    </w:rPr>
                  </w:pPr>
                  <w:r>
                    <w:rPr>
                      <w:color w:val="auto"/>
                      <w:sz w:val="21"/>
                      <w:szCs w:val="21"/>
                    </w:rPr>
                    <w:t>300</w:t>
                  </w:r>
                </w:p>
              </w:tc>
              <w:tc>
                <w:tcPr>
                  <w:tcW w:w="755" w:type="pct"/>
                  <w:vAlign w:val="center"/>
                </w:tcPr>
                <w:p w14:paraId="7A405EFD">
                  <w:pPr>
                    <w:pStyle w:val="91"/>
                    <w:widowControl/>
                    <w:spacing w:line="240" w:lineRule="auto"/>
                    <w:ind w:firstLine="0" w:firstLineChars="0"/>
                    <w:jc w:val="center"/>
                    <w:rPr>
                      <w:color w:val="auto"/>
                      <w:sz w:val="21"/>
                      <w:szCs w:val="21"/>
                    </w:rPr>
                  </w:pPr>
                  <w:r>
                    <w:rPr>
                      <w:color w:val="auto"/>
                      <w:sz w:val="21"/>
                      <w:szCs w:val="21"/>
                    </w:rPr>
                    <w:t>达标</w:t>
                  </w:r>
                </w:p>
              </w:tc>
            </w:tr>
            <w:tr w14:paraId="7518A63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8" w:hRule="exact"/>
              </w:trPr>
              <w:tc>
                <w:tcPr>
                  <w:tcW w:w="388" w:type="pct"/>
                  <w:vAlign w:val="center"/>
                </w:tcPr>
                <w:p w14:paraId="54D65FDB">
                  <w:pPr>
                    <w:pStyle w:val="91"/>
                    <w:widowControl/>
                    <w:spacing w:line="240" w:lineRule="auto"/>
                    <w:ind w:firstLine="0" w:firstLineChars="0"/>
                    <w:jc w:val="center"/>
                    <w:rPr>
                      <w:color w:val="auto"/>
                      <w:sz w:val="21"/>
                      <w:szCs w:val="21"/>
                    </w:rPr>
                  </w:pPr>
                  <w:r>
                    <w:rPr>
                      <w:rFonts w:hint="eastAsia"/>
                      <w:color w:val="auto"/>
                      <w:sz w:val="21"/>
                      <w:szCs w:val="21"/>
                    </w:rPr>
                    <w:t>6</w:t>
                  </w:r>
                </w:p>
              </w:tc>
              <w:tc>
                <w:tcPr>
                  <w:tcW w:w="757" w:type="pct"/>
                  <w:vAlign w:val="center"/>
                </w:tcPr>
                <w:p w14:paraId="5D628535">
                  <w:pPr>
                    <w:pStyle w:val="91"/>
                    <w:widowControl/>
                    <w:spacing w:line="240" w:lineRule="auto"/>
                    <w:ind w:firstLine="0" w:firstLineChars="0"/>
                    <w:jc w:val="center"/>
                    <w:rPr>
                      <w:color w:val="auto"/>
                      <w:sz w:val="21"/>
                      <w:szCs w:val="21"/>
                    </w:rPr>
                  </w:pPr>
                  <w:r>
                    <w:rPr>
                      <w:color w:val="auto"/>
                      <w:sz w:val="21"/>
                      <w:szCs w:val="21"/>
                    </w:rPr>
                    <w:t>动植物油</w:t>
                  </w:r>
                </w:p>
              </w:tc>
              <w:tc>
                <w:tcPr>
                  <w:tcW w:w="572" w:type="pct"/>
                  <w:vAlign w:val="center"/>
                </w:tcPr>
                <w:p w14:paraId="6DC715C8">
                  <w:pPr>
                    <w:pStyle w:val="91"/>
                    <w:widowControl/>
                    <w:spacing w:line="240" w:lineRule="auto"/>
                    <w:ind w:firstLine="0" w:firstLineChars="0"/>
                    <w:jc w:val="center"/>
                    <w:rPr>
                      <w:color w:val="auto"/>
                      <w:sz w:val="21"/>
                      <w:szCs w:val="21"/>
                    </w:rPr>
                  </w:pPr>
                  <w:r>
                    <w:rPr>
                      <w:color w:val="auto"/>
                      <w:sz w:val="21"/>
                      <w:szCs w:val="21"/>
                    </w:rPr>
                    <w:t>mg/L</w:t>
                  </w:r>
                </w:p>
              </w:tc>
              <w:tc>
                <w:tcPr>
                  <w:tcW w:w="1017" w:type="pct"/>
                  <w:vAlign w:val="center"/>
                </w:tcPr>
                <w:p w14:paraId="72225DD6">
                  <w:pPr>
                    <w:pStyle w:val="91"/>
                    <w:widowControl/>
                    <w:spacing w:line="240" w:lineRule="auto"/>
                    <w:ind w:firstLine="0" w:firstLineChars="0"/>
                    <w:jc w:val="center"/>
                    <w:rPr>
                      <w:rFonts w:hint="default" w:eastAsia="宋体"/>
                      <w:color w:val="auto"/>
                      <w:sz w:val="21"/>
                      <w:szCs w:val="21"/>
                      <w:lang w:val="en-US" w:eastAsia="zh-CN"/>
                    </w:rPr>
                  </w:pPr>
                  <w:r>
                    <w:rPr>
                      <w:rFonts w:hint="eastAsia"/>
                      <w:color w:val="auto"/>
                      <w:sz w:val="21"/>
                      <w:szCs w:val="21"/>
                    </w:rPr>
                    <w:t>0.</w:t>
                  </w:r>
                  <w:r>
                    <w:rPr>
                      <w:rFonts w:hint="eastAsia"/>
                      <w:color w:val="auto"/>
                      <w:sz w:val="21"/>
                      <w:szCs w:val="21"/>
                      <w:lang w:val="en-US" w:eastAsia="zh-CN"/>
                    </w:rPr>
                    <w:t>40</w:t>
                  </w:r>
                  <w:r>
                    <w:rPr>
                      <w:rFonts w:hint="eastAsia"/>
                      <w:color w:val="auto"/>
                      <w:sz w:val="21"/>
                      <w:szCs w:val="21"/>
                    </w:rPr>
                    <w:t>~0.</w:t>
                  </w:r>
                  <w:r>
                    <w:rPr>
                      <w:rFonts w:hint="eastAsia"/>
                      <w:color w:val="auto"/>
                      <w:sz w:val="21"/>
                      <w:szCs w:val="21"/>
                      <w:lang w:val="en-US" w:eastAsia="zh-CN"/>
                    </w:rPr>
                    <w:t>70</w:t>
                  </w:r>
                </w:p>
              </w:tc>
              <w:tc>
                <w:tcPr>
                  <w:tcW w:w="756" w:type="pct"/>
                  <w:vAlign w:val="center"/>
                </w:tcPr>
                <w:p w14:paraId="0A7A902B">
                  <w:pPr>
                    <w:pStyle w:val="91"/>
                    <w:widowControl/>
                    <w:spacing w:line="240" w:lineRule="auto"/>
                    <w:ind w:firstLine="0" w:firstLineChars="0"/>
                    <w:jc w:val="center"/>
                    <w:rPr>
                      <w:rFonts w:hint="eastAsia" w:eastAsia="宋体"/>
                      <w:color w:val="auto"/>
                      <w:sz w:val="21"/>
                      <w:szCs w:val="21"/>
                      <w:lang w:eastAsia="zh-CN"/>
                    </w:rPr>
                  </w:pPr>
                  <w:r>
                    <w:rPr>
                      <w:rFonts w:hint="eastAsia"/>
                      <w:color w:val="auto"/>
                      <w:sz w:val="21"/>
                      <w:szCs w:val="21"/>
                    </w:rPr>
                    <w:t>0.5</w:t>
                  </w:r>
                  <w:r>
                    <w:rPr>
                      <w:rFonts w:hint="eastAsia"/>
                      <w:color w:val="auto"/>
                      <w:sz w:val="21"/>
                      <w:szCs w:val="21"/>
                      <w:lang w:val="en-US" w:eastAsia="zh-CN"/>
                    </w:rPr>
                    <w:t>2</w:t>
                  </w:r>
                </w:p>
              </w:tc>
              <w:tc>
                <w:tcPr>
                  <w:tcW w:w="756" w:type="pct"/>
                  <w:vAlign w:val="center"/>
                </w:tcPr>
                <w:p w14:paraId="01395AEF">
                  <w:pPr>
                    <w:pStyle w:val="91"/>
                    <w:widowControl/>
                    <w:spacing w:line="240" w:lineRule="auto"/>
                    <w:ind w:firstLine="0" w:firstLineChars="0"/>
                    <w:jc w:val="center"/>
                    <w:rPr>
                      <w:color w:val="auto"/>
                      <w:sz w:val="21"/>
                      <w:szCs w:val="21"/>
                    </w:rPr>
                  </w:pPr>
                  <w:r>
                    <w:rPr>
                      <w:color w:val="auto"/>
                      <w:sz w:val="21"/>
                      <w:szCs w:val="21"/>
                    </w:rPr>
                    <w:t>100</w:t>
                  </w:r>
                </w:p>
              </w:tc>
              <w:tc>
                <w:tcPr>
                  <w:tcW w:w="755" w:type="pct"/>
                  <w:vAlign w:val="center"/>
                </w:tcPr>
                <w:p w14:paraId="0DBE5557">
                  <w:pPr>
                    <w:pStyle w:val="91"/>
                    <w:widowControl/>
                    <w:spacing w:line="240" w:lineRule="auto"/>
                    <w:ind w:firstLine="0" w:firstLineChars="0"/>
                    <w:jc w:val="center"/>
                    <w:rPr>
                      <w:color w:val="auto"/>
                      <w:sz w:val="21"/>
                      <w:szCs w:val="21"/>
                    </w:rPr>
                  </w:pPr>
                  <w:r>
                    <w:rPr>
                      <w:color w:val="auto"/>
                      <w:sz w:val="21"/>
                      <w:szCs w:val="21"/>
                    </w:rPr>
                    <w:t>达标</w:t>
                  </w:r>
                </w:p>
              </w:tc>
            </w:tr>
          </w:tbl>
          <w:p w14:paraId="3258FB85">
            <w:pPr>
              <w:pStyle w:val="116"/>
              <w:ind w:firstLine="420"/>
              <w:rPr>
                <w:color w:val="auto"/>
              </w:rPr>
            </w:pPr>
            <w:r>
              <w:rPr>
                <w:color w:val="auto"/>
              </w:rPr>
              <w:t>由上表可知，现有工程</w:t>
            </w:r>
            <w:r>
              <w:rPr>
                <w:rFonts w:hint="eastAsia"/>
                <w:color w:val="auto"/>
              </w:rPr>
              <w:t>废水排放满足《污水综合排放标准》（GB8978-1996）三级标准，同时满足《污水排入城镇下水道水质标准》（GB/T31962-2015）要求，同时满足东北郊污水处理厂进水水质要求。</w:t>
            </w:r>
          </w:p>
          <w:p w14:paraId="3FC9D495">
            <w:pPr>
              <w:pStyle w:val="119"/>
              <w:rPr>
                <w:color w:val="auto"/>
              </w:rPr>
            </w:pPr>
            <w:r>
              <w:rPr>
                <w:color w:val="auto"/>
              </w:rPr>
              <w:t>（</w:t>
            </w:r>
            <w:r>
              <w:rPr>
                <w:rFonts w:hint="eastAsia"/>
                <w:color w:val="auto"/>
              </w:rPr>
              <w:t>3</w:t>
            </w:r>
            <w:r>
              <w:rPr>
                <w:color w:val="auto"/>
              </w:rPr>
              <w:t>）噪声</w:t>
            </w:r>
          </w:p>
          <w:p w14:paraId="595BFCEB">
            <w:pPr>
              <w:pStyle w:val="116"/>
              <w:ind w:firstLine="420"/>
              <w:rPr>
                <w:color w:val="auto"/>
              </w:rPr>
            </w:pPr>
            <w:r>
              <w:rPr>
                <w:color w:val="auto"/>
              </w:rPr>
              <w:t>现有项目噪声主要来源于切割机、锻造设备、各类机床、焊机、风机、抛丸机、泵等机械设备噪声和上料、运转过程中产生的碰撞噪声。设备置于全封闭车间内，采取低噪声设备，设备基础减震，建筑隔声等措施。</w:t>
            </w:r>
          </w:p>
          <w:p w14:paraId="033D35D7">
            <w:pPr>
              <w:pStyle w:val="116"/>
              <w:ind w:firstLine="420"/>
              <w:jc w:val="both"/>
              <w:rPr>
                <w:color w:val="auto"/>
              </w:rPr>
            </w:pPr>
            <w:r>
              <w:rPr>
                <w:color w:val="auto"/>
              </w:rPr>
              <w:t>企业委托</w:t>
            </w:r>
            <w:r>
              <w:rPr>
                <w:rFonts w:hint="eastAsia"/>
                <w:color w:val="auto"/>
              </w:rPr>
              <w:t>唐山赫力环境检测有限公司</w:t>
            </w:r>
            <w:r>
              <w:rPr>
                <w:color w:val="auto"/>
              </w:rPr>
              <w:t>对</w:t>
            </w:r>
            <w:r>
              <w:rPr>
                <w:rFonts w:hint="eastAsia"/>
                <w:color w:val="auto"/>
              </w:rPr>
              <w:t>企业噪声</w:t>
            </w:r>
            <w:r>
              <w:rPr>
                <w:color w:val="auto"/>
              </w:rPr>
              <w:t>进行了监测，</w:t>
            </w:r>
            <w:r>
              <w:rPr>
                <w:rFonts w:hint="eastAsia"/>
                <w:color w:val="auto"/>
              </w:rPr>
              <w:t>监测报告编号为TSHL</w:t>
            </w:r>
            <w:r>
              <w:rPr>
                <w:rFonts w:hint="eastAsia"/>
                <w:color w:val="auto"/>
                <w:lang w:eastAsia="zh-CN"/>
              </w:rPr>
              <w:t>（</w:t>
            </w:r>
            <w:r>
              <w:rPr>
                <w:rFonts w:hint="eastAsia"/>
                <w:color w:val="auto"/>
                <w:lang w:val="en-US" w:eastAsia="zh-CN"/>
              </w:rPr>
              <w:t>Y</w:t>
            </w:r>
            <w:r>
              <w:rPr>
                <w:rFonts w:hint="eastAsia"/>
                <w:color w:val="auto"/>
                <w:lang w:eastAsia="zh-CN"/>
              </w:rPr>
              <w:t>）</w:t>
            </w:r>
            <w:r>
              <w:rPr>
                <w:rFonts w:hint="eastAsia"/>
                <w:color w:val="auto"/>
              </w:rPr>
              <w:t>字(2025)第0857号，监测时间为202</w:t>
            </w:r>
            <w:r>
              <w:rPr>
                <w:rFonts w:hint="eastAsia"/>
                <w:color w:val="auto"/>
                <w:lang w:val="en-US" w:eastAsia="zh-CN"/>
              </w:rPr>
              <w:t>6</w:t>
            </w:r>
            <w:r>
              <w:rPr>
                <w:rFonts w:hint="eastAsia"/>
                <w:color w:val="auto"/>
              </w:rPr>
              <w:t>年</w:t>
            </w:r>
            <w:r>
              <w:rPr>
                <w:rFonts w:hint="eastAsia"/>
                <w:color w:val="auto"/>
                <w:lang w:val="en-US" w:eastAsia="zh-CN"/>
              </w:rPr>
              <w:t>1</w:t>
            </w:r>
            <w:r>
              <w:rPr>
                <w:rFonts w:hint="eastAsia"/>
                <w:color w:val="auto"/>
              </w:rPr>
              <w:t>月</w:t>
            </w:r>
            <w:r>
              <w:rPr>
                <w:rFonts w:hint="eastAsia"/>
                <w:color w:val="auto"/>
                <w:lang w:val="en-US" w:eastAsia="zh-CN"/>
              </w:rPr>
              <w:t>6</w:t>
            </w:r>
            <w:r>
              <w:rPr>
                <w:rFonts w:hint="eastAsia"/>
                <w:color w:val="auto"/>
              </w:rPr>
              <w:t>日，</w:t>
            </w:r>
            <w:r>
              <w:rPr>
                <w:color w:val="auto"/>
              </w:rPr>
              <w:t>监测结果见下表。</w:t>
            </w:r>
          </w:p>
          <w:p w14:paraId="7172501C">
            <w:pPr>
              <w:pStyle w:val="10"/>
              <w:rPr>
                <w:color w:val="auto"/>
              </w:rPr>
            </w:pPr>
            <w:bookmarkStart w:id="14" w:name="_Hlk522300803"/>
            <w:r>
              <w:rPr>
                <w:rFonts w:hint="eastAsia"/>
                <w:color w:val="auto"/>
              </w:rPr>
              <w:t>表2</w:t>
            </w:r>
            <w:r>
              <w:rPr>
                <w:rFonts w:hint="eastAsia"/>
                <w:color w:val="auto"/>
                <w:lang w:eastAsia="zh-CN"/>
              </w:rPr>
              <w:t>-</w:t>
            </w:r>
            <w:r>
              <w:rPr>
                <w:rFonts w:hint="eastAsia"/>
                <w:color w:val="auto"/>
                <w:lang w:val="en-US" w:eastAsia="zh-CN"/>
              </w:rPr>
              <w:t>20</w:t>
            </w:r>
            <w:r>
              <w:rPr>
                <w:rFonts w:hint="eastAsia"/>
                <w:color w:val="auto"/>
                <w:spacing w:val="5"/>
                <w:kern w:val="0"/>
                <w:szCs w:val="21"/>
              </w:rPr>
              <w:t>现有工程厂界噪声检测</w:t>
            </w:r>
            <w:r>
              <w:rPr>
                <w:color w:val="auto"/>
                <w:spacing w:val="5"/>
                <w:kern w:val="0"/>
                <w:szCs w:val="21"/>
              </w:rPr>
              <w:t>结果</w:t>
            </w:r>
          </w:p>
          <w:tbl>
            <w:tblPr>
              <w:tblStyle w:val="3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85"/>
              <w:gridCol w:w="1476"/>
              <w:gridCol w:w="2083"/>
              <w:gridCol w:w="2083"/>
              <w:gridCol w:w="1472"/>
            </w:tblGrid>
            <w:tr w14:paraId="4658D17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4" w:type="pct"/>
                  <w:vAlign w:val="center"/>
                </w:tcPr>
                <w:p w14:paraId="39E375BB">
                  <w:pPr>
                    <w:pStyle w:val="116"/>
                    <w:spacing w:line="240" w:lineRule="auto"/>
                    <w:ind w:firstLine="0" w:firstLineChars="0"/>
                    <w:jc w:val="center"/>
                    <w:rPr>
                      <w:rFonts w:cs="宋体"/>
                      <w:color w:val="auto"/>
                    </w:rPr>
                  </w:pPr>
                  <w:r>
                    <w:rPr>
                      <w:rFonts w:cs="宋体"/>
                      <w:color w:val="auto"/>
                    </w:rPr>
                    <w:t>点位</w:t>
                  </w:r>
                </w:p>
              </w:tc>
              <w:tc>
                <w:tcPr>
                  <w:tcW w:w="889" w:type="pct"/>
                  <w:vAlign w:val="center"/>
                </w:tcPr>
                <w:p w14:paraId="076B6C05">
                  <w:pPr>
                    <w:pStyle w:val="116"/>
                    <w:spacing w:line="240" w:lineRule="auto"/>
                    <w:ind w:firstLine="0" w:firstLineChars="0"/>
                    <w:jc w:val="center"/>
                    <w:rPr>
                      <w:rFonts w:cs="宋体"/>
                      <w:color w:val="auto"/>
                    </w:rPr>
                  </w:pPr>
                  <w:r>
                    <w:rPr>
                      <w:rFonts w:hint="eastAsia" w:cs="宋体"/>
                      <w:color w:val="auto"/>
                    </w:rPr>
                    <w:t>监测时段</w:t>
                  </w:r>
                </w:p>
              </w:tc>
              <w:tc>
                <w:tcPr>
                  <w:tcW w:w="1255" w:type="pct"/>
                  <w:vAlign w:val="center"/>
                </w:tcPr>
                <w:p w14:paraId="1B6D171F">
                  <w:pPr>
                    <w:pStyle w:val="116"/>
                    <w:spacing w:line="240" w:lineRule="auto"/>
                    <w:ind w:firstLine="0" w:firstLineChars="0"/>
                    <w:jc w:val="center"/>
                    <w:rPr>
                      <w:rFonts w:cs="宋体"/>
                      <w:color w:val="auto"/>
                    </w:rPr>
                  </w:pPr>
                  <w:r>
                    <w:rPr>
                      <w:rFonts w:hint="eastAsia" w:cs="宋体"/>
                      <w:color w:val="auto"/>
                    </w:rPr>
                    <w:t>监测结果/d</w:t>
                  </w:r>
                  <w:r>
                    <w:rPr>
                      <w:rFonts w:cs="宋体"/>
                      <w:color w:val="auto"/>
                    </w:rPr>
                    <w:t>B</w:t>
                  </w:r>
                  <w:r>
                    <w:rPr>
                      <w:rFonts w:hint="eastAsia" w:cs="宋体"/>
                      <w:color w:val="auto"/>
                    </w:rPr>
                    <w:t>（A）</w:t>
                  </w:r>
                </w:p>
              </w:tc>
              <w:tc>
                <w:tcPr>
                  <w:tcW w:w="1255" w:type="pct"/>
                  <w:vAlign w:val="center"/>
                </w:tcPr>
                <w:p w14:paraId="7E4A9302">
                  <w:pPr>
                    <w:pStyle w:val="116"/>
                    <w:spacing w:line="240" w:lineRule="auto"/>
                    <w:ind w:firstLine="0" w:firstLineChars="0"/>
                    <w:jc w:val="center"/>
                    <w:rPr>
                      <w:rFonts w:cs="宋体"/>
                      <w:color w:val="auto"/>
                    </w:rPr>
                  </w:pPr>
                  <w:r>
                    <w:rPr>
                      <w:rFonts w:hint="eastAsia" w:cs="宋体"/>
                      <w:color w:val="auto"/>
                    </w:rPr>
                    <w:t>执行标准/d</w:t>
                  </w:r>
                  <w:r>
                    <w:rPr>
                      <w:rFonts w:cs="宋体"/>
                      <w:color w:val="auto"/>
                    </w:rPr>
                    <w:t>B</w:t>
                  </w:r>
                  <w:r>
                    <w:rPr>
                      <w:rFonts w:hint="eastAsia" w:cs="宋体"/>
                      <w:color w:val="auto"/>
                    </w:rPr>
                    <w:t>（A）</w:t>
                  </w:r>
                </w:p>
              </w:tc>
              <w:tc>
                <w:tcPr>
                  <w:tcW w:w="887" w:type="pct"/>
                  <w:vAlign w:val="center"/>
                </w:tcPr>
                <w:p w14:paraId="19CDEFC6">
                  <w:pPr>
                    <w:pStyle w:val="116"/>
                    <w:spacing w:line="240" w:lineRule="auto"/>
                    <w:ind w:firstLine="0" w:firstLineChars="0"/>
                    <w:jc w:val="center"/>
                    <w:rPr>
                      <w:rFonts w:cs="宋体"/>
                      <w:color w:val="auto"/>
                    </w:rPr>
                  </w:pPr>
                  <w:r>
                    <w:rPr>
                      <w:rFonts w:hint="eastAsia" w:cs="宋体"/>
                      <w:color w:val="auto"/>
                    </w:rPr>
                    <w:t>达标分析</w:t>
                  </w:r>
                </w:p>
              </w:tc>
            </w:tr>
            <w:tr w14:paraId="19494C8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4" w:type="pct"/>
                  <w:vAlign w:val="center"/>
                </w:tcPr>
                <w:p w14:paraId="7695D4BC">
                  <w:pPr>
                    <w:pStyle w:val="116"/>
                    <w:spacing w:line="240" w:lineRule="auto"/>
                    <w:ind w:firstLine="0" w:firstLineChars="0"/>
                    <w:jc w:val="center"/>
                    <w:rPr>
                      <w:rFonts w:cs="宋体"/>
                      <w:color w:val="auto"/>
                    </w:rPr>
                  </w:pPr>
                  <w:r>
                    <w:rPr>
                      <w:rFonts w:hint="eastAsia" w:cs="宋体"/>
                      <w:color w:val="auto"/>
                    </w:rPr>
                    <w:t>东厂界</w:t>
                  </w:r>
                </w:p>
              </w:tc>
              <w:tc>
                <w:tcPr>
                  <w:tcW w:w="889" w:type="pct"/>
                  <w:vAlign w:val="center"/>
                </w:tcPr>
                <w:p w14:paraId="443CE910">
                  <w:pPr>
                    <w:pStyle w:val="116"/>
                    <w:spacing w:line="240" w:lineRule="auto"/>
                    <w:ind w:firstLine="0" w:firstLineChars="0"/>
                    <w:jc w:val="center"/>
                    <w:rPr>
                      <w:rFonts w:cs="宋体"/>
                      <w:color w:val="auto"/>
                    </w:rPr>
                  </w:pPr>
                  <w:r>
                    <w:rPr>
                      <w:rFonts w:hint="eastAsia" w:cs="宋体"/>
                      <w:color w:val="auto"/>
                    </w:rPr>
                    <w:t>昼间</w:t>
                  </w:r>
                </w:p>
              </w:tc>
              <w:tc>
                <w:tcPr>
                  <w:tcW w:w="1255" w:type="pct"/>
                  <w:vAlign w:val="center"/>
                </w:tcPr>
                <w:p w14:paraId="32A3144A">
                  <w:pPr>
                    <w:pStyle w:val="116"/>
                    <w:spacing w:line="240" w:lineRule="auto"/>
                    <w:ind w:firstLine="0" w:firstLineChars="0"/>
                    <w:jc w:val="center"/>
                    <w:rPr>
                      <w:rFonts w:hint="default"/>
                      <w:color w:val="auto"/>
                      <w:highlight w:val="none"/>
                      <w:lang w:val="en-US" w:eastAsia="zh-CN"/>
                    </w:rPr>
                  </w:pPr>
                  <w:r>
                    <w:rPr>
                      <w:color w:val="auto"/>
                      <w:highlight w:val="none"/>
                    </w:rPr>
                    <w:t>58</w:t>
                  </w:r>
                </w:p>
              </w:tc>
              <w:tc>
                <w:tcPr>
                  <w:tcW w:w="1255" w:type="pct"/>
                  <w:vAlign w:val="center"/>
                </w:tcPr>
                <w:p w14:paraId="5BE7972D">
                  <w:pPr>
                    <w:pStyle w:val="116"/>
                    <w:spacing w:line="240" w:lineRule="auto"/>
                    <w:ind w:firstLine="0" w:firstLineChars="0"/>
                    <w:jc w:val="center"/>
                    <w:rPr>
                      <w:rFonts w:cs="宋体"/>
                      <w:color w:val="auto"/>
                    </w:rPr>
                  </w:pPr>
                  <w:r>
                    <w:rPr>
                      <w:color w:val="auto"/>
                    </w:rPr>
                    <w:t>≤</w:t>
                  </w:r>
                  <w:r>
                    <w:rPr>
                      <w:rFonts w:hint="eastAsia"/>
                      <w:color w:val="auto"/>
                    </w:rPr>
                    <w:t>70</w:t>
                  </w:r>
                </w:p>
              </w:tc>
              <w:tc>
                <w:tcPr>
                  <w:tcW w:w="887" w:type="pct"/>
                  <w:vAlign w:val="center"/>
                </w:tcPr>
                <w:p w14:paraId="40B393AF">
                  <w:pPr>
                    <w:pStyle w:val="116"/>
                    <w:spacing w:line="240" w:lineRule="auto"/>
                    <w:ind w:firstLine="0" w:firstLineChars="0"/>
                    <w:jc w:val="center"/>
                    <w:rPr>
                      <w:rFonts w:cs="宋体"/>
                      <w:color w:val="auto"/>
                    </w:rPr>
                  </w:pPr>
                  <w:r>
                    <w:rPr>
                      <w:rFonts w:hint="eastAsia" w:cs="宋体"/>
                      <w:color w:val="auto"/>
                    </w:rPr>
                    <w:t>达标</w:t>
                  </w:r>
                </w:p>
              </w:tc>
            </w:tr>
            <w:tr w14:paraId="4E1F9F2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4" w:type="pct"/>
                  <w:vAlign w:val="center"/>
                </w:tcPr>
                <w:p w14:paraId="0E37695E">
                  <w:pPr>
                    <w:pStyle w:val="116"/>
                    <w:spacing w:line="240" w:lineRule="auto"/>
                    <w:ind w:firstLine="0" w:firstLineChars="0"/>
                    <w:jc w:val="center"/>
                    <w:rPr>
                      <w:rFonts w:cs="宋体"/>
                      <w:color w:val="auto"/>
                      <w:highlight w:val="none"/>
                    </w:rPr>
                  </w:pPr>
                  <w:r>
                    <w:rPr>
                      <w:rFonts w:hint="eastAsia" w:cs="宋体"/>
                      <w:color w:val="auto"/>
                      <w:highlight w:val="none"/>
                    </w:rPr>
                    <w:t>南厂界</w:t>
                  </w:r>
                </w:p>
              </w:tc>
              <w:tc>
                <w:tcPr>
                  <w:tcW w:w="889" w:type="pct"/>
                  <w:vAlign w:val="center"/>
                </w:tcPr>
                <w:p w14:paraId="1BB1D027">
                  <w:pPr>
                    <w:pStyle w:val="116"/>
                    <w:spacing w:line="240" w:lineRule="auto"/>
                    <w:ind w:firstLine="0" w:firstLineChars="0"/>
                    <w:jc w:val="center"/>
                    <w:rPr>
                      <w:rFonts w:cs="宋体"/>
                      <w:color w:val="auto"/>
                      <w:highlight w:val="none"/>
                    </w:rPr>
                  </w:pPr>
                  <w:r>
                    <w:rPr>
                      <w:rFonts w:hint="eastAsia" w:cs="宋体"/>
                      <w:color w:val="auto"/>
                      <w:highlight w:val="none"/>
                    </w:rPr>
                    <w:t>昼间</w:t>
                  </w:r>
                </w:p>
              </w:tc>
              <w:tc>
                <w:tcPr>
                  <w:tcW w:w="1255" w:type="pct"/>
                  <w:vAlign w:val="center"/>
                </w:tcPr>
                <w:p w14:paraId="7F4EB9C8">
                  <w:pPr>
                    <w:pStyle w:val="116"/>
                    <w:spacing w:line="240" w:lineRule="auto"/>
                    <w:ind w:firstLine="0" w:firstLineChars="0"/>
                    <w:jc w:val="center"/>
                    <w:rPr>
                      <w:rFonts w:hint="default"/>
                      <w:color w:val="auto"/>
                      <w:highlight w:val="none"/>
                      <w:lang w:val="en-US" w:eastAsia="zh-CN"/>
                    </w:rPr>
                  </w:pPr>
                  <w:r>
                    <w:rPr>
                      <w:color w:val="auto"/>
                      <w:highlight w:val="none"/>
                    </w:rPr>
                    <w:t>59</w:t>
                  </w:r>
                </w:p>
              </w:tc>
              <w:tc>
                <w:tcPr>
                  <w:tcW w:w="1255" w:type="pct"/>
                  <w:vAlign w:val="center"/>
                </w:tcPr>
                <w:p w14:paraId="6C128FDB">
                  <w:pPr>
                    <w:pStyle w:val="116"/>
                    <w:spacing w:line="240" w:lineRule="auto"/>
                    <w:ind w:firstLine="0" w:firstLineChars="0"/>
                    <w:jc w:val="center"/>
                    <w:rPr>
                      <w:rFonts w:cs="宋体"/>
                      <w:color w:val="auto"/>
                      <w:highlight w:val="none"/>
                    </w:rPr>
                  </w:pPr>
                  <w:r>
                    <w:rPr>
                      <w:color w:val="auto"/>
                      <w:highlight w:val="none"/>
                    </w:rPr>
                    <w:t>≤65</w:t>
                  </w:r>
                </w:p>
              </w:tc>
              <w:tc>
                <w:tcPr>
                  <w:tcW w:w="887" w:type="pct"/>
                  <w:vAlign w:val="center"/>
                </w:tcPr>
                <w:p w14:paraId="0F7FA163">
                  <w:pPr>
                    <w:pStyle w:val="116"/>
                    <w:spacing w:line="240" w:lineRule="auto"/>
                    <w:ind w:firstLine="0" w:firstLineChars="0"/>
                    <w:jc w:val="center"/>
                    <w:rPr>
                      <w:rFonts w:cs="宋体"/>
                      <w:color w:val="auto"/>
                      <w:highlight w:val="none"/>
                    </w:rPr>
                  </w:pPr>
                  <w:r>
                    <w:rPr>
                      <w:rFonts w:hint="eastAsia" w:cs="宋体"/>
                      <w:color w:val="auto"/>
                      <w:highlight w:val="none"/>
                    </w:rPr>
                    <w:t>达标</w:t>
                  </w:r>
                </w:p>
              </w:tc>
            </w:tr>
            <w:tr w14:paraId="1F82B31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4" w:type="pct"/>
                  <w:vAlign w:val="center"/>
                </w:tcPr>
                <w:p w14:paraId="0A334987">
                  <w:pPr>
                    <w:pStyle w:val="116"/>
                    <w:spacing w:line="240" w:lineRule="auto"/>
                    <w:ind w:firstLine="0" w:firstLineChars="0"/>
                    <w:jc w:val="center"/>
                    <w:rPr>
                      <w:rFonts w:cs="宋体"/>
                      <w:color w:val="auto"/>
                    </w:rPr>
                  </w:pPr>
                  <w:r>
                    <w:rPr>
                      <w:rFonts w:hint="eastAsia" w:cs="宋体"/>
                      <w:color w:val="auto"/>
                    </w:rPr>
                    <w:t>北厂界</w:t>
                  </w:r>
                </w:p>
              </w:tc>
              <w:tc>
                <w:tcPr>
                  <w:tcW w:w="889" w:type="pct"/>
                  <w:vAlign w:val="center"/>
                </w:tcPr>
                <w:p w14:paraId="5DD22A16">
                  <w:pPr>
                    <w:pStyle w:val="116"/>
                    <w:spacing w:line="240" w:lineRule="auto"/>
                    <w:ind w:firstLine="0" w:firstLineChars="0"/>
                    <w:jc w:val="center"/>
                    <w:rPr>
                      <w:rFonts w:cs="宋体"/>
                      <w:color w:val="auto"/>
                    </w:rPr>
                  </w:pPr>
                  <w:r>
                    <w:rPr>
                      <w:rFonts w:hint="eastAsia" w:cs="宋体"/>
                      <w:color w:val="auto"/>
                    </w:rPr>
                    <w:t>昼间</w:t>
                  </w:r>
                </w:p>
              </w:tc>
              <w:tc>
                <w:tcPr>
                  <w:tcW w:w="1255" w:type="pct"/>
                  <w:vAlign w:val="center"/>
                </w:tcPr>
                <w:p w14:paraId="2927C76F">
                  <w:pPr>
                    <w:pStyle w:val="116"/>
                    <w:spacing w:line="240" w:lineRule="auto"/>
                    <w:ind w:firstLine="0" w:firstLineChars="0"/>
                    <w:jc w:val="center"/>
                    <w:rPr>
                      <w:rFonts w:hint="default"/>
                      <w:color w:val="auto"/>
                      <w:highlight w:val="none"/>
                      <w:lang w:val="en-US" w:eastAsia="zh-CN"/>
                    </w:rPr>
                  </w:pPr>
                  <w:r>
                    <w:rPr>
                      <w:color w:val="auto"/>
                      <w:highlight w:val="none"/>
                    </w:rPr>
                    <w:t>61</w:t>
                  </w:r>
                </w:p>
              </w:tc>
              <w:tc>
                <w:tcPr>
                  <w:tcW w:w="1255" w:type="pct"/>
                  <w:vAlign w:val="center"/>
                </w:tcPr>
                <w:p w14:paraId="2AC7725A">
                  <w:pPr>
                    <w:pStyle w:val="116"/>
                    <w:spacing w:line="240" w:lineRule="auto"/>
                    <w:ind w:firstLine="0" w:firstLineChars="0"/>
                    <w:jc w:val="center"/>
                    <w:rPr>
                      <w:rFonts w:cs="宋体"/>
                      <w:color w:val="auto"/>
                    </w:rPr>
                  </w:pPr>
                  <w:r>
                    <w:rPr>
                      <w:color w:val="auto"/>
                    </w:rPr>
                    <w:t>≤</w:t>
                  </w:r>
                  <w:r>
                    <w:rPr>
                      <w:rFonts w:hint="eastAsia"/>
                      <w:color w:val="auto"/>
                    </w:rPr>
                    <w:t>65</w:t>
                  </w:r>
                </w:p>
              </w:tc>
              <w:tc>
                <w:tcPr>
                  <w:tcW w:w="887" w:type="pct"/>
                  <w:vAlign w:val="center"/>
                </w:tcPr>
                <w:p w14:paraId="6691931D">
                  <w:pPr>
                    <w:pStyle w:val="116"/>
                    <w:spacing w:line="240" w:lineRule="auto"/>
                    <w:ind w:firstLine="0" w:firstLineChars="0"/>
                    <w:jc w:val="center"/>
                    <w:rPr>
                      <w:rFonts w:cs="宋体"/>
                      <w:color w:val="auto"/>
                    </w:rPr>
                  </w:pPr>
                  <w:r>
                    <w:rPr>
                      <w:rFonts w:hint="eastAsia" w:cs="宋体"/>
                      <w:color w:val="auto"/>
                    </w:rPr>
                    <w:t>达标</w:t>
                  </w:r>
                </w:p>
              </w:tc>
            </w:tr>
          </w:tbl>
          <w:p w14:paraId="5F8F77F2">
            <w:pPr>
              <w:adjustRightInd w:val="0"/>
              <w:snapToGrid w:val="0"/>
              <w:ind w:firstLine="360" w:firstLineChars="200"/>
              <w:rPr>
                <w:color w:val="auto"/>
                <w:sz w:val="18"/>
                <w:szCs w:val="18"/>
              </w:rPr>
            </w:pPr>
            <w:r>
              <w:rPr>
                <w:rFonts w:hint="eastAsia"/>
                <w:color w:val="auto"/>
                <w:sz w:val="18"/>
                <w:szCs w:val="18"/>
              </w:rPr>
              <w:t>注：西厂界为</w:t>
            </w:r>
            <w:r>
              <w:rPr>
                <w:rFonts w:hint="eastAsia"/>
                <w:color w:val="auto"/>
                <w:sz w:val="18"/>
                <w:szCs w:val="18"/>
                <w:lang w:val="en-US" w:eastAsia="zh-CN"/>
              </w:rPr>
              <w:t>其他企业</w:t>
            </w:r>
            <w:r>
              <w:rPr>
                <w:rFonts w:hint="eastAsia"/>
                <w:color w:val="auto"/>
                <w:sz w:val="18"/>
                <w:szCs w:val="18"/>
              </w:rPr>
              <w:t>，</w:t>
            </w:r>
            <w:r>
              <w:rPr>
                <w:rFonts w:hint="eastAsia"/>
                <w:color w:val="auto"/>
                <w:sz w:val="18"/>
                <w:szCs w:val="18"/>
                <w:lang w:val="en-US" w:eastAsia="zh-CN"/>
              </w:rPr>
              <w:t>夜间不生产</w:t>
            </w:r>
            <w:r>
              <w:rPr>
                <w:rFonts w:hint="eastAsia"/>
                <w:color w:val="auto"/>
                <w:sz w:val="18"/>
                <w:szCs w:val="18"/>
              </w:rPr>
              <w:t>。</w:t>
            </w:r>
          </w:p>
          <w:bookmarkEnd w:id="14"/>
          <w:p w14:paraId="7BC87A08">
            <w:pPr>
              <w:pStyle w:val="116"/>
              <w:spacing w:beforeLines="50"/>
              <w:ind w:firstLine="420"/>
              <w:rPr>
                <w:color w:val="auto"/>
                <w:kern w:val="0"/>
              </w:rPr>
            </w:pPr>
            <w:bookmarkStart w:id="15" w:name="_Hlk503918945"/>
            <w:r>
              <w:rPr>
                <w:color w:val="auto"/>
                <w:kern w:val="0"/>
              </w:rPr>
              <w:t>根据监测报告，该企业</w:t>
            </w:r>
            <w:r>
              <w:rPr>
                <w:rFonts w:hint="eastAsia"/>
                <w:color w:val="auto"/>
                <w:kern w:val="0"/>
              </w:rPr>
              <w:t>南、北</w:t>
            </w:r>
            <w:r>
              <w:rPr>
                <w:color w:val="auto"/>
                <w:kern w:val="0"/>
              </w:rPr>
              <w:t>厂界昼间噪声值</w:t>
            </w:r>
            <w:r>
              <w:rPr>
                <w:rFonts w:hint="eastAsia"/>
                <w:color w:val="auto"/>
                <w:kern w:val="0"/>
              </w:rPr>
              <w:t>满足</w:t>
            </w:r>
            <w:r>
              <w:rPr>
                <w:color w:val="auto"/>
                <w:kern w:val="0"/>
              </w:rPr>
              <w:t>《工业企业厂界环境噪声排放标准》(GB12348-2008)中</w:t>
            </w:r>
            <w:r>
              <w:rPr>
                <w:rFonts w:hint="eastAsia"/>
                <w:color w:val="auto"/>
                <w:kern w:val="0"/>
              </w:rPr>
              <w:t>3</w:t>
            </w:r>
            <w:r>
              <w:rPr>
                <w:color w:val="auto"/>
                <w:kern w:val="0"/>
              </w:rPr>
              <w:t>类标准限值要求</w:t>
            </w:r>
            <w:r>
              <w:rPr>
                <w:rFonts w:hint="eastAsia"/>
                <w:color w:val="auto"/>
                <w:kern w:val="0"/>
                <w:lang w:eastAsia="zh-CN"/>
              </w:rPr>
              <w:t>：</w:t>
            </w:r>
            <w:r>
              <w:rPr>
                <w:color w:val="auto"/>
                <w:kern w:val="0"/>
              </w:rPr>
              <w:t>昼间≤</w:t>
            </w:r>
            <w:r>
              <w:rPr>
                <w:rFonts w:hint="eastAsia"/>
                <w:color w:val="auto"/>
                <w:kern w:val="0"/>
              </w:rPr>
              <w:t>65</w:t>
            </w:r>
            <w:r>
              <w:rPr>
                <w:color w:val="auto"/>
                <w:kern w:val="0"/>
              </w:rPr>
              <w:t>dB(A)</w:t>
            </w:r>
            <w:r>
              <w:rPr>
                <w:rFonts w:hint="eastAsia"/>
                <w:color w:val="auto"/>
                <w:kern w:val="0"/>
              </w:rPr>
              <w:t>；东厂界</w:t>
            </w:r>
            <w:r>
              <w:rPr>
                <w:color w:val="auto"/>
                <w:kern w:val="0"/>
              </w:rPr>
              <w:t>昼间噪声值</w:t>
            </w:r>
            <w:r>
              <w:rPr>
                <w:rFonts w:hint="eastAsia"/>
                <w:color w:val="auto"/>
                <w:kern w:val="0"/>
              </w:rPr>
              <w:t>满足</w:t>
            </w:r>
            <w:r>
              <w:rPr>
                <w:color w:val="auto"/>
                <w:kern w:val="0"/>
              </w:rPr>
              <w:t>《工业企业厂界环境噪声排放标准》(GB12348-2008)中</w:t>
            </w:r>
            <w:r>
              <w:rPr>
                <w:rFonts w:hint="eastAsia"/>
                <w:color w:val="auto"/>
                <w:kern w:val="0"/>
              </w:rPr>
              <w:t>4</w:t>
            </w:r>
            <w:r>
              <w:rPr>
                <w:color w:val="auto"/>
                <w:kern w:val="0"/>
              </w:rPr>
              <w:t>类标准限值要求</w:t>
            </w:r>
            <w:r>
              <w:rPr>
                <w:rFonts w:hint="eastAsia"/>
                <w:color w:val="auto"/>
                <w:kern w:val="0"/>
                <w:lang w:eastAsia="zh-CN"/>
              </w:rPr>
              <w:t>：</w:t>
            </w:r>
            <w:r>
              <w:rPr>
                <w:color w:val="auto"/>
                <w:kern w:val="0"/>
              </w:rPr>
              <w:t>昼间≤</w:t>
            </w:r>
            <w:r>
              <w:rPr>
                <w:rFonts w:hint="eastAsia"/>
                <w:color w:val="auto"/>
                <w:kern w:val="0"/>
              </w:rPr>
              <w:t>70</w:t>
            </w:r>
            <w:r>
              <w:rPr>
                <w:color w:val="auto"/>
                <w:kern w:val="0"/>
              </w:rPr>
              <w:t>dB(A)）。</w:t>
            </w:r>
            <w:bookmarkEnd w:id="15"/>
          </w:p>
          <w:p w14:paraId="1627926D">
            <w:pPr>
              <w:pStyle w:val="119"/>
              <w:rPr>
                <w:color w:val="auto"/>
              </w:rPr>
            </w:pPr>
            <w:r>
              <w:rPr>
                <w:color w:val="auto"/>
              </w:rPr>
              <w:t>（</w:t>
            </w:r>
            <w:r>
              <w:rPr>
                <w:rFonts w:hint="eastAsia"/>
                <w:color w:val="auto"/>
              </w:rPr>
              <w:t>4</w:t>
            </w:r>
            <w:r>
              <w:rPr>
                <w:color w:val="auto"/>
              </w:rPr>
              <w:t>）固</w:t>
            </w:r>
            <w:r>
              <w:rPr>
                <w:rFonts w:hint="eastAsia"/>
                <w:color w:val="auto"/>
              </w:rPr>
              <w:t>体</w:t>
            </w:r>
            <w:r>
              <w:rPr>
                <w:color w:val="auto"/>
              </w:rPr>
              <w:t>废物</w:t>
            </w:r>
          </w:p>
          <w:p w14:paraId="60B17F9F">
            <w:pPr>
              <w:pStyle w:val="116"/>
              <w:ind w:firstLine="420"/>
              <w:rPr>
                <w:color w:val="auto"/>
              </w:rPr>
            </w:pPr>
            <w:r>
              <w:rPr>
                <w:color w:val="auto"/>
              </w:rPr>
              <w:t>一般固体废物</w:t>
            </w:r>
            <w:r>
              <w:rPr>
                <w:rFonts w:hint="eastAsia"/>
                <w:color w:val="auto"/>
              </w:rPr>
              <w:t>：</w:t>
            </w:r>
            <w:r>
              <w:rPr>
                <w:color w:val="auto"/>
              </w:rPr>
              <w:t>下料及机加工产生的边角料、除</w:t>
            </w:r>
            <w:r>
              <w:rPr>
                <w:rFonts w:hint="eastAsia"/>
                <w:color w:val="auto"/>
              </w:rPr>
              <w:t>磷产生的</w:t>
            </w:r>
            <w:r>
              <w:rPr>
                <w:color w:val="auto"/>
              </w:rPr>
              <w:t>氧化铁皮沉渣、抛丸产生的废钢丸</w:t>
            </w:r>
            <w:r>
              <w:rPr>
                <w:rFonts w:hint="eastAsia"/>
                <w:color w:val="auto"/>
              </w:rPr>
              <w:t>、</w:t>
            </w:r>
            <w:r>
              <w:rPr>
                <w:color w:val="auto"/>
              </w:rPr>
              <w:t>废氧化铁皮</w:t>
            </w:r>
            <w:r>
              <w:rPr>
                <w:rFonts w:hint="eastAsia"/>
                <w:color w:val="auto"/>
              </w:rPr>
              <w:t>、</w:t>
            </w:r>
            <w:r>
              <w:rPr>
                <w:color w:val="auto"/>
              </w:rPr>
              <w:t>机加工产生的</w:t>
            </w:r>
            <w:r>
              <w:rPr>
                <w:rFonts w:hint="eastAsia"/>
                <w:color w:val="auto"/>
              </w:rPr>
              <w:t>废金属屑（含油金属屑经过滤除油达到静置无滴漏后打包压块）、锻造过程产生的锻造废渣及氧化铁皮</w:t>
            </w:r>
            <w:r>
              <w:rPr>
                <w:color w:val="auto"/>
              </w:rPr>
              <w:t>作为炼钢原料出售</w:t>
            </w:r>
            <w:r>
              <w:rPr>
                <w:rFonts w:hint="eastAsia"/>
                <w:color w:val="auto"/>
              </w:rPr>
              <w:t>；</w:t>
            </w:r>
            <w:r>
              <w:rPr>
                <w:color w:val="auto"/>
              </w:rPr>
              <w:t>淬火冷却水沉淀处理过程产生的淬火沉渣</w:t>
            </w:r>
            <w:r>
              <w:rPr>
                <w:rFonts w:hint="eastAsia"/>
                <w:color w:val="auto"/>
              </w:rPr>
              <w:t>（主要为金属氧化物）收集后外售；抛丸工序产生的</w:t>
            </w:r>
            <w:r>
              <w:rPr>
                <w:color w:val="auto"/>
              </w:rPr>
              <w:t>除尘灰收集后外售</w:t>
            </w:r>
            <w:r>
              <w:rPr>
                <w:rFonts w:hint="eastAsia"/>
                <w:color w:val="auto"/>
              </w:rPr>
              <w:t>；</w:t>
            </w:r>
            <w:r>
              <w:rPr>
                <w:color w:val="auto"/>
                <w:highlight w:val="none"/>
              </w:rPr>
              <w:t>滤筒除尘器产生的除尘灰</w:t>
            </w:r>
            <w:r>
              <w:rPr>
                <w:rFonts w:hint="eastAsia"/>
                <w:color w:val="auto"/>
                <w:highlight w:val="none"/>
              </w:rPr>
              <w:t>、</w:t>
            </w:r>
            <w:r>
              <w:rPr>
                <w:color w:val="auto"/>
                <w:highlight w:val="none"/>
              </w:rPr>
              <w:t>废滤筒</w:t>
            </w:r>
            <w:r>
              <w:rPr>
                <w:rFonts w:hint="eastAsia"/>
                <w:color w:val="auto"/>
                <w:highlight w:val="none"/>
              </w:rPr>
              <w:t>，</w:t>
            </w:r>
            <w:r>
              <w:rPr>
                <w:color w:val="auto"/>
                <w:highlight w:val="none"/>
              </w:rPr>
              <w:t>集中收集后</w:t>
            </w:r>
            <w:r>
              <w:rPr>
                <w:rFonts w:hint="eastAsia"/>
                <w:color w:val="auto"/>
                <w:highlight w:val="none"/>
              </w:rPr>
              <w:t>外售</w:t>
            </w:r>
            <w:r>
              <w:rPr>
                <w:rFonts w:hint="eastAsia"/>
                <w:color w:val="auto"/>
                <w:highlight w:val="none"/>
                <w:lang w:eastAsia="zh-CN"/>
              </w:rPr>
              <w:t>；</w:t>
            </w:r>
            <w:r>
              <w:rPr>
                <w:rFonts w:hint="eastAsia"/>
                <w:color w:val="auto"/>
              </w:rPr>
              <w:t>喷塑工序产生的除尘灰收集后回用于生产；布袋除尘器产生的废滤袋收集后外售；</w:t>
            </w:r>
            <w:r>
              <w:rPr>
                <w:color w:val="auto"/>
              </w:rPr>
              <w:t>办公生活垃圾</w:t>
            </w:r>
            <w:r>
              <w:rPr>
                <w:rFonts w:hint="eastAsia"/>
                <w:color w:val="auto"/>
              </w:rPr>
              <w:t>由唐山市市政部门统一收集处理。</w:t>
            </w:r>
            <w:r>
              <w:rPr>
                <w:color w:val="auto"/>
              </w:rPr>
              <w:t>危险废物</w:t>
            </w:r>
            <w:r>
              <w:rPr>
                <w:rFonts w:hint="eastAsia"/>
                <w:color w:val="auto"/>
              </w:rPr>
              <w:t>：废乳化液、废润滑油、废液压油、废油桶、废滤芯、废油毡、废抹布、废活性炭</w:t>
            </w:r>
            <w:r>
              <w:rPr>
                <w:color w:val="auto"/>
              </w:rPr>
              <w:t>，暂存危废间，由有资质单位集中处理。</w:t>
            </w:r>
          </w:p>
          <w:p w14:paraId="450C8FB8">
            <w:pPr>
              <w:pStyle w:val="116"/>
              <w:ind w:firstLine="420"/>
              <w:rPr>
                <w:color w:val="auto"/>
              </w:rPr>
            </w:pPr>
            <w:r>
              <w:rPr>
                <w:rFonts w:hint="eastAsia"/>
                <w:color w:val="auto"/>
              </w:rPr>
              <w:t>现有工程产生的固体废物均能妥善处置，不会对周围环境产生明显影响</w:t>
            </w:r>
            <w:r>
              <w:rPr>
                <w:color w:val="auto"/>
              </w:rPr>
              <w:t>。</w:t>
            </w:r>
          </w:p>
          <w:p w14:paraId="6DC6CC8D">
            <w:pPr>
              <w:pStyle w:val="122"/>
              <w:rPr>
                <w:color w:val="auto"/>
              </w:rPr>
            </w:pPr>
            <w:r>
              <w:rPr>
                <w:rFonts w:hint="eastAsia"/>
                <w:color w:val="auto"/>
              </w:rPr>
              <w:t>4</w:t>
            </w:r>
            <w:r>
              <w:rPr>
                <w:color w:val="auto"/>
              </w:rPr>
              <w:t>、现有工程污染物排放总量达标情况</w:t>
            </w:r>
          </w:p>
          <w:p w14:paraId="13BF6FFF">
            <w:pPr>
              <w:pStyle w:val="116"/>
              <w:ind w:firstLine="420"/>
              <w:rPr>
                <w:rFonts w:cs="宋体"/>
                <w:color w:val="auto"/>
              </w:rPr>
            </w:pPr>
            <w:r>
              <w:rPr>
                <w:rFonts w:hint="eastAsia" w:cs="宋体"/>
                <w:color w:val="auto"/>
              </w:rPr>
              <w:t>根据企业环保手续可知，企业现有工程的总量指标为：COD：</w:t>
            </w:r>
            <w:r>
              <w:rPr>
                <w:rFonts w:hint="eastAsia" w:cs="宋体"/>
                <w:color w:val="auto"/>
                <w:lang w:val="en-US" w:eastAsia="zh-CN"/>
              </w:rPr>
              <w:t>0</w:t>
            </w:r>
            <w:r>
              <w:rPr>
                <w:rFonts w:hint="eastAsia" w:cs="宋体"/>
                <w:color w:val="auto"/>
              </w:rPr>
              <w:t>t/a，氨氮：</w:t>
            </w:r>
            <w:r>
              <w:rPr>
                <w:rFonts w:hint="eastAsia" w:cs="宋体"/>
                <w:color w:val="auto"/>
                <w:lang w:val="en-US" w:eastAsia="zh-CN"/>
              </w:rPr>
              <w:t>0</w:t>
            </w:r>
            <w:r>
              <w:rPr>
                <w:rFonts w:hint="eastAsia" w:cs="宋体"/>
                <w:color w:val="auto"/>
              </w:rPr>
              <w:t>t/a，二氧化硫：0t/a，氮氧化物：0t/a</w:t>
            </w:r>
            <w:r>
              <w:rPr>
                <w:rFonts w:hint="eastAsia"/>
                <w:color w:val="auto"/>
              </w:rPr>
              <w:t>，</w:t>
            </w:r>
            <w:r>
              <w:rPr>
                <w:color w:val="auto"/>
              </w:rPr>
              <w:t>非甲烷总烃</w:t>
            </w:r>
            <w:r>
              <w:rPr>
                <w:rFonts w:hint="eastAsia"/>
                <w:color w:val="auto"/>
              </w:rPr>
              <w:t>：0.1755t/a，</w:t>
            </w:r>
            <w:r>
              <w:rPr>
                <w:rFonts w:hint="eastAsia"/>
                <w:color w:val="auto"/>
                <w:highlight w:val="none"/>
              </w:rPr>
              <w:t>颗粒物：1</w:t>
            </w:r>
            <w:r>
              <w:rPr>
                <w:rFonts w:hint="eastAsia"/>
                <w:color w:val="auto"/>
                <w:highlight w:val="none"/>
                <w:lang w:val="en-US" w:eastAsia="zh-CN"/>
              </w:rPr>
              <w:t>.09</w:t>
            </w:r>
            <w:r>
              <w:rPr>
                <w:color w:val="auto"/>
                <w:highlight w:val="none"/>
              </w:rPr>
              <w:t>t/a</w:t>
            </w:r>
            <w:r>
              <w:rPr>
                <w:rFonts w:hint="eastAsia" w:cs="宋体"/>
                <w:color w:val="auto"/>
                <w:highlight w:val="none"/>
              </w:rPr>
              <w:t>。</w:t>
            </w:r>
          </w:p>
          <w:p w14:paraId="706CDD4A">
            <w:pPr>
              <w:pStyle w:val="116"/>
              <w:ind w:firstLine="420"/>
              <w:rPr>
                <w:rFonts w:cs="宋体"/>
                <w:color w:val="auto"/>
              </w:rPr>
            </w:pPr>
            <w:r>
              <w:rPr>
                <w:rFonts w:hint="eastAsia" w:cs="宋体"/>
                <w:color w:val="auto"/>
              </w:rPr>
              <w:t>将现有工程污染物实际排放量与总量指标进行比较，可知现有工程污染物排放量满足总量控制指标要求。</w:t>
            </w:r>
          </w:p>
          <w:p w14:paraId="0A6C9A10">
            <w:pPr>
              <w:pStyle w:val="122"/>
              <w:rPr>
                <w:color w:val="auto"/>
              </w:rPr>
            </w:pPr>
            <w:r>
              <w:rPr>
                <w:rFonts w:hint="eastAsia"/>
                <w:color w:val="auto"/>
              </w:rPr>
              <w:t>5</w:t>
            </w:r>
            <w:r>
              <w:rPr>
                <w:color w:val="auto"/>
              </w:rPr>
              <w:t>、排污口规范化分析</w:t>
            </w:r>
          </w:p>
          <w:p w14:paraId="0FE39FAD">
            <w:pPr>
              <w:pStyle w:val="116"/>
              <w:ind w:firstLine="420"/>
              <w:rPr>
                <w:color w:val="auto"/>
                <w:lang w:val="zh-CN"/>
              </w:rPr>
            </w:pPr>
            <w:r>
              <w:rPr>
                <w:color w:val="auto"/>
              </w:rPr>
              <w:t>现有工程</w:t>
            </w:r>
            <w:r>
              <w:rPr>
                <w:rFonts w:hint="eastAsia"/>
                <w:color w:val="auto"/>
              </w:rPr>
              <w:t>涉</w:t>
            </w:r>
            <w:r>
              <w:rPr>
                <w:color w:val="auto"/>
              </w:rPr>
              <w:t>废气排放口有抛丸废气排气口</w:t>
            </w:r>
            <w:r>
              <w:rPr>
                <w:rFonts w:hint="eastAsia"/>
                <w:color w:val="auto"/>
              </w:rPr>
              <w:t>（</w:t>
            </w:r>
            <w:r>
              <w:rPr>
                <w:color w:val="auto"/>
              </w:rPr>
              <w:t>DA001</w:t>
            </w:r>
            <w:r>
              <w:rPr>
                <w:rFonts w:hint="eastAsia"/>
                <w:color w:val="auto"/>
              </w:rPr>
              <w:t>）、喷塑</w:t>
            </w:r>
            <w:r>
              <w:rPr>
                <w:color w:val="auto"/>
              </w:rPr>
              <w:t>废气排气口</w:t>
            </w:r>
            <w:r>
              <w:rPr>
                <w:rFonts w:hint="eastAsia"/>
                <w:color w:val="auto"/>
              </w:rPr>
              <w:t>（</w:t>
            </w:r>
            <w:r>
              <w:rPr>
                <w:color w:val="auto"/>
              </w:rPr>
              <w:t>DA00</w:t>
            </w:r>
            <w:r>
              <w:rPr>
                <w:rFonts w:hint="eastAsia"/>
                <w:color w:val="auto"/>
              </w:rPr>
              <w:t>2）、固化</w:t>
            </w:r>
            <w:r>
              <w:rPr>
                <w:color w:val="auto"/>
              </w:rPr>
              <w:t>废气排气口</w:t>
            </w:r>
            <w:r>
              <w:rPr>
                <w:rFonts w:hint="eastAsia"/>
                <w:color w:val="auto"/>
              </w:rPr>
              <w:t>（</w:t>
            </w:r>
            <w:r>
              <w:rPr>
                <w:color w:val="auto"/>
              </w:rPr>
              <w:t>DA00</w:t>
            </w:r>
            <w:r>
              <w:rPr>
                <w:rFonts w:hint="eastAsia"/>
                <w:color w:val="auto"/>
              </w:rPr>
              <w:t>3）</w:t>
            </w:r>
            <w:r>
              <w:rPr>
                <w:rFonts w:hint="eastAsia"/>
                <w:color w:val="auto"/>
                <w:lang w:eastAsia="zh-CN"/>
              </w:rPr>
              <w:t>、</w:t>
            </w:r>
            <w:r>
              <w:rPr>
                <w:color w:val="auto"/>
              </w:rPr>
              <w:t>抛丸废气排气口</w:t>
            </w:r>
            <w:r>
              <w:rPr>
                <w:rFonts w:hint="eastAsia"/>
                <w:color w:val="auto"/>
              </w:rPr>
              <w:t>（</w:t>
            </w:r>
            <w:r>
              <w:rPr>
                <w:color w:val="auto"/>
              </w:rPr>
              <w:t>DA00</w:t>
            </w:r>
            <w:r>
              <w:rPr>
                <w:rFonts w:hint="eastAsia"/>
                <w:color w:val="auto"/>
                <w:lang w:val="en-US" w:eastAsia="zh-CN"/>
              </w:rPr>
              <w:t>4</w:t>
            </w:r>
            <w:r>
              <w:rPr>
                <w:rFonts w:hint="eastAsia"/>
                <w:color w:val="auto"/>
              </w:rPr>
              <w:t>）</w:t>
            </w:r>
            <w:r>
              <w:rPr>
                <w:color w:val="auto"/>
              </w:rPr>
              <w:t>，废气排放口已按照规定要求设置环保标识。</w:t>
            </w:r>
            <w:r>
              <w:rPr>
                <w:color w:val="auto"/>
                <w:lang w:val="zh-CN"/>
              </w:rPr>
              <w:t>现有工程厂区</w:t>
            </w:r>
            <w:r>
              <w:rPr>
                <w:rFonts w:hint="eastAsia"/>
                <w:color w:val="auto"/>
                <w:lang w:val="zh-CN"/>
              </w:rPr>
              <w:t>建</w:t>
            </w:r>
            <w:r>
              <w:rPr>
                <w:color w:val="auto"/>
                <w:lang w:val="zh-CN"/>
              </w:rPr>
              <w:t>有危险废物暂存间一座，</w:t>
            </w:r>
            <w:r>
              <w:rPr>
                <w:color w:val="auto"/>
              </w:rPr>
              <w:t>危险废物暂存间</w:t>
            </w:r>
            <w:r>
              <w:rPr>
                <w:color w:val="auto"/>
                <w:lang w:val="zh-CN"/>
              </w:rPr>
              <w:t>根据《危险废物贮存污染控制标准》（</w:t>
            </w:r>
            <w:r>
              <w:rPr>
                <w:rFonts w:hint="eastAsia"/>
                <w:color w:val="auto"/>
                <w:lang w:val="zh-CN"/>
              </w:rPr>
              <w:t>GB 18597-2023</w:t>
            </w:r>
            <w:r>
              <w:rPr>
                <w:color w:val="auto"/>
                <w:lang w:val="zh-CN"/>
              </w:rPr>
              <w:t>）、《危险废物收集 贮存 运输技术规范》（HJ 2025-2012）规定，</w:t>
            </w:r>
            <w:r>
              <w:rPr>
                <w:color w:val="auto"/>
              </w:rPr>
              <w:t>进行</w:t>
            </w:r>
            <w:r>
              <w:rPr>
                <w:color w:val="auto"/>
                <w:lang w:val="zh-CN"/>
              </w:rPr>
              <w:t>防腐防渗</w:t>
            </w:r>
            <w:r>
              <w:rPr>
                <w:color w:val="auto"/>
              </w:rPr>
              <w:t>及防流失</w:t>
            </w:r>
            <w:r>
              <w:rPr>
                <w:color w:val="auto"/>
                <w:lang w:val="zh-CN"/>
              </w:rPr>
              <w:t>处理，并</w:t>
            </w:r>
            <w:r>
              <w:rPr>
                <w:color w:val="auto"/>
              </w:rPr>
              <w:t>在危险废物间大门处</w:t>
            </w:r>
            <w:r>
              <w:rPr>
                <w:color w:val="auto"/>
                <w:lang w:val="zh-CN"/>
              </w:rPr>
              <w:t>设置相关标志。</w:t>
            </w:r>
          </w:p>
          <w:p w14:paraId="0E04A5EE">
            <w:pPr>
              <w:pStyle w:val="122"/>
              <w:rPr>
                <w:color w:val="auto"/>
                <w:kern w:val="0"/>
              </w:rPr>
            </w:pPr>
            <w:r>
              <w:rPr>
                <w:rFonts w:hint="eastAsia"/>
                <w:color w:val="auto"/>
              </w:rPr>
              <w:t>6</w:t>
            </w:r>
            <w:r>
              <w:rPr>
                <w:color w:val="auto"/>
              </w:rPr>
              <w:t>、</w:t>
            </w:r>
            <w:r>
              <w:rPr>
                <w:rFonts w:hint="eastAsia"/>
                <w:color w:val="auto"/>
              </w:rPr>
              <w:t>风险防范措施的落实情况</w:t>
            </w:r>
          </w:p>
          <w:p w14:paraId="64E4AF96">
            <w:pPr>
              <w:pStyle w:val="116"/>
              <w:ind w:firstLine="420"/>
              <w:rPr>
                <w:color w:val="auto"/>
              </w:rPr>
            </w:pPr>
            <w:r>
              <w:rPr>
                <w:rFonts w:hint="eastAsia"/>
                <w:color w:val="auto"/>
                <w:highlight w:val="none"/>
              </w:rPr>
              <w:t>企业于202</w:t>
            </w:r>
            <w:r>
              <w:rPr>
                <w:rFonts w:hint="eastAsia"/>
                <w:color w:val="auto"/>
                <w:highlight w:val="none"/>
                <w:lang w:val="en-US" w:eastAsia="zh-CN"/>
              </w:rPr>
              <w:t>5</w:t>
            </w:r>
            <w:r>
              <w:rPr>
                <w:rFonts w:hint="eastAsia"/>
                <w:color w:val="auto"/>
                <w:highlight w:val="none"/>
              </w:rPr>
              <w:t>年</w:t>
            </w:r>
            <w:r>
              <w:rPr>
                <w:rFonts w:hint="eastAsia"/>
                <w:color w:val="auto"/>
                <w:highlight w:val="none"/>
                <w:lang w:val="en-US" w:eastAsia="zh-CN"/>
              </w:rPr>
              <w:t>12</w:t>
            </w:r>
            <w:r>
              <w:rPr>
                <w:rFonts w:hint="eastAsia"/>
                <w:color w:val="auto"/>
                <w:highlight w:val="none"/>
              </w:rPr>
              <w:t>月</w:t>
            </w:r>
            <w:r>
              <w:rPr>
                <w:rFonts w:hint="eastAsia"/>
                <w:color w:val="auto"/>
                <w:highlight w:val="none"/>
                <w:lang w:val="en-US" w:eastAsia="zh-CN"/>
              </w:rPr>
              <w:t>22</w:t>
            </w:r>
            <w:r>
              <w:rPr>
                <w:rFonts w:hint="eastAsia"/>
                <w:color w:val="auto"/>
                <w:highlight w:val="none"/>
              </w:rPr>
              <w:t>日取</w:t>
            </w:r>
            <w:r>
              <w:rPr>
                <w:rFonts w:hint="eastAsia"/>
                <w:color w:val="auto"/>
              </w:rPr>
              <w:t>得唐山市生态环境局高新技术产业开发区分局的突发环境事件应急预案备案意见。根据应急预案要求，企业已落实风险预防措施，公司建立隐患排查治理责任制，制定年度环境隐患排查计划，公司每季度至少组织一次隐患排查，部门每月进行一次隐患排查。</w:t>
            </w:r>
          </w:p>
          <w:p w14:paraId="7EDD2F48">
            <w:pPr>
              <w:pStyle w:val="122"/>
              <w:rPr>
                <w:color w:val="auto"/>
                <w:kern w:val="0"/>
              </w:rPr>
            </w:pPr>
            <w:r>
              <w:rPr>
                <w:rFonts w:hint="eastAsia"/>
                <w:color w:val="auto"/>
              </w:rPr>
              <w:t>7</w:t>
            </w:r>
            <w:r>
              <w:rPr>
                <w:color w:val="auto"/>
              </w:rPr>
              <w:t>、</w:t>
            </w:r>
            <w:r>
              <w:rPr>
                <w:color w:val="auto"/>
                <w:kern w:val="0"/>
              </w:rPr>
              <w:t>主要环境问题</w:t>
            </w:r>
            <w:r>
              <w:rPr>
                <w:rFonts w:hint="eastAsia"/>
                <w:color w:val="auto"/>
                <w:kern w:val="0"/>
              </w:rPr>
              <w:t>情况</w:t>
            </w:r>
          </w:p>
          <w:p w14:paraId="0185E90A">
            <w:pPr>
              <w:pStyle w:val="116"/>
              <w:ind w:firstLine="420"/>
              <w:rPr>
                <w:rFonts w:hint="eastAsia"/>
                <w:color w:val="auto"/>
              </w:rPr>
            </w:pPr>
            <w:r>
              <w:rPr>
                <w:rFonts w:hint="eastAsia"/>
                <w:color w:val="auto"/>
              </w:rPr>
              <w:t>综上所述，现有工程环保手续齐全，已取得排污许可证；现有工程具备满足环保设施、防渗措施和风险防范措施运行的各项条件，总量控制指标可以落实，对周边环境的影响在可承受范围之内，满足环境质量功能区划要求。</w:t>
            </w:r>
          </w:p>
          <w:p w14:paraId="302E7823">
            <w:pPr>
              <w:pStyle w:val="116"/>
              <w:ind w:firstLine="420"/>
              <w:rPr>
                <w:color w:val="auto"/>
              </w:rPr>
            </w:pPr>
            <w:r>
              <w:rPr>
                <w:rFonts w:hint="eastAsia"/>
                <w:color w:val="auto"/>
              </w:rPr>
              <w:t>经现场踏勘，企业无污染遗迹，防渗措施未发生破坏，且未发生过环境信访事件及遗留环境问题，现有工程不存在环境问题。</w:t>
            </w:r>
          </w:p>
          <w:p w14:paraId="275F6107">
            <w:pPr>
              <w:pStyle w:val="116"/>
              <w:ind w:firstLine="420"/>
              <w:rPr>
                <w:color w:val="auto"/>
              </w:rPr>
            </w:pPr>
          </w:p>
          <w:p w14:paraId="63F1D93E">
            <w:pPr>
              <w:pStyle w:val="116"/>
              <w:ind w:firstLine="420"/>
              <w:rPr>
                <w:color w:val="auto"/>
              </w:rPr>
            </w:pPr>
          </w:p>
          <w:p w14:paraId="593DF784">
            <w:pPr>
              <w:pStyle w:val="116"/>
              <w:ind w:firstLine="420"/>
              <w:rPr>
                <w:color w:val="auto"/>
              </w:rPr>
            </w:pPr>
          </w:p>
          <w:p w14:paraId="047FD89D">
            <w:pPr>
              <w:pStyle w:val="116"/>
              <w:ind w:firstLine="420"/>
              <w:rPr>
                <w:color w:val="auto"/>
              </w:rPr>
            </w:pPr>
          </w:p>
          <w:p w14:paraId="38A0C911">
            <w:pPr>
              <w:pStyle w:val="116"/>
              <w:ind w:firstLine="420"/>
              <w:rPr>
                <w:color w:val="auto"/>
              </w:rPr>
            </w:pPr>
          </w:p>
          <w:p w14:paraId="73E6B7A5">
            <w:pPr>
              <w:pStyle w:val="116"/>
              <w:ind w:firstLine="420"/>
              <w:rPr>
                <w:color w:val="auto"/>
              </w:rPr>
            </w:pPr>
          </w:p>
          <w:p w14:paraId="085DC1F5">
            <w:pPr>
              <w:pStyle w:val="116"/>
              <w:ind w:firstLine="420"/>
              <w:rPr>
                <w:color w:val="auto"/>
              </w:rPr>
            </w:pPr>
          </w:p>
          <w:p w14:paraId="01CD43D9">
            <w:pPr>
              <w:pStyle w:val="116"/>
              <w:ind w:firstLine="420"/>
              <w:rPr>
                <w:color w:val="auto"/>
              </w:rPr>
            </w:pPr>
          </w:p>
          <w:p w14:paraId="2E1B85A6">
            <w:pPr>
              <w:pStyle w:val="116"/>
              <w:ind w:firstLine="420"/>
              <w:rPr>
                <w:color w:val="auto"/>
              </w:rPr>
            </w:pPr>
          </w:p>
          <w:p w14:paraId="05EC9A47">
            <w:pPr>
              <w:pStyle w:val="116"/>
              <w:ind w:firstLine="420"/>
              <w:rPr>
                <w:color w:val="auto"/>
              </w:rPr>
            </w:pPr>
          </w:p>
          <w:p w14:paraId="519AF1AC">
            <w:pPr>
              <w:pStyle w:val="116"/>
              <w:ind w:firstLine="420"/>
              <w:rPr>
                <w:color w:val="auto"/>
              </w:rPr>
            </w:pPr>
          </w:p>
          <w:p w14:paraId="7B5FB281">
            <w:pPr>
              <w:pStyle w:val="116"/>
              <w:ind w:firstLine="420"/>
              <w:rPr>
                <w:color w:val="auto"/>
              </w:rPr>
            </w:pPr>
          </w:p>
          <w:p w14:paraId="14FCAFA7">
            <w:pPr>
              <w:pStyle w:val="116"/>
              <w:ind w:firstLine="420"/>
              <w:rPr>
                <w:color w:val="auto"/>
              </w:rPr>
            </w:pPr>
          </w:p>
          <w:p w14:paraId="7C07B788">
            <w:pPr>
              <w:pStyle w:val="116"/>
              <w:ind w:firstLine="420"/>
              <w:rPr>
                <w:color w:val="auto"/>
              </w:rPr>
            </w:pPr>
          </w:p>
          <w:p w14:paraId="13BDF291">
            <w:pPr>
              <w:pStyle w:val="116"/>
              <w:ind w:firstLine="420"/>
              <w:rPr>
                <w:color w:val="auto"/>
              </w:rPr>
            </w:pPr>
          </w:p>
          <w:p w14:paraId="3FECD301">
            <w:pPr>
              <w:pStyle w:val="116"/>
              <w:ind w:firstLine="420"/>
              <w:rPr>
                <w:color w:val="auto"/>
              </w:rPr>
            </w:pPr>
          </w:p>
          <w:p w14:paraId="70856851">
            <w:pPr>
              <w:pStyle w:val="116"/>
              <w:ind w:firstLine="420"/>
              <w:rPr>
                <w:color w:val="auto"/>
              </w:rPr>
            </w:pPr>
          </w:p>
          <w:p w14:paraId="0C12FA76">
            <w:pPr>
              <w:pStyle w:val="116"/>
              <w:ind w:firstLine="420"/>
              <w:rPr>
                <w:color w:val="auto"/>
              </w:rPr>
            </w:pPr>
          </w:p>
          <w:p w14:paraId="63E20DC3">
            <w:pPr>
              <w:pStyle w:val="116"/>
              <w:ind w:firstLine="420"/>
              <w:rPr>
                <w:color w:val="auto"/>
              </w:rPr>
            </w:pPr>
          </w:p>
          <w:p w14:paraId="0BB96F01">
            <w:pPr>
              <w:pStyle w:val="116"/>
              <w:ind w:firstLine="420"/>
              <w:rPr>
                <w:color w:val="auto"/>
              </w:rPr>
            </w:pPr>
          </w:p>
          <w:p w14:paraId="6E4683C0">
            <w:pPr>
              <w:pStyle w:val="116"/>
              <w:ind w:firstLine="420"/>
              <w:rPr>
                <w:color w:val="auto"/>
              </w:rPr>
            </w:pPr>
          </w:p>
          <w:p w14:paraId="59938E30">
            <w:pPr>
              <w:pStyle w:val="116"/>
              <w:ind w:firstLine="420"/>
              <w:rPr>
                <w:color w:val="auto"/>
              </w:rPr>
            </w:pPr>
          </w:p>
          <w:p w14:paraId="57403FB0">
            <w:pPr>
              <w:pStyle w:val="116"/>
              <w:ind w:firstLine="420"/>
              <w:rPr>
                <w:color w:val="auto"/>
              </w:rPr>
            </w:pPr>
          </w:p>
          <w:p w14:paraId="5940E087">
            <w:pPr>
              <w:pStyle w:val="116"/>
              <w:ind w:firstLine="420"/>
              <w:rPr>
                <w:color w:val="auto"/>
              </w:rPr>
            </w:pPr>
          </w:p>
          <w:p w14:paraId="37180A82">
            <w:pPr>
              <w:pStyle w:val="116"/>
              <w:ind w:firstLine="420"/>
              <w:rPr>
                <w:color w:val="auto"/>
              </w:rPr>
            </w:pPr>
          </w:p>
          <w:p w14:paraId="796DEAA5">
            <w:pPr>
              <w:pStyle w:val="116"/>
              <w:ind w:firstLine="420"/>
              <w:rPr>
                <w:color w:val="auto"/>
              </w:rPr>
            </w:pPr>
          </w:p>
          <w:p w14:paraId="68C697AC">
            <w:pPr>
              <w:pStyle w:val="116"/>
              <w:ind w:firstLine="420"/>
              <w:rPr>
                <w:color w:val="auto"/>
              </w:rPr>
            </w:pPr>
          </w:p>
          <w:p w14:paraId="1E2CF854">
            <w:pPr>
              <w:pStyle w:val="116"/>
              <w:ind w:firstLine="420"/>
              <w:rPr>
                <w:color w:val="auto"/>
              </w:rPr>
            </w:pPr>
          </w:p>
          <w:p w14:paraId="43EF80A4">
            <w:pPr>
              <w:pStyle w:val="116"/>
              <w:ind w:firstLine="420"/>
              <w:rPr>
                <w:color w:val="auto"/>
              </w:rPr>
            </w:pPr>
          </w:p>
          <w:p w14:paraId="18F9C6D1">
            <w:pPr>
              <w:pStyle w:val="116"/>
              <w:ind w:firstLine="420"/>
              <w:rPr>
                <w:color w:val="auto"/>
              </w:rPr>
            </w:pPr>
          </w:p>
          <w:p w14:paraId="0FAD9632">
            <w:pPr>
              <w:pStyle w:val="116"/>
              <w:ind w:firstLine="420"/>
              <w:rPr>
                <w:color w:val="auto"/>
              </w:rPr>
            </w:pPr>
          </w:p>
          <w:p w14:paraId="0F850E04">
            <w:pPr>
              <w:pStyle w:val="116"/>
              <w:ind w:firstLine="420"/>
              <w:rPr>
                <w:color w:val="auto"/>
              </w:rPr>
            </w:pPr>
          </w:p>
          <w:p w14:paraId="466FCF76">
            <w:pPr>
              <w:pStyle w:val="116"/>
              <w:ind w:firstLine="420"/>
              <w:rPr>
                <w:color w:val="auto"/>
              </w:rPr>
            </w:pPr>
          </w:p>
          <w:p w14:paraId="2256EE86">
            <w:pPr>
              <w:pStyle w:val="116"/>
              <w:ind w:firstLine="420"/>
              <w:rPr>
                <w:color w:val="auto"/>
              </w:rPr>
            </w:pPr>
          </w:p>
          <w:p w14:paraId="09BE0734">
            <w:pPr>
              <w:pStyle w:val="116"/>
              <w:ind w:firstLine="420"/>
              <w:rPr>
                <w:color w:val="auto"/>
              </w:rPr>
            </w:pPr>
          </w:p>
        </w:tc>
      </w:tr>
    </w:tbl>
    <w:p w14:paraId="1083A7D0">
      <w:pPr>
        <w:pStyle w:val="30"/>
        <w:jc w:val="center"/>
        <w:rPr>
          <w:rFonts w:ascii="Times New Roman" w:hAnsi="Times New Roman" w:eastAsia="黑体"/>
          <w:snapToGrid w:val="0"/>
          <w:color w:val="auto"/>
          <w:sz w:val="36"/>
          <w:szCs w:val="36"/>
        </w:rPr>
        <w:sectPr>
          <w:pgSz w:w="11906" w:h="16838"/>
          <w:pgMar w:top="1440" w:right="1474" w:bottom="1440" w:left="1474" w:header="851" w:footer="851" w:gutter="0"/>
          <w:cols w:space="720" w:num="1"/>
          <w:docGrid w:linePitch="312" w:charSpace="0"/>
        </w:sectPr>
      </w:pPr>
    </w:p>
    <w:p w14:paraId="1E365CC0">
      <w:pPr>
        <w:pStyle w:val="30"/>
        <w:spacing w:before="0" w:beforeAutospacing="0" w:after="0" w:afterAutospacing="0"/>
        <w:jc w:val="center"/>
        <w:outlineLvl w:val="0"/>
        <w:rPr>
          <w:rFonts w:ascii="Times New Roman" w:hAnsi="Times New Roman" w:eastAsia="黑体"/>
          <w:snapToGrid w:val="0"/>
          <w:color w:val="auto"/>
          <w:sz w:val="30"/>
          <w:szCs w:val="30"/>
        </w:rPr>
      </w:pPr>
      <w:bookmarkStart w:id="16" w:name="_Toc7880"/>
      <w:r>
        <w:rPr>
          <w:rFonts w:ascii="Times New Roman" w:hAnsi="Times New Roman" w:eastAsia="黑体"/>
          <w:snapToGrid w:val="0"/>
          <w:color w:val="auto"/>
          <w:sz w:val="30"/>
          <w:szCs w:val="30"/>
        </w:rPr>
        <w:t>三、区域环境质量现状、环境保护目标及评价标准</w:t>
      </w:r>
      <w:bookmarkEnd w:id="16"/>
    </w:p>
    <w:tbl>
      <w:tblPr>
        <w:tblStyle w:val="3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81"/>
        <w:gridCol w:w="8280"/>
      </w:tblGrid>
      <w:tr w14:paraId="2289D6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16" w:hRule="atLeast"/>
          <w:jc w:val="center"/>
        </w:trPr>
        <w:tc>
          <w:tcPr>
            <w:tcW w:w="781" w:type="dxa"/>
            <w:noWrap/>
            <w:vAlign w:val="center"/>
          </w:tcPr>
          <w:p w14:paraId="65A5DB35">
            <w:pPr>
              <w:adjustRightInd w:val="0"/>
              <w:snapToGrid w:val="0"/>
              <w:jc w:val="center"/>
              <w:rPr>
                <w:color w:val="auto"/>
                <w:kern w:val="0"/>
                <w:szCs w:val="21"/>
              </w:rPr>
            </w:pPr>
            <w:r>
              <w:rPr>
                <w:color w:val="auto"/>
                <w:kern w:val="0"/>
                <w:szCs w:val="21"/>
              </w:rPr>
              <w:t>区域</w:t>
            </w:r>
          </w:p>
          <w:p w14:paraId="40A42002">
            <w:pPr>
              <w:adjustRightInd w:val="0"/>
              <w:snapToGrid w:val="0"/>
              <w:jc w:val="center"/>
              <w:rPr>
                <w:color w:val="auto"/>
                <w:kern w:val="0"/>
                <w:szCs w:val="21"/>
              </w:rPr>
            </w:pPr>
            <w:r>
              <w:rPr>
                <w:color w:val="auto"/>
                <w:kern w:val="0"/>
                <w:szCs w:val="21"/>
              </w:rPr>
              <w:t>环境</w:t>
            </w:r>
          </w:p>
          <w:p w14:paraId="5BD66F07">
            <w:pPr>
              <w:adjustRightInd w:val="0"/>
              <w:snapToGrid w:val="0"/>
              <w:jc w:val="center"/>
              <w:rPr>
                <w:color w:val="auto"/>
                <w:kern w:val="0"/>
                <w:szCs w:val="21"/>
              </w:rPr>
            </w:pPr>
            <w:r>
              <w:rPr>
                <w:color w:val="auto"/>
                <w:kern w:val="0"/>
                <w:szCs w:val="21"/>
              </w:rPr>
              <w:t>质量</w:t>
            </w:r>
          </w:p>
          <w:p w14:paraId="08876FA3">
            <w:pPr>
              <w:adjustRightInd w:val="0"/>
              <w:snapToGrid w:val="0"/>
              <w:jc w:val="center"/>
              <w:rPr>
                <w:color w:val="auto"/>
                <w:kern w:val="0"/>
                <w:szCs w:val="21"/>
              </w:rPr>
            </w:pPr>
            <w:r>
              <w:rPr>
                <w:color w:val="auto"/>
                <w:kern w:val="0"/>
                <w:szCs w:val="21"/>
              </w:rPr>
              <w:t>现状</w:t>
            </w:r>
          </w:p>
        </w:tc>
        <w:tc>
          <w:tcPr>
            <w:tcW w:w="8280" w:type="dxa"/>
            <w:noWrap/>
            <w:vAlign w:val="center"/>
          </w:tcPr>
          <w:p w14:paraId="039EE255">
            <w:pPr>
              <w:pStyle w:val="122"/>
              <w:rPr>
                <w:color w:val="auto"/>
              </w:rPr>
            </w:pPr>
            <w:r>
              <w:rPr>
                <w:color w:val="auto"/>
              </w:rPr>
              <w:t>1、环境空气质量现状</w:t>
            </w:r>
          </w:p>
          <w:p w14:paraId="245F98CF">
            <w:pPr>
              <w:pStyle w:val="119"/>
              <w:rPr>
                <w:color w:val="auto"/>
              </w:rPr>
            </w:pPr>
            <w:r>
              <w:rPr>
                <w:rFonts w:hint="eastAsia"/>
                <w:color w:val="auto"/>
              </w:rPr>
              <w:t>1.1</w:t>
            </w:r>
            <w:r>
              <w:rPr>
                <w:color w:val="auto"/>
              </w:rPr>
              <w:t>基本污染物环境质量现状</w:t>
            </w:r>
          </w:p>
          <w:p w14:paraId="044C447C">
            <w:pPr>
              <w:pStyle w:val="116"/>
              <w:ind w:firstLine="420"/>
              <w:jc w:val="both"/>
              <w:rPr>
                <w:color w:val="auto"/>
              </w:rPr>
            </w:pPr>
            <w:r>
              <w:rPr>
                <w:rFonts w:hint="eastAsia"/>
                <w:color w:val="auto"/>
              </w:rPr>
              <w:t>本项目位于河北省唐山市高新技术产业开发区，根据《环境空气质量标准》（</w:t>
            </w:r>
            <w:r>
              <w:rPr>
                <w:rFonts w:hint="eastAsia"/>
                <w:color w:val="auto"/>
                <w:lang w:eastAsia="zh-CN"/>
              </w:rPr>
              <w:t>GB3095-2026</w:t>
            </w:r>
            <w:r>
              <w:rPr>
                <w:rFonts w:hint="eastAsia"/>
                <w:color w:val="auto"/>
              </w:rPr>
              <w:t>）中相关规定，本项目所在区域为二类环境空气功能区，因此，本项目环境空气质量执行《环境空气质量标准》（</w:t>
            </w:r>
            <w:r>
              <w:rPr>
                <w:rFonts w:hint="eastAsia"/>
                <w:color w:val="auto"/>
                <w:lang w:eastAsia="zh-CN"/>
              </w:rPr>
              <w:t>GB3095-2026</w:t>
            </w:r>
            <w:r>
              <w:rPr>
                <w:rFonts w:hint="eastAsia"/>
                <w:color w:val="auto"/>
              </w:rPr>
              <w:t>）中</w:t>
            </w:r>
            <w:r>
              <w:rPr>
                <w:rFonts w:hint="eastAsia"/>
                <w:color w:val="auto"/>
                <w:lang w:val="en-US" w:eastAsia="zh-CN"/>
              </w:rPr>
              <w:t>过渡阶段的</w:t>
            </w:r>
            <w:r>
              <w:rPr>
                <w:rFonts w:hint="eastAsia"/>
                <w:color w:val="auto"/>
              </w:rPr>
              <w:t>二级标准。</w:t>
            </w:r>
          </w:p>
          <w:p w14:paraId="3129F987">
            <w:pPr>
              <w:pStyle w:val="116"/>
              <w:ind w:firstLine="420"/>
              <w:jc w:val="both"/>
              <w:rPr>
                <w:color w:val="auto"/>
              </w:rPr>
            </w:pPr>
            <w:r>
              <w:rPr>
                <w:rFonts w:hint="eastAsia"/>
                <w:color w:val="auto"/>
              </w:rPr>
              <w:t>根据《2024年唐山市生态环境状况公报》中相关数据，2024年全市优良天数277天，优良天数比例为75.7%，重度污染及以上天数2天，占比0.5%。</w:t>
            </w:r>
          </w:p>
          <w:p w14:paraId="7E925800">
            <w:pPr>
              <w:pStyle w:val="10"/>
              <w:rPr>
                <w:color w:val="auto"/>
              </w:rPr>
            </w:pPr>
            <w:bookmarkStart w:id="17" w:name="_Ref133412871"/>
            <w:r>
              <w:rPr>
                <w:rFonts w:hint="eastAsia"/>
                <w:color w:val="auto"/>
              </w:rPr>
              <w:t>表3</w:t>
            </w:r>
            <w:r>
              <w:rPr>
                <w:rFonts w:hint="eastAsia"/>
                <w:color w:val="auto"/>
                <w:lang w:eastAsia="zh-CN"/>
              </w:rPr>
              <w:t>-</w:t>
            </w:r>
            <w:r>
              <w:rPr>
                <w:color w:val="auto"/>
              </w:rPr>
              <w:fldChar w:fldCharType="begin"/>
            </w:r>
            <w:r>
              <w:rPr>
                <w:color w:val="auto"/>
              </w:rPr>
              <w:instrText xml:space="preserve"> </w:instrText>
            </w:r>
            <w:r>
              <w:rPr>
                <w:rFonts w:hint="eastAsia"/>
                <w:color w:val="auto"/>
              </w:rPr>
              <w:instrText xml:space="preserve">SEQ 表3- \* ARABIC</w:instrText>
            </w:r>
            <w:r>
              <w:rPr>
                <w:color w:val="auto"/>
              </w:rPr>
              <w:instrText xml:space="preserve"> </w:instrText>
            </w:r>
            <w:r>
              <w:rPr>
                <w:color w:val="auto"/>
              </w:rPr>
              <w:fldChar w:fldCharType="separate"/>
            </w:r>
            <w:r>
              <w:rPr>
                <w:color w:val="auto"/>
              </w:rPr>
              <w:t>1</w:t>
            </w:r>
            <w:r>
              <w:rPr>
                <w:color w:val="auto"/>
              </w:rPr>
              <w:fldChar w:fldCharType="end"/>
            </w:r>
            <w:bookmarkEnd w:id="17"/>
            <w:r>
              <w:rPr>
                <w:rFonts w:hint="eastAsia"/>
                <w:bCs/>
                <w:color w:val="auto"/>
                <w:spacing w:val="4"/>
                <w:szCs w:val="21"/>
              </w:rPr>
              <w:t>唐山市</w:t>
            </w:r>
            <w:r>
              <w:rPr>
                <w:bCs/>
                <w:color w:val="auto"/>
                <w:spacing w:val="4"/>
                <w:szCs w:val="21"/>
              </w:rPr>
              <w:t>区域空气质量现状评价表</w:t>
            </w:r>
          </w:p>
          <w:tbl>
            <w:tblPr>
              <w:tblStyle w:val="3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2447"/>
              <w:gridCol w:w="1308"/>
              <w:gridCol w:w="1147"/>
              <w:gridCol w:w="1005"/>
              <w:gridCol w:w="1023"/>
            </w:tblGrid>
            <w:tr w14:paraId="421A4B1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03" w:type="pct"/>
                  <w:vAlign w:val="center"/>
                </w:tcPr>
                <w:p w14:paraId="6195E414">
                  <w:pPr>
                    <w:kinsoku w:val="0"/>
                    <w:overflowPunct w:val="0"/>
                    <w:autoSpaceDE w:val="0"/>
                    <w:autoSpaceDN w:val="0"/>
                    <w:adjustRightInd w:val="0"/>
                    <w:snapToGrid w:val="0"/>
                    <w:jc w:val="center"/>
                    <w:rPr>
                      <w:color w:val="auto"/>
                      <w:szCs w:val="21"/>
                    </w:rPr>
                  </w:pPr>
                  <w:r>
                    <w:rPr>
                      <w:color w:val="auto"/>
                      <w:szCs w:val="21"/>
                    </w:rPr>
                    <w:t>污染物</w:t>
                  </w:r>
                </w:p>
              </w:tc>
              <w:tc>
                <w:tcPr>
                  <w:tcW w:w="1517" w:type="pct"/>
                  <w:vAlign w:val="center"/>
                </w:tcPr>
                <w:p w14:paraId="6C2F22FA">
                  <w:pPr>
                    <w:kinsoku w:val="0"/>
                    <w:overflowPunct w:val="0"/>
                    <w:autoSpaceDE w:val="0"/>
                    <w:autoSpaceDN w:val="0"/>
                    <w:adjustRightInd w:val="0"/>
                    <w:snapToGrid w:val="0"/>
                    <w:jc w:val="center"/>
                    <w:rPr>
                      <w:color w:val="auto"/>
                      <w:szCs w:val="21"/>
                    </w:rPr>
                  </w:pPr>
                  <w:r>
                    <w:rPr>
                      <w:color w:val="auto"/>
                      <w:szCs w:val="21"/>
                    </w:rPr>
                    <w:t>年评价指标</w:t>
                  </w:r>
                </w:p>
              </w:tc>
              <w:tc>
                <w:tcPr>
                  <w:tcW w:w="811" w:type="pct"/>
                  <w:vAlign w:val="center"/>
                </w:tcPr>
                <w:p w14:paraId="36B5D694">
                  <w:pPr>
                    <w:kinsoku w:val="0"/>
                    <w:overflowPunct w:val="0"/>
                    <w:autoSpaceDE w:val="0"/>
                    <w:autoSpaceDN w:val="0"/>
                    <w:adjustRightInd w:val="0"/>
                    <w:snapToGrid w:val="0"/>
                    <w:jc w:val="center"/>
                    <w:rPr>
                      <w:color w:val="auto"/>
                      <w:szCs w:val="21"/>
                    </w:rPr>
                  </w:pPr>
                  <w:r>
                    <w:rPr>
                      <w:color w:val="auto"/>
                      <w:szCs w:val="21"/>
                    </w:rPr>
                    <w:t>现状浓度/</w:t>
                  </w:r>
                </w:p>
                <w:p w14:paraId="0E983F49">
                  <w:pPr>
                    <w:kinsoku w:val="0"/>
                    <w:overflowPunct w:val="0"/>
                    <w:autoSpaceDE w:val="0"/>
                    <w:autoSpaceDN w:val="0"/>
                    <w:adjustRightInd w:val="0"/>
                    <w:snapToGrid w:val="0"/>
                    <w:jc w:val="center"/>
                    <w:rPr>
                      <w:color w:val="auto"/>
                      <w:szCs w:val="21"/>
                    </w:rPr>
                  </w:pPr>
                  <w:r>
                    <w:rPr>
                      <w:color w:val="auto"/>
                      <w:szCs w:val="21"/>
                    </w:rPr>
                    <w:t>（μg/m</w:t>
                  </w:r>
                  <w:r>
                    <w:rPr>
                      <w:color w:val="auto"/>
                      <w:szCs w:val="21"/>
                      <w:vertAlign w:val="superscript"/>
                    </w:rPr>
                    <w:t>3</w:t>
                  </w:r>
                  <w:r>
                    <w:rPr>
                      <w:color w:val="auto"/>
                      <w:szCs w:val="21"/>
                    </w:rPr>
                    <w:t>）</w:t>
                  </w:r>
                </w:p>
              </w:tc>
              <w:tc>
                <w:tcPr>
                  <w:tcW w:w="711" w:type="pct"/>
                  <w:vAlign w:val="center"/>
                </w:tcPr>
                <w:p w14:paraId="69CA7F28">
                  <w:pPr>
                    <w:kinsoku w:val="0"/>
                    <w:overflowPunct w:val="0"/>
                    <w:autoSpaceDE w:val="0"/>
                    <w:autoSpaceDN w:val="0"/>
                    <w:adjustRightInd w:val="0"/>
                    <w:snapToGrid w:val="0"/>
                    <w:jc w:val="center"/>
                    <w:rPr>
                      <w:color w:val="auto"/>
                      <w:szCs w:val="21"/>
                    </w:rPr>
                  </w:pPr>
                  <w:r>
                    <w:rPr>
                      <w:color w:val="auto"/>
                      <w:szCs w:val="21"/>
                    </w:rPr>
                    <w:t>标准值/</w:t>
                  </w:r>
                </w:p>
                <w:p w14:paraId="220C2067">
                  <w:pPr>
                    <w:kinsoku w:val="0"/>
                    <w:overflowPunct w:val="0"/>
                    <w:autoSpaceDE w:val="0"/>
                    <w:autoSpaceDN w:val="0"/>
                    <w:adjustRightInd w:val="0"/>
                    <w:snapToGrid w:val="0"/>
                    <w:jc w:val="center"/>
                    <w:rPr>
                      <w:color w:val="auto"/>
                      <w:szCs w:val="21"/>
                    </w:rPr>
                  </w:pPr>
                  <w:r>
                    <w:rPr>
                      <w:color w:val="auto"/>
                      <w:szCs w:val="21"/>
                    </w:rPr>
                    <w:t>（μg/m</w:t>
                  </w:r>
                  <w:r>
                    <w:rPr>
                      <w:color w:val="auto"/>
                      <w:szCs w:val="21"/>
                      <w:vertAlign w:val="superscript"/>
                    </w:rPr>
                    <w:t>3</w:t>
                  </w:r>
                  <w:r>
                    <w:rPr>
                      <w:color w:val="auto"/>
                      <w:szCs w:val="21"/>
                    </w:rPr>
                    <w:t>）</w:t>
                  </w:r>
                </w:p>
              </w:tc>
              <w:tc>
                <w:tcPr>
                  <w:tcW w:w="623" w:type="pct"/>
                  <w:vAlign w:val="center"/>
                </w:tcPr>
                <w:p w14:paraId="5E09EE75">
                  <w:pPr>
                    <w:kinsoku w:val="0"/>
                    <w:overflowPunct w:val="0"/>
                    <w:autoSpaceDE w:val="0"/>
                    <w:autoSpaceDN w:val="0"/>
                    <w:adjustRightInd w:val="0"/>
                    <w:snapToGrid w:val="0"/>
                    <w:jc w:val="center"/>
                    <w:rPr>
                      <w:color w:val="auto"/>
                      <w:szCs w:val="21"/>
                    </w:rPr>
                  </w:pPr>
                  <w:r>
                    <w:rPr>
                      <w:color w:val="auto"/>
                      <w:szCs w:val="21"/>
                    </w:rPr>
                    <w:t>占标率/</w:t>
                  </w:r>
                </w:p>
                <w:p w14:paraId="31E4DBAD">
                  <w:pPr>
                    <w:kinsoku w:val="0"/>
                    <w:overflowPunct w:val="0"/>
                    <w:autoSpaceDE w:val="0"/>
                    <w:autoSpaceDN w:val="0"/>
                    <w:adjustRightInd w:val="0"/>
                    <w:snapToGrid w:val="0"/>
                    <w:jc w:val="center"/>
                    <w:rPr>
                      <w:color w:val="auto"/>
                      <w:szCs w:val="21"/>
                    </w:rPr>
                  </w:pPr>
                  <w:r>
                    <w:rPr>
                      <w:color w:val="auto"/>
                      <w:szCs w:val="21"/>
                    </w:rPr>
                    <w:t>%</w:t>
                  </w:r>
                </w:p>
              </w:tc>
              <w:tc>
                <w:tcPr>
                  <w:tcW w:w="634" w:type="pct"/>
                  <w:vAlign w:val="center"/>
                </w:tcPr>
                <w:p w14:paraId="61EE2FFB">
                  <w:pPr>
                    <w:kinsoku w:val="0"/>
                    <w:overflowPunct w:val="0"/>
                    <w:autoSpaceDE w:val="0"/>
                    <w:autoSpaceDN w:val="0"/>
                    <w:adjustRightInd w:val="0"/>
                    <w:snapToGrid w:val="0"/>
                    <w:jc w:val="center"/>
                    <w:rPr>
                      <w:color w:val="auto"/>
                      <w:szCs w:val="21"/>
                    </w:rPr>
                  </w:pPr>
                  <w:r>
                    <w:rPr>
                      <w:color w:val="auto"/>
                      <w:szCs w:val="21"/>
                    </w:rPr>
                    <w:t>达标</w:t>
                  </w:r>
                </w:p>
                <w:p w14:paraId="31BAE277">
                  <w:pPr>
                    <w:kinsoku w:val="0"/>
                    <w:overflowPunct w:val="0"/>
                    <w:autoSpaceDE w:val="0"/>
                    <w:autoSpaceDN w:val="0"/>
                    <w:adjustRightInd w:val="0"/>
                    <w:snapToGrid w:val="0"/>
                    <w:jc w:val="center"/>
                    <w:rPr>
                      <w:color w:val="auto"/>
                      <w:szCs w:val="21"/>
                    </w:rPr>
                  </w:pPr>
                  <w:r>
                    <w:rPr>
                      <w:color w:val="auto"/>
                      <w:szCs w:val="21"/>
                    </w:rPr>
                    <w:t>情况</w:t>
                  </w:r>
                </w:p>
              </w:tc>
            </w:tr>
            <w:tr w14:paraId="30D4E6F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03" w:type="pct"/>
                  <w:vAlign w:val="center"/>
                </w:tcPr>
                <w:p w14:paraId="7C2638E7">
                  <w:pPr>
                    <w:autoSpaceDE w:val="0"/>
                    <w:autoSpaceDN w:val="0"/>
                    <w:adjustRightInd w:val="0"/>
                    <w:snapToGrid w:val="0"/>
                    <w:jc w:val="center"/>
                    <w:rPr>
                      <w:color w:val="auto"/>
                      <w:szCs w:val="21"/>
                    </w:rPr>
                  </w:pPr>
                  <w:r>
                    <w:rPr>
                      <w:color w:val="auto"/>
                      <w:szCs w:val="21"/>
                    </w:rPr>
                    <w:t>SO</w:t>
                  </w:r>
                  <w:r>
                    <w:rPr>
                      <w:color w:val="auto"/>
                      <w:szCs w:val="21"/>
                      <w:vertAlign w:val="subscript"/>
                    </w:rPr>
                    <w:t>2</w:t>
                  </w:r>
                </w:p>
              </w:tc>
              <w:tc>
                <w:tcPr>
                  <w:tcW w:w="1517" w:type="pct"/>
                  <w:vAlign w:val="center"/>
                </w:tcPr>
                <w:p w14:paraId="7FE03B38">
                  <w:pPr>
                    <w:kinsoku w:val="0"/>
                    <w:overflowPunct w:val="0"/>
                    <w:autoSpaceDE w:val="0"/>
                    <w:autoSpaceDN w:val="0"/>
                    <w:adjustRightInd w:val="0"/>
                    <w:snapToGrid w:val="0"/>
                    <w:jc w:val="center"/>
                    <w:rPr>
                      <w:color w:val="auto"/>
                      <w:szCs w:val="21"/>
                    </w:rPr>
                  </w:pPr>
                  <w:r>
                    <w:rPr>
                      <w:color w:val="auto"/>
                      <w:szCs w:val="21"/>
                    </w:rPr>
                    <w:t>年平均质量浓度</w:t>
                  </w:r>
                </w:p>
              </w:tc>
              <w:tc>
                <w:tcPr>
                  <w:tcW w:w="811" w:type="pct"/>
                  <w:vAlign w:val="center"/>
                </w:tcPr>
                <w:p w14:paraId="137D3CB5">
                  <w:pPr>
                    <w:autoSpaceDE w:val="0"/>
                    <w:autoSpaceDN w:val="0"/>
                    <w:adjustRightInd w:val="0"/>
                    <w:snapToGrid w:val="0"/>
                    <w:jc w:val="center"/>
                    <w:rPr>
                      <w:color w:val="auto"/>
                      <w:szCs w:val="21"/>
                    </w:rPr>
                  </w:pPr>
                  <w:r>
                    <w:rPr>
                      <w:rFonts w:hint="eastAsia"/>
                      <w:color w:val="auto"/>
                      <w:szCs w:val="21"/>
                    </w:rPr>
                    <w:t>7</w:t>
                  </w:r>
                </w:p>
              </w:tc>
              <w:tc>
                <w:tcPr>
                  <w:tcW w:w="711" w:type="pct"/>
                  <w:vAlign w:val="center"/>
                </w:tcPr>
                <w:p w14:paraId="4EE6F962">
                  <w:pPr>
                    <w:autoSpaceDE w:val="0"/>
                    <w:autoSpaceDN w:val="0"/>
                    <w:adjustRightInd w:val="0"/>
                    <w:snapToGrid w:val="0"/>
                    <w:jc w:val="center"/>
                    <w:rPr>
                      <w:color w:val="auto"/>
                      <w:szCs w:val="21"/>
                    </w:rPr>
                  </w:pPr>
                  <w:r>
                    <w:rPr>
                      <w:color w:val="auto"/>
                      <w:szCs w:val="21"/>
                    </w:rPr>
                    <w:t>60</w:t>
                  </w:r>
                </w:p>
              </w:tc>
              <w:tc>
                <w:tcPr>
                  <w:tcW w:w="623" w:type="pct"/>
                  <w:vAlign w:val="center"/>
                </w:tcPr>
                <w:p w14:paraId="21A1E49A">
                  <w:pPr>
                    <w:autoSpaceDE w:val="0"/>
                    <w:autoSpaceDN w:val="0"/>
                    <w:adjustRightInd w:val="0"/>
                    <w:snapToGrid w:val="0"/>
                    <w:jc w:val="center"/>
                    <w:rPr>
                      <w:color w:val="auto"/>
                      <w:szCs w:val="21"/>
                    </w:rPr>
                  </w:pPr>
                  <w:r>
                    <w:rPr>
                      <w:rFonts w:hint="eastAsia"/>
                      <w:color w:val="auto"/>
                      <w:szCs w:val="21"/>
                    </w:rPr>
                    <w:t>11.67</w:t>
                  </w:r>
                </w:p>
              </w:tc>
              <w:tc>
                <w:tcPr>
                  <w:tcW w:w="634" w:type="pct"/>
                  <w:vAlign w:val="center"/>
                </w:tcPr>
                <w:p w14:paraId="43919077">
                  <w:pPr>
                    <w:autoSpaceDE w:val="0"/>
                    <w:autoSpaceDN w:val="0"/>
                    <w:adjustRightInd w:val="0"/>
                    <w:snapToGrid w:val="0"/>
                    <w:jc w:val="center"/>
                    <w:rPr>
                      <w:color w:val="auto"/>
                      <w:szCs w:val="21"/>
                    </w:rPr>
                  </w:pPr>
                  <w:r>
                    <w:rPr>
                      <w:color w:val="auto"/>
                      <w:szCs w:val="21"/>
                    </w:rPr>
                    <w:t>达标</w:t>
                  </w:r>
                </w:p>
              </w:tc>
            </w:tr>
            <w:tr w14:paraId="3668F48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03" w:type="pct"/>
                  <w:vAlign w:val="center"/>
                </w:tcPr>
                <w:p w14:paraId="1EFBEC1F">
                  <w:pPr>
                    <w:autoSpaceDE w:val="0"/>
                    <w:autoSpaceDN w:val="0"/>
                    <w:adjustRightInd w:val="0"/>
                    <w:snapToGrid w:val="0"/>
                    <w:jc w:val="center"/>
                    <w:rPr>
                      <w:color w:val="auto"/>
                      <w:szCs w:val="21"/>
                    </w:rPr>
                  </w:pPr>
                  <w:r>
                    <w:rPr>
                      <w:color w:val="auto"/>
                      <w:szCs w:val="21"/>
                    </w:rPr>
                    <w:t>NO</w:t>
                  </w:r>
                  <w:r>
                    <w:rPr>
                      <w:color w:val="auto"/>
                      <w:szCs w:val="21"/>
                      <w:vertAlign w:val="subscript"/>
                    </w:rPr>
                    <w:t>2</w:t>
                  </w:r>
                </w:p>
              </w:tc>
              <w:tc>
                <w:tcPr>
                  <w:tcW w:w="1517" w:type="pct"/>
                  <w:vAlign w:val="center"/>
                </w:tcPr>
                <w:p w14:paraId="50D20A89">
                  <w:pPr>
                    <w:kinsoku w:val="0"/>
                    <w:overflowPunct w:val="0"/>
                    <w:autoSpaceDE w:val="0"/>
                    <w:autoSpaceDN w:val="0"/>
                    <w:adjustRightInd w:val="0"/>
                    <w:snapToGrid w:val="0"/>
                    <w:jc w:val="center"/>
                    <w:rPr>
                      <w:color w:val="auto"/>
                      <w:szCs w:val="21"/>
                    </w:rPr>
                  </w:pPr>
                  <w:r>
                    <w:rPr>
                      <w:color w:val="auto"/>
                      <w:szCs w:val="21"/>
                    </w:rPr>
                    <w:t>年平均质量浓度</w:t>
                  </w:r>
                </w:p>
              </w:tc>
              <w:tc>
                <w:tcPr>
                  <w:tcW w:w="811" w:type="pct"/>
                  <w:vAlign w:val="center"/>
                </w:tcPr>
                <w:p w14:paraId="6BCC440E">
                  <w:pPr>
                    <w:autoSpaceDE w:val="0"/>
                    <w:autoSpaceDN w:val="0"/>
                    <w:adjustRightInd w:val="0"/>
                    <w:snapToGrid w:val="0"/>
                    <w:jc w:val="center"/>
                    <w:rPr>
                      <w:color w:val="auto"/>
                      <w:szCs w:val="21"/>
                    </w:rPr>
                  </w:pPr>
                  <w:r>
                    <w:rPr>
                      <w:rFonts w:hint="eastAsia"/>
                      <w:color w:val="auto"/>
                      <w:szCs w:val="21"/>
                    </w:rPr>
                    <w:t>27</w:t>
                  </w:r>
                </w:p>
              </w:tc>
              <w:tc>
                <w:tcPr>
                  <w:tcW w:w="711" w:type="pct"/>
                  <w:vAlign w:val="center"/>
                </w:tcPr>
                <w:p w14:paraId="5E6DC02B">
                  <w:pPr>
                    <w:autoSpaceDE w:val="0"/>
                    <w:autoSpaceDN w:val="0"/>
                    <w:adjustRightInd w:val="0"/>
                    <w:snapToGrid w:val="0"/>
                    <w:jc w:val="center"/>
                    <w:rPr>
                      <w:color w:val="auto"/>
                      <w:szCs w:val="21"/>
                    </w:rPr>
                  </w:pPr>
                  <w:r>
                    <w:rPr>
                      <w:color w:val="auto"/>
                      <w:szCs w:val="21"/>
                    </w:rPr>
                    <w:t>40</w:t>
                  </w:r>
                </w:p>
              </w:tc>
              <w:tc>
                <w:tcPr>
                  <w:tcW w:w="623" w:type="pct"/>
                  <w:vAlign w:val="center"/>
                </w:tcPr>
                <w:p w14:paraId="684C9290">
                  <w:pPr>
                    <w:autoSpaceDE w:val="0"/>
                    <w:autoSpaceDN w:val="0"/>
                    <w:adjustRightInd w:val="0"/>
                    <w:snapToGrid w:val="0"/>
                    <w:jc w:val="center"/>
                    <w:rPr>
                      <w:color w:val="auto"/>
                      <w:szCs w:val="21"/>
                    </w:rPr>
                  </w:pPr>
                  <w:r>
                    <w:rPr>
                      <w:rFonts w:hint="eastAsia"/>
                      <w:color w:val="auto"/>
                      <w:szCs w:val="21"/>
                    </w:rPr>
                    <w:t>67.5</w:t>
                  </w:r>
                </w:p>
              </w:tc>
              <w:tc>
                <w:tcPr>
                  <w:tcW w:w="634" w:type="pct"/>
                  <w:vAlign w:val="center"/>
                </w:tcPr>
                <w:p w14:paraId="0FE375C6">
                  <w:pPr>
                    <w:autoSpaceDE w:val="0"/>
                    <w:autoSpaceDN w:val="0"/>
                    <w:adjustRightInd w:val="0"/>
                    <w:snapToGrid w:val="0"/>
                    <w:jc w:val="center"/>
                    <w:rPr>
                      <w:color w:val="auto"/>
                      <w:szCs w:val="21"/>
                    </w:rPr>
                  </w:pPr>
                  <w:r>
                    <w:rPr>
                      <w:color w:val="auto"/>
                      <w:szCs w:val="21"/>
                    </w:rPr>
                    <w:t>达标</w:t>
                  </w:r>
                </w:p>
              </w:tc>
            </w:tr>
            <w:tr w14:paraId="3EF3D18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03" w:type="pct"/>
                  <w:vAlign w:val="center"/>
                </w:tcPr>
                <w:p w14:paraId="15B4E45F">
                  <w:pPr>
                    <w:autoSpaceDE w:val="0"/>
                    <w:autoSpaceDN w:val="0"/>
                    <w:adjustRightInd w:val="0"/>
                    <w:snapToGrid w:val="0"/>
                    <w:jc w:val="center"/>
                    <w:rPr>
                      <w:color w:val="auto"/>
                      <w:szCs w:val="21"/>
                    </w:rPr>
                  </w:pPr>
                  <w:r>
                    <w:rPr>
                      <w:color w:val="auto"/>
                      <w:szCs w:val="21"/>
                    </w:rPr>
                    <w:t>CO</w:t>
                  </w:r>
                </w:p>
              </w:tc>
              <w:tc>
                <w:tcPr>
                  <w:tcW w:w="1517" w:type="pct"/>
                  <w:vAlign w:val="center"/>
                </w:tcPr>
                <w:p w14:paraId="3068148C">
                  <w:pPr>
                    <w:kinsoku w:val="0"/>
                    <w:overflowPunct w:val="0"/>
                    <w:autoSpaceDE w:val="0"/>
                    <w:autoSpaceDN w:val="0"/>
                    <w:adjustRightInd w:val="0"/>
                    <w:snapToGrid w:val="0"/>
                    <w:jc w:val="center"/>
                    <w:rPr>
                      <w:color w:val="auto"/>
                      <w:szCs w:val="21"/>
                    </w:rPr>
                  </w:pPr>
                  <w:r>
                    <w:rPr>
                      <w:rFonts w:hint="eastAsia"/>
                      <w:color w:val="auto"/>
                      <w:szCs w:val="21"/>
                    </w:rPr>
                    <w:t>24h日均浓度（第95）百分位数</w:t>
                  </w:r>
                </w:p>
              </w:tc>
              <w:tc>
                <w:tcPr>
                  <w:tcW w:w="811" w:type="pct"/>
                  <w:vAlign w:val="center"/>
                </w:tcPr>
                <w:p w14:paraId="3E13FAF2">
                  <w:pPr>
                    <w:autoSpaceDE w:val="0"/>
                    <w:autoSpaceDN w:val="0"/>
                    <w:adjustRightInd w:val="0"/>
                    <w:snapToGrid w:val="0"/>
                    <w:jc w:val="center"/>
                    <w:rPr>
                      <w:color w:val="auto"/>
                      <w:szCs w:val="21"/>
                    </w:rPr>
                  </w:pPr>
                  <w:r>
                    <w:rPr>
                      <w:rFonts w:hint="eastAsia"/>
                      <w:color w:val="auto"/>
                      <w:szCs w:val="21"/>
                    </w:rPr>
                    <w:t>1.3</w:t>
                  </w:r>
                  <w:r>
                    <w:rPr>
                      <w:color w:val="auto"/>
                      <w:szCs w:val="21"/>
                    </w:rPr>
                    <w:t>mg/m</w:t>
                  </w:r>
                  <w:r>
                    <w:rPr>
                      <w:color w:val="auto"/>
                      <w:szCs w:val="21"/>
                      <w:vertAlign w:val="superscript"/>
                    </w:rPr>
                    <w:t>3</w:t>
                  </w:r>
                </w:p>
              </w:tc>
              <w:tc>
                <w:tcPr>
                  <w:tcW w:w="711" w:type="pct"/>
                  <w:vAlign w:val="center"/>
                </w:tcPr>
                <w:p w14:paraId="5651307B">
                  <w:pPr>
                    <w:autoSpaceDE w:val="0"/>
                    <w:autoSpaceDN w:val="0"/>
                    <w:adjustRightInd w:val="0"/>
                    <w:snapToGrid w:val="0"/>
                    <w:jc w:val="center"/>
                    <w:rPr>
                      <w:color w:val="auto"/>
                      <w:szCs w:val="21"/>
                    </w:rPr>
                  </w:pPr>
                  <w:r>
                    <w:rPr>
                      <w:color w:val="auto"/>
                      <w:szCs w:val="21"/>
                    </w:rPr>
                    <w:t>4mg/m</w:t>
                  </w:r>
                  <w:r>
                    <w:rPr>
                      <w:color w:val="auto"/>
                      <w:szCs w:val="21"/>
                      <w:vertAlign w:val="superscript"/>
                    </w:rPr>
                    <w:t>3</w:t>
                  </w:r>
                </w:p>
              </w:tc>
              <w:tc>
                <w:tcPr>
                  <w:tcW w:w="623" w:type="pct"/>
                  <w:vAlign w:val="center"/>
                </w:tcPr>
                <w:p w14:paraId="23D5DC72">
                  <w:pPr>
                    <w:autoSpaceDE w:val="0"/>
                    <w:autoSpaceDN w:val="0"/>
                    <w:adjustRightInd w:val="0"/>
                    <w:snapToGrid w:val="0"/>
                    <w:jc w:val="center"/>
                    <w:rPr>
                      <w:color w:val="auto"/>
                      <w:szCs w:val="21"/>
                    </w:rPr>
                  </w:pPr>
                  <w:r>
                    <w:rPr>
                      <w:rFonts w:hint="eastAsia"/>
                      <w:color w:val="auto"/>
                      <w:szCs w:val="21"/>
                    </w:rPr>
                    <w:t>32.5</w:t>
                  </w:r>
                </w:p>
              </w:tc>
              <w:tc>
                <w:tcPr>
                  <w:tcW w:w="634" w:type="pct"/>
                  <w:vAlign w:val="center"/>
                </w:tcPr>
                <w:p w14:paraId="048CDB77">
                  <w:pPr>
                    <w:autoSpaceDE w:val="0"/>
                    <w:autoSpaceDN w:val="0"/>
                    <w:adjustRightInd w:val="0"/>
                    <w:snapToGrid w:val="0"/>
                    <w:jc w:val="center"/>
                    <w:rPr>
                      <w:color w:val="auto"/>
                      <w:szCs w:val="21"/>
                    </w:rPr>
                  </w:pPr>
                  <w:r>
                    <w:rPr>
                      <w:color w:val="auto"/>
                      <w:szCs w:val="21"/>
                    </w:rPr>
                    <w:t>达标</w:t>
                  </w:r>
                </w:p>
              </w:tc>
            </w:tr>
            <w:tr w14:paraId="5AE2502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03" w:type="pct"/>
                  <w:vAlign w:val="center"/>
                </w:tcPr>
                <w:p w14:paraId="2466ACD6">
                  <w:pPr>
                    <w:autoSpaceDE w:val="0"/>
                    <w:autoSpaceDN w:val="0"/>
                    <w:adjustRightInd w:val="0"/>
                    <w:snapToGrid w:val="0"/>
                    <w:jc w:val="center"/>
                    <w:rPr>
                      <w:color w:val="auto"/>
                      <w:szCs w:val="21"/>
                    </w:rPr>
                  </w:pPr>
                  <w:r>
                    <w:rPr>
                      <w:color w:val="auto"/>
                      <w:szCs w:val="21"/>
                    </w:rPr>
                    <w:t>PM</w:t>
                  </w:r>
                  <w:r>
                    <w:rPr>
                      <w:color w:val="auto"/>
                      <w:szCs w:val="21"/>
                      <w:vertAlign w:val="subscript"/>
                    </w:rPr>
                    <w:t>2.5</w:t>
                  </w:r>
                </w:p>
              </w:tc>
              <w:tc>
                <w:tcPr>
                  <w:tcW w:w="1517" w:type="pct"/>
                  <w:vAlign w:val="center"/>
                </w:tcPr>
                <w:p w14:paraId="1F82E739">
                  <w:pPr>
                    <w:kinsoku w:val="0"/>
                    <w:overflowPunct w:val="0"/>
                    <w:autoSpaceDE w:val="0"/>
                    <w:autoSpaceDN w:val="0"/>
                    <w:adjustRightInd w:val="0"/>
                    <w:snapToGrid w:val="0"/>
                    <w:jc w:val="center"/>
                    <w:rPr>
                      <w:color w:val="auto"/>
                      <w:szCs w:val="21"/>
                    </w:rPr>
                  </w:pPr>
                  <w:r>
                    <w:rPr>
                      <w:color w:val="auto"/>
                      <w:szCs w:val="21"/>
                    </w:rPr>
                    <w:t>年平均质量浓度</w:t>
                  </w:r>
                </w:p>
              </w:tc>
              <w:tc>
                <w:tcPr>
                  <w:tcW w:w="811" w:type="pct"/>
                  <w:shd w:val="clear" w:color="auto" w:fill="auto"/>
                  <w:vAlign w:val="center"/>
                </w:tcPr>
                <w:p w14:paraId="75D41B4F">
                  <w:pPr>
                    <w:keepNext w:val="0"/>
                    <w:keepLines w:val="0"/>
                    <w:suppressLineNumbers w:val="0"/>
                    <w:autoSpaceDE w:val="0"/>
                    <w:autoSpaceDN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37</w:t>
                  </w:r>
                </w:p>
              </w:tc>
              <w:tc>
                <w:tcPr>
                  <w:tcW w:w="711" w:type="pct"/>
                  <w:shd w:val="clear" w:color="auto" w:fill="auto"/>
                  <w:vAlign w:val="center"/>
                </w:tcPr>
                <w:p w14:paraId="6BB1452D">
                  <w:pPr>
                    <w:keepNext w:val="0"/>
                    <w:keepLines w:val="0"/>
                    <w:suppressLineNumbers w:val="0"/>
                    <w:autoSpaceDE w:val="0"/>
                    <w:autoSpaceDN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30</w:t>
                  </w:r>
                </w:p>
              </w:tc>
              <w:tc>
                <w:tcPr>
                  <w:tcW w:w="623" w:type="pct"/>
                  <w:shd w:val="clear" w:color="auto" w:fill="auto"/>
                  <w:vAlign w:val="center"/>
                </w:tcPr>
                <w:p w14:paraId="47718FF6">
                  <w:pPr>
                    <w:keepNext w:val="0"/>
                    <w:keepLines w:val="0"/>
                    <w:suppressLineNumbers w:val="0"/>
                    <w:autoSpaceDE w:val="0"/>
                    <w:autoSpaceDN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123.3</w:t>
                  </w:r>
                </w:p>
              </w:tc>
              <w:tc>
                <w:tcPr>
                  <w:tcW w:w="634" w:type="pct"/>
                  <w:shd w:val="clear" w:color="auto" w:fill="auto"/>
                  <w:vAlign w:val="center"/>
                </w:tcPr>
                <w:p w14:paraId="60B29BD9">
                  <w:pPr>
                    <w:keepNext w:val="0"/>
                    <w:keepLines w:val="0"/>
                    <w:suppressLineNumbers w:val="0"/>
                    <w:autoSpaceDE w:val="0"/>
                    <w:autoSpaceDN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rPr>
                    <w:t>不达</w:t>
                  </w:r>
                  <w:r>
                    <w:rPr>
                      <w:color w:val="auto"/>
                      <w:szCs w:val="21"/>
                    </w:rPr>
                    <w:t>标</w:t>
                  </w:r>
                </w:p>
              </w:tc>
            </w:tr>
            <w:tr w14:paraId="3F1C770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03" w:type="pct"/>
                  <w:vAlign w:val="center"/>
                </w:tcPr>
                <w:p w14:paraId="45F22A19">
                  <w:pPr>
                    <w:autoSpaceDE w:val="0"/>
                    <w:autoSpaceDN w:val="0"/>
                    <w:adjustRightInd w:val="0"/>
                    <w:snapToGrid w:val="0"/>
                    <w:jc w:val="center"/>
                    <w:rPr>
                      <w:color w:val="auto"/>
                      <w:szCs w:val="21"/>
                    </w:rPr>
                  </w:pPr>
                  <w:r>
                    <w:rPr>
                      <w:color w:val="auto"/>
                      <w:szCs w:val="21"/>
                    </w:rPr>
                    <w:t>PM</w:t>
                  </w:r>
                  <w:r>
                    <w:rPr>
                      <w:color w:val="auto"/>
                      <w:szCs w:val="21"/>
                      <w:vertAlign w:val="subscript"/>
                    </w:rPr>
                    <w:t>10</w:t>
                  </w:r>
                </w:p>
              </w:tc>
              <w:tc>
                <w:tcPr>
                  <w:tcW w:w="1517" w:type="pct"/>
                  <w:vAlign w:val="center"/>
                </w:tcPr>
                <w:p w14:paraId="5E8EE840">
                  <w:pPr>
                    <w:kinsoku w:val="0"/>
                    <w:overflowPunct w:val="0"/>
                    <w:autoSpaceDE w:val="0"/>
                    <w:autoSpaceDN w:val="0"/>
                    <w:adjustRightInd w:val="0"/>
                    <w:snapToGrid w:val="0"/>
                    <w:jc w:val="center"/>
                    <w:rPr>
                      <w:color w:val="auto"/>
                      <w:szCs w:val="21"/>
                    </w:rPr>
                  </w:pPr>
                  <w:r>
                    <w:rPr>
                      <w:color w:val="auto"/>
                      <w:szCs w:val="21"/>
                    </w:rPr>
                    <w:t>年平均质量浓度</w:t>
                  </w:r>
                </w:p>
              </w:tc>
              <w:tc>
                <w:tcPr>
                  <w:tcW w:w="811" w:type="pct"/>
                  <w:shd w:val="clear" w:color="auto" w:fill="auto"/>
                  <w:vAlign w:val="center"/>
                </w:tcPr>
                <w:p w14:paraId="1A3297EC">
                  <w:pPr>
                    <w:keepNext w:val="0"/>
                    <w:keepLines w:val="0"/>
                    <w:suppressLineNumbers w:val="0"/>
                    <w:autoSpaceDE w:val="0"/>
                    <w:autoSpaceDN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68</w:t>
                  </w:r>
                </w:p>
              </w:tc>
              <w:tc>
                <w:tcPr>
                  <w:tcW w:w="711" w:type="pct"/>
                  <w:shd w:val="clear" w:color="auto" w:fill="auto"/>
                  <w:vAlign w:val="center"/>
                </w:tcPr>
                <w:p w14:paraId="40DFDD59">
                  <w:pPr>
                    <w:keepNext w:val="0"/>
                    <w:keepLines w:val="0"/>
                    <w:suppressLineNumbers w:val="0"/>
                    <w:autoSpaceDE w:val="0"/>
                    <w:autoSpaceDN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60</w:t>
                  </w:r>
                </w:p>
              </w:tc>
              <w:tc>
                <w:tcPr>
                  <w:tcW w:w="623" w:type="pct"/>
                  <w:shd w:val="clear" w:color="auto" w:fill="auto"/>
                  <w:vAlign w:val="center"/>
                </w:tcPr>
                <w:p w14:paraId="188A41C6">
                  <w:pPr>
                    <w:keepNext w:val="0"/>
                    <w:keepLines w:val="0"/>
                    <w:suppressLineNumbers w:val="0"/>
                    <w:autoSpaceDE w:val="0"/>
                    <w:autoSpaceDN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113.3</w:t>
                  </w:r>
                </w:p>
              </w:tc>
              <w:tc>
                <w:tcPr>
                  <w:tcW w:w="634" w:type="pct"/>
                  <w:shd w:val="clear" w:color="auto" w:fill="auto"/>
                  <w:vAlign w:val="center"/>
                </w:tcPr>
                <w:p w14:paraId="4E1C45F1">
                  <w:pPr>
                    <w:keepNext w:val="0"/>
                    <w:keepLines w:val="0"/>
                    <w:suppressLineNumbers w:val="0"/>
                    <w:autoSpaceDE w:val="0"/>
                    <w:autoSpaceDN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rPr>
                    <w:t>不达</w:t>
                  </w:r>
                  <w:r>
                    <w:rPr>
                      <w:color w:val="auto"/>
                      <w:szCs w:val="21"/>
                    </w:rPr>
                    <w:t>标</w:t>
                  </w:r>
                </w:p>
              </w:tc>
            </w:tr>
            <w:tr w14:paraId="4AC43E7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03" w:type="pct"/>
                  <w:vAlign w:val="center"/>
                </w:tcPr>
                <w:p w14:paraId="5CD84FE2">
                  <w:pPr>
                    <w:autoSpaceDE w:val="0"/>
                    <w:autoSpaceDN w:val="0"/>
                    <w:adjustRightInd w:val="0"/>
                    <w:snapToGrid w:val="0"/>
                    <w:jc w:val="center"/>
                    <w:rPr>
                      <w:color w:val="auto"/>
                      <w:szCs w:val="21"/>
                    </w:rPr>
                  </w:pPr>
                  <w:r>
                    <w:rPr>
                      <w:color w:val="auto"/>
                      <w:szCs w:val="21"/>
                    </w:rPr>
                    <w:t>O</w:t>
                  </w:r>
                  <w:r>
                    <w:rPr>
                      <w:color w:val="auto"/>
                      <w:szCs w:val="21"/>
                      <w:vertAlign w:val="subscript"/>
                    </w:rPr>
                    <w:t>3</w:t>
                  </w:r>
                </w:p>
              </w:tc>
              <w:tc>
                <w:tcPr>
                  <w:tcW w:w="1517" w:type="pct"/>
                  <w:vAlign w:val="center"/>
                </w:tcPr>
                <w:p w14:paraId="4C5B258F">
                  <w:pPr>
                    <w:kinsoku w:val="0"/>
                    <w:overflowPunct w:val="0"/>
                    <w:autoSpaceDE w:val="0"/>
                    <w:autoSpaceDN w:val="0"/>
                    <w:adjustRightInd w:val="0"/>
                    <w:snapToGrid w:val="0"/>
                    <w:jc w:val="center"/>
                    <w:rPr>
                      <w:color w:val="auto"/>
                      <w:szCs w:val="21"/>
                    </w:rPr>
                  </w:pPr>
                  <w:r>
                    <w:rPr>
                      <w:rFonts w:hint="eastAsia"/>
                      <w:color w:val="auto"/>
                      <w:szCs w:val="21"/>
                    </w:rPr>
                    <w:t>8h日均浓度（第90）百分位数</w:t>
                  </w:r>
                </w:p>
              </w:tc>
              <w:tc>
                <w:tcPr>
                  <w:tcW w:w="811" w:type="pct"/>
                  <w:vAlign w:val="center"/>
                </w:tcPr>
                <w:p w14:paraId="10C76641">
                  <w:pPr>
                    <w:autoSpaceDE w:val="0"/>
                    <w:autoSpaceDN w:val="0"/>
                    <w:adjustRightInd w:val="0"/>
                    <w:snapToGrid w:val="0"/>
                    <w:jc w:val="center"/>
                    <w:rPr>
                      <w:color w:val="auto"/>
                      <w:szCs w:val="21"/>
                    </w:rPr>
                  </w:pPr>
                  <w:r>
                    <w:rPr>
                      <w:color w:val="auto"/>
                      <w:szCs w:val="21"/>
                    </w:rPr>
                    <w:t>1</w:t>
                  </w:r>
                  <w:r>
                    <w:rPr>
                      <w:rFonts w:hint="eastAsia"/>
                      <w:color w:val="auto"/>
                      <w:szCs w:val="21"/>
                    </w:rPr>
                    <w:t>78</w:t>
                  </w:r>
                </w:p>
              </w:tc>
              <w:tc>
                <w:tcPr>
                  <w:tcW w:w="711" w:type="pct"/>
                  <w:vAlign w:val="center"/>
                </w:tcPr>
                <w:p w14:paraId="4E1C2722">
                  <w:pPr>
                    <w:autoSpaceDE w:val="0"/>
                    <w:autoSpaceDN w:val="0"/>
                    <w:adjustRightInd w:val="0"/>
                    <w:snapToGrid w:val="0"/>
                    <w:jc w:val="center"/>
                    <w:rPr>
                      <w:color w:val="auto"/>
                      <w:szCs w:val="21"/>
                    </w:rPr>
                  </w:pPr>
                  <w:r>
                    <w:rPr>
                      <w:color w:val="auto"/>
                      <w:szCs w:val="21"/>
                    </w:rPr>
                    <w:t>160</w:t>
                  </w:r>
                </w:p>
              </w:tc>
              <w:tc>
                <w:tcPr>
                  <w:tcW w:w="623" w:type="pct"/>
                  <w:vAlign w:val="center"/>
                </w:tcPr>
                <w:p w14:paraId="17C48751">
                  <w:pPr>
                    <w:autoSpaceDE w:val="0"/>
                    <w:autoSpaceDN w:val="0"/>
                    <w:adjustRightInd w:val="0"/>
                    <w:snapToGrid w:val="0"/>
                    <w:jc w:val="center"/>
                    <w:rPr>
                      <w:color w:val="auto"/>
                      <w:szCs w:val="21"/>
                    </w:rPr>
                  </w:pPr>
                  <w:r>
                    <w:rPr>
                      <w:rFonts w:hint="eastAsia"/>
                      <w:color w:val="auto"/>
                      <w:szCs w:val="21"/>
                    </w:rPr>
                    <w:t>111.25</w:t>
                  </w:r>
                </w:p>
              </w:tc>
              <w:tc>
                <w:tcPr>
                  <w:tcW w:w="634" w:type="pct"/>
                  <w:vAlign w:val="center"/>
                </w:tcPr>
                <w:p w14:paraId="5CC70D38">
                  <w:pPr>
                    <w:autoSpaceDE w:val="0"/>
                    <w:autoSpaceDN w:val="0"/>
                    <w:adjustRightInd w:val="0"/>
                    <w:snapToGrid w:val="0"/>
                    <w:jc w:val="center"/>
                    <w:rPr>
                      <w:color w:val="auto"/>
                      <w:szCs w:val="21"/>
                    </w:rPr>
                  </w:pPr>
                  <w:r>
                    <w:rPr>
                      <w:rFonts w:hint="eastAsia"/>
                      <w:color w:val="auto"/>
                      <w:szCs w:val="21"/>
                    </w:rPr>
                    <w:t>不达</w:t>
                  </w:r>
                  <w:r>
                    <w:rPr>
                      <w:color w:val="auto"/>
                      <w:szCs w:val="21"/>
                    </w:rPr>
                    <w:t>标</w:t>
                  </w:r>
                </w:p>
              </w:tc>
            </w:tr>
          </w:tbl>
          <w:p w14:paraId="6F1FA45B">
            <w:pPr>
              <w:pStyle w:val="10"/>
              <w:spacing w:beforeLines="50"/>
              <w:rPr>
                <w:color w:val="auto"/>
              </w:rPr>
            </w:pPr>
            <w:bookmarkStart w:id="18" w:name="_Ref133412879"/>
            <w:r>
              <w:rPr>
                <w:rFonts w:hint="eastAsia"/>
                <w:color w:val="auto"/>
              </w:rPr>
              <w:t>表3</w:t>
            </w:r>
            <w:r>
              <w:rPr>
                <w:rFonts w:hint="eastAsia"/>
                <w:color w:val="auto"/>
                <w:lang w:eastAsia="zh-CN"/>
              </w:rPr>
              <w:t>-</w:t>
            </w:r>
            <w:r>
              <w:rPr>
                <w:color w:val="auto"/>
              </w:rPr>
              <w:fldChar w:fldCharType="begin"/>
            </w:r>
            <w:r>
              <w:rPr>
                <w:color w:val="auto"/>
              </w:rPr>
              <w:instrText xml:space="preserve"> </w:instrText>
            </w:r>
            <w:r>
              <w:rPr>
                <w:rFonts w:hint="eastAsia"/>
                <w:color w:val="auto"/>
              </w:rPr>
              <w:instrText xml:space="preserve">SEQ 表3- \* ARABIC</w:instrText>
            </w:r>
            <w:r>
              <w:rPr>
                <w:color w:val="auto"/>
              </w:rPr>
              <w:instrText xml:space="preserve"> </w:instrText>
            </w:r>
            <w:r>
              <w:rPr>
                <w:color w:val="auto"/>
              </w:rPr>
              <w:fldChar w:fldCharType="separate"/>
            </w:r>
            <w:r>
              <w:rPr>
                <w:color w:val="auto"/>
              </w:rPr>
              <w:t>2</w:t>
            </w:r>
            <w:r>
              <w:rPr>
                <w:color w:val="auto"/>
              </w:rPr>
              <w:fldChar w:fldCharType="end"/>
            </w:r>
            <w:bookmarkEnd w:id="18"/>
            <w:r>
              <w:rPr>
                <w:rFonts w:hint="eastAsia"/>
                <w:color w:val="auto"/>
              </w:rPr>
              <w:t>高新技术产业开发区</w:t>
            </w:r>
            <w:r>
              <w:rPr>
                <w:bCs/>
                <w:color w:val="auto"/>
                <w:spacing w:val="4"/>
                <w:szCs w:val="21"/>
              </w:rPr>
              <w:t>区域空气质量现状评价表</w:t>
            </w:r>
          </w:p>
          <w:tbl>
            <w:tblPr>
              <w:tblStyle w:val="33"/>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70"/>
              <w:gridCol w:w="2426"/>
              <w:gridCol w:w="1334"/>
              <w:gridCol w:w="1134"/>
              <w:gridCol w:w="993"/>
              <w:gridCol w:w="1007"/>
            </w:tblGrid>
            <w:tr w14:paraId="2A2DDF6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70" w:type="dxa"/>
                  <w:vAlign w:val="center"/>
                </w:tcPr>
                <w:p w14:paraId="1976D000">
                  <w:pPr>
                    <w:kinsoku w:val="0"/>
                    <w:overflowPunct w:val="0"/>
                    <w:autoSpaceDE w:val="0"/>
                    <w:autoSpaceDN w:val="0"/>
                    <w:adjustRightInd w:val="0"/>
                    <w:snapToGrid w:val="0"/>
                    <w:jc w:val="center"/>
                    <w:rPr>
                      <w:color w:val="auto"/>
                      <w:szCs w:val="21"/>
                    </w:rPr>
                  </w:pPr>
                  <w:r>
                    <w:rPr>
                      <w:color w:val="auto"/>
                      <w:szCs w:val="21"/>
                    </w:rPr>
                    <w:t>污染物</w:t>
                  </w:r>
                </w:p>
              </w:tc>
              <w:tc>
                <w:tcPr>
                  <w:tcW w:w="2426" w:type="dxa"/>
                  <w:vAlign w:val="center"/>
                </w:tcPr>
                <w:p w14:paraId="4E9FE19E">
                  <w:pPr>
                    <w:kinsoku w:val="0"/>
                    <w:overflowPunct w:val="0"/>
                    <w:autoSpaceDE w:val="0"/>
                    <w:autoSpaceDN w:val="0"/>
                    <w:adjustRightInd w:val="0"/>
                    <w:snapToGrid w:val="0"/>
                    <w:jc w:val="center"/>
                    <w:rPr>
                      <w:color w:val="auto"/>
                      <w:szCs w:val="21"/>
                    </w:rPr>
                  </w:pPr>
                  <w:r>
                    <w:rPr>
                      <w:color w:val="auto"/>
                      <w:szCs w:val="21"/>
                    </w:rPr>
                    <w:t>年评价指标</w:t>
                  </w:r>
                </w:p>
              </w:tc>
              <w:tc>
                <w:tcPr>
                  <w:tcW w:w="1334" w:type="dxa"/>
                  <w:vAlign w:val="center"/>
                </w:tcPr>
                <w:p w14:paraId="14E56CB3">
                  <w:pPr>
                    <w:kinsoku w:val="0"/>
                    <w:overflowPunct w:val="0"/>
                    <w:autoSpaceDE w:val="0"/>
                    <w:autoSpaceDN w:val="0"/>
                    <w:adjustRightInd w:val="0"/>
                    <w:snapToGrid w:val="0"/>
                    <w:jc w:val="center"/>
                    <w:rPr>
                      <w:color w:val="auto"/>
                      <w:szCs w:val="21"/>
                    </w:rPr>
                  </w:pPr>
                  <w:r>
                    <w:rPr>
                      <w:color w:val="auto"/>
                      <w:szCs w:val="21"/>
                    </w:rPr>
                    <w:t>现状浓度/</w:t>
                  </w:r>
                </w:p>
                <w:p w14:paraId="2BA4C981">
                  <w:pPr>
                    <w:kinsoku w:val="0"/>
                    <w:overflowPunct w:val="0"/>
                    <w:autoSpaceDE w:val="0"/>
                    <w:autoSpaceDN w:val="0"/>
                    <w:adjustRightInd w:val="0"/>
                    <w:snapToGrid w:val="0"/>
                    <w:jc w:val="center"/>
                    <w:rPr>
                      <w:color w:val="auto"/>
                      <w:szCs w:val="21"/>
                    </w:rPr>
                  </w:pPr>
                  <w:r>
                    <w:rPr>
                      <w:color w:val="auto"/>
                      <w:szCs w:val="21"/>
                    </w:rPr>
                    <w:t>（μg/m</w:t>
                  </w:r>
                  <w:r>
                    <w:rPr>
                      <w:color w:val="auto"/>
                      <w:szCs w:val="21"/>
                      <w:vertAlign w:val="superscript"/>
                    </w:rPr>
                    <w:t>3</w:t>
                  </w:r>
                  <w:r>
                    <w:rPr>
                      <w:color w:val="auto"/>
                      <w:szCs w:val="21"/>
                    </w:rPr>
                    <w:t>）</w:t>
                  </w:r>
                </w:p>
              </w:tc>
              <w:tc>
                <w:tcPr>
                  <w:tcW w:w="1134" w:type="dxa"/>
                  <w:vAlign w:val="center"/>
                </w:tcPr>
                <w:p w14:paraId="10EF32EC">
                  <w:pPr>
                    <w:kinsoku w:val="0"/>
                    <w:overflowPunct w:val="0"/>
                    <w:autoSpaceDE w:val="0"/>
                    <w:autoSpaceDN w:val="0"/>
                    <w:adjustRightInd w:val="0"/>
                    <w:snapToGrid w:val="0"/>
                    <w:jc w:val="center"/>
                    <w:rPr>
                      <w:color w:val="auto"/>
                      <w:szCs w:val="21"/>
                    </w:rPr>
                  </w:pPr>
                  <w:r>
                    <w:rPr>
                      <w:color w:val="auto"/>
                      <w:szCs w:val="21"/>
                    </w:rPr>
                    <w:t>标准值/</w:t>
                  </w:r>
                </w:p>
                <w:p w14:paraId="271F1A78">
                  <w:pPr>
                    <w:kinsoku w:val="0"/>
                    <w:overflowPunct w:val="0"/>
                    <w:autoSpaceDE w:val="0"/>
                    <w:autoSpaceDN w:val="0"/>
                    <w:adjustRightInd w:val="0"/>
                    <w:snapToGrid w:val="0"/>
                    <w:jc w:val="center"/>
                    <w:rPr>
                      <w:color w:val="auto"/>
                      <w:szCs w:val="21"/>
                    </w:rPr>
                  </w:pPr>
                  <w:r>
                    <w:rPr>
                      <w:color w:val="auto"/>
                      <w:szCs w:val="21"/>
                    </w:rPr>
                    <w:t>（μg/m</w:t>
                  </w:r>
                  <w:r>
                    <w:rPr>
                      <w:color w:val="auto"/>
                      <w:szCs w:val="21"/>
                      <w:vertAlign w:val="superscript"/>
                    </w:rPr>
                    <w:t>3</w:t>
                  </w:r>
                  <w:r>
                    <w:rPr>
                      <w:color w:val="auto"/>
                      <w:szCs w:val="21"/>
                    </w:rPr>
                    <w:t>）</w:t>
                  </w:r>
                </w:p>
              </w:tc>
              <w:tc>
                <w:tcPr>
                  <w:tcW w:w="993" w:type="dxa"/>
                  <w:vAlign w:val="center"/>
                </w:tcPr>
                <w:p w14:paraId="072008F2">
                  <w:pPr>
                    <w:kinsoku w:val="0"/>
                    <w:overflowPunct w:val="0"/>
                    <w:autoSpaceDE w:val="0"/>
                    <w:autoSpaceDN w:val="0"/>
                    <w:adjustRightInd w:val="0"/>
                    <w:snapToGrid w:val="0"/>
                    <w:jc w:val="center"/>
                    <w:rPr>
                      <w:color w:val="auto"/>
                      <w:szCs w:val="21"/>
                    </w:rPr>
                  </w:pPr>
                  <w:r>
                    <w:rPr>
                      <w:color w:val="auto"/>
                      <w:szCs w:val="21"/>
                    </w:rPr>
                    <w:t>占标率/</w:t>
                  </w:r>
                </w:p>
                <w:p w14:paraId="0B327196">
                  <w:pPr>
                    <w:kinsoku w:val="0"/>
                    <w:overflowPunct w:val="0"/>
                    <w:autoSpaceDE w:val="0"/>
                    <w:autoSpaceDN w:val="0"/>
                    <w:adjustRightInd w:val="0"/>
                    <w:snapToGrid w:val="0"/>
                    <w:jc w:val="center"/>
                    <w:rPr>
                      <w:color w:val="auto"/>
                      <w:szCs w:val="21"/>
                    </w:rPr>
                  </w:pPr>
                  <w:r>
                    <w:rPr>
                      <w:color w:val="auto"/>
                      <w:szCs w:val="21"/>
                    </w:rPr>
                    <w:t>%</w:t>
                  </w:r>
                </w:p>
              </w:tc>
              <w:tc>
                <w:tcPr>
                  <w:tcW w:w="1007" w:type="dxa"/>
                  <w:vAlign w:val="center"/>
                </w:tcPr>
                <w:p w14:paraId="624159AE">
                  <w:pPr>
                    <w:kinsoku w:val="0"/>
                    <w:overflowPunct w:val="0"/>
                    <w:autoSpaceDE w:val="0"/>
                    <w:autoSpaceDN w:val="0"/>
                    <w:adjustRightInd w:val="0"/>
                    <w:snapToGrid w:val="0"/>
                    <w:jc w:val="center"/>
                    <w:rPr>
                      <w:color w:val="auto"/>
                      <w:szCs w:val="21"/>
                    </w:rPr>
                  </w:pPr>
                  <w:r>
                    <w:rPr>
                      <w:color w:val="auto"/>
                      <w:szCs w:val="21"/>
                    </w:rPr>
                    <w:t>达标</w:t>
                  </w:r>
                </w:p>
                <w:p w14:paraId="42345485">
                  <w:pPr>
                    <w:kinsoku w:val="0"/>
                    <w:overflowPunct w:val="0"/>
                    <w:autoSpaceDE w:val="0"/>
                    <w:autoSpaceDN w:val="0"/>
                    <w:adjustRightInd w:val="0"/>
                    <w:snapToGrid w:val="0"/>
                    <w:jc w:val="center"/>
                    <w:rPr>
                      <w:color w:val="auto"/>
                      <w:szCs w:val="21"/>
                    </w:rPr>
                  </w:pPr>
                  <w:r>
                    <w:rPr>
                      <w:color w:val="auto"/>
                      <w:szCs w:val="21"/>
                    </w:rPr>
                    <w:t>情况</w:t>
                  </w:r>
                </w:p>
              </w:tc>
            </w:tr>
            <w:tr w14:paraId="461C8D8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70" w:type="dxa"/>
                  <w:vAlign w:val="center"/>
                </w:tcPr>
                <w:p w14:paraId="45DCAB60">
                  <w:pPr>
                    <w:autoSpaceDE w:val="0"/>
                    <w:autoSpaceDN w:val="0"/>
                    <w:adjustRightInd w:val="0"/>
                    <w:snapToGrid w:val="0"/>
                    <w:jc w:val="center"/>
                    <w:rPr>
                      <w:color w:val="auto"/>
                      <w:szCs w:val="21"/>
                    </w:rPr>
                  </w:pPr>
                  <w:r>
                    <w:rPr>
                      <w:color w:val="auto"/>
                      <w:szCs w:val="21"/>
                    </w:rPr>
                    <w:t>SO</w:t>
                  </w:r>
                  <w:r>
                    <w:rPr>
                      <w:color w:val="auto"/>
                      <w:szCs w:val="21"/>
                      <w:vertAlign w:val="subscript"/>
                    </w:rPr>
                    <w:t>2</w:t>
                  </w:r>
                </w:p>
              </w:tc>
              <w:tc>
                <w:tcPr>
                  <w:tcW w:w="2426" w:type="dxa"/>
                  <w:vAlign w:val="center"/>
                </w:tcPr>
                <w:p w14:paraId="709788F5">
                  <w:pPr>
                    <w:kinsoku w:val="0"/>
                    <w:overflowPunct w:val="0"/>
                    <w:autoSpaceDE w:val="0"/>
                    <w:autoSpaceDN w:val="0"/>
                    <w:adjustRightInd w:val="0"/>
                    <w:snapToGrid w:val="0"/>
                    <w:jc w:val="center"/>
                    <w:rPr>
                      <w:color w:val="auto"/>
                      <w:szCs w:val="21"/>
                    </w:rPr>
                  </w:pPr>
                  <w:r>
                    <w:rPr>
                      <w:color w:val="auto"/>
                      <w:szCs w:val="21"/>
                    </w:rPr>
                    <w:t>年平均质量浓度</w:t>
                  </w:r>
                </w:p>
              </w:tc>
              <w:tc>
                <w:tcPr>
                  <w:tcW w:w="1334" w:type="dxa"/>
                  <w:vAlign w:val="center"/>
                </w:tcPr>
                <w:p w14:paraId="644EB184">
                  <w:pPr>
                    <w:autoSpaceDE w:val="0"/>
                    <w:autoSpaceDN w:val="0"/>
                    <w:adjustRightInd w:val="0"/>
                    <w:snapToGrid w:val="0"/>
                    <w:jc w:val="center"/>
                    <w:rPr>
                      <w:color w:val="auto"/>
                      <w:szCs w:val="21"/>
                    </w:rPr>
                  </w:pPr>
                  <w:r>
                    <w:rPr>
                      <w:rFonts w:hint="eastAsia"/>
                      <w:color w:val="auto"/>
                      <w:szCs w:val="21"/>
                    </w:rPr>
                    <w:t>7</w:t>
                  </w:r>
                </w:p>
              </w:tc>
              <w:tc>
                <w:tcPr>
                  <w:tcW w:w="1134" w:type="dxa"/>
                  <w:vAlign w:val="center"/>
                </w:tcPr>
                <w:p w14:paraId="033A9DA0">
                  <w:pPr>
                    <w:autoSpaceDE w:val="0"/>
                    <w:autoSpaceDN w:val="0"/>
                    <w:adjustRightInd w:val="0"/>
                    <w:snapToGrid w:val="0"/>
                    <w:jc w:val="center"/>
                    <w:rPr>
                      <w:color w:val="auto"/>
                      <w:szCs w:val="21"/>
                    </w:rPr>
                  </w:pPr>
                  <w:r>
                    <w:rPr>
                      <w:color w:val="auto"/>
                      <w:szCs w:val="21"/>
                    </w:rPr>
                    <w:t>60</w:t>
                  </w:r>
                </w:p>
              </w:tc>
              <w:tc>
                <w:tcPr>
                  <w:tcW w:w="993" w:type="dxa"/>
                  <w:vAlign w:val="center"/>
                </w:tcPr>
                <w:p w14:paraId="7A3B8B4B">
                  <w:pPr>
                    <w:autoSpaceDE w:val="0"/>
                    <w:autoSpaceDN w:val="0"/>
                    <w:adjustRightInd w:val="0"/>
                    <w:snapToGrid w:val="0"/>
                    <w:jc w:val="center"/>
                    <w:rPr>
                      <w:color w:val="auto"/>
                      <w:szCs w:val="21"/>
                    </w:rPr>
                  </w:pPr>
                  <w:r>
                    <w:rPr>
                      <w:rFonts w:hint="eastAsia"/>
                      <w:color w:val="auto"/>
                      <w:szCs w:val="21"/>
                    </w:rPr>
                    <w:t>11.67</w:t>
                  </w:r>
                </w:p>
              </w:tc>
              <w:tc>
                <w:tcPr>
                  <w:tcW w:w="1007" w:type="dxa"/>
                  <w:vAlign w:val="center"/>
                </w:tcPr>
                <w:p w14:paraId="6B969716">
                  <w:pPr>
                    <w:autoSpaceDE w:val="0"/>
                    <w:autoSpaceDN w:val="0"/>
                    <w:adjustRightInd w:val="0"/>
                    <w:snapToGrid w:val="0"/>
                    <w:jc w:val="center"/>
                    <w:rPr>
                      <w:color w:val="auto"/>
                      <w:szCs w:val="21"/>
                    </w:rPr>
                  </w:pPr>
                  <w:r>
                    <w:rPr>
                      <w:color w:val="auto"/>
                      <w:szCs w:val="21"/>
                    </w:rPr>
                    <w:t>达标</w:t>
                  </w:r>
                </w:p>
              </w:tc>
            </w:tr>
            <w:tr w14:paraId="612DCEE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70" w:type="dxa"/>
                  <w:vAlign w:val="center"/>
                </w:tcPr>
                <w:p w14:paraId="548091B4">
                  <w:pPr>
                    <w:autoSpaceDE w:val="0"/>
                    <w:autoSpaceDN w:val="0"/>
                    <w:adjustRightInd w:val="0"/>
                    <w:snapToGrid w:val="0"/>
                    <w:jc w:val="center"/>
                    <w:rPr>
                      <w:color w:val="auto"/>
                      <w:szCs w:val="21"/>
                    </w:rPr>
                  </w:pPr>
                  <w:r>
                    <w:rPr>
                      <w:color w:val="auto"/>
                      <w:szCs w:val="21"/>
                    </w:rPr>
                    <w:t>NO</w:t>
                  </w:r>
                  <w:r>
                    <w:rPr>
                      <w:color w:val="auto"/>
                      <w:szCs w:val="21"/>
                      <w:vertAlign w:val="subscript"/>
                    </w:rPr>
                    <w:t>2</w:t>
                  </w:r>
                </w:p>
              </w:tc>
              <w:tc>
                <w:tcPr>
                  <w:tcW w:w="2426" w:type="dxa"/>
                  <w:vAlign w:val="center"/>
                </w:tcPr>
                <w:p w14:paraId="746F14EE">
                  <w:pPr>
                    <w:kinsoku w:val="0"/>
                    <w:overflowPunct w:val="0"/>
                    <w:autoSpaceDE w:val="0"/>
                    <w:autoSpaceDN w:val="0"/>
                    <w:adjustRightInd w:val="0"/>
                    <w:snapToGrid w:val="0"/>
                    <w:jc w:val="center"/>
                    <w:rPr>
                      <w:color w:val="auto"/>
                      <w:szCs w:val="21"/>
                    </w:rPr>
                  </w:pPr>
                  <w:r>
                    <w:rPr>
                      <w:color w:val="auto"/>
                      <w:szCs w:val="21"/>
                    </w:rPr>
                    <w:t>年平均质量浓度</w:t>
                  </w:r>
                </w:p>
              </w:tc>
              <w:tc>
                <w:tcPr>
                  <w:tcW w:w="1334" w:type="dxa"/>
                  <w:vAlign w:val="center"/>
                </w:tcPr>
                <w:p w14:paraId="6329E685">
                  <w:pPr>
                    <w:autoSpaceDE w:val="0"/>
                    <w:autoSpaceDN w:val="0"/>
                    <w:adjustRightInd w:val="0"/>
                    <w:snapToGrid w:val="0"/>
                    <w:jc w:val="center"/>
                    <w:rPr>
                      <w:color w:val="auto"/>
                      <w:szCs w:val="21"/>
                    </w:rPr>
                  </w:pPr>
                  <w:r>
                    <w:rPr>
                      <w:rFonts w:hint="eastAsia"/>
                      <w:color w:val="auto"/>
                      <w:szCs w:val="21"/>
                    </w:rPr>
                    <w:t>26</w:t>
                  </w:r>
                </w:p>
              </w:tc>
              <w:tc>
                <w:tcPr>
                  <w:tcW w:w="1134" w:type="dxa"/>
                  <w:vAlign w:val="center"/>
                </w:tcPr>
                <w:p w14:paraId="4AB54DB5">
                  <w:pPr>
                    <w:autoSpaceDE w:val="0"/>
                    <w:autoSpaceDN w:val="0"/>
                    <w:adjustRightInd w:val="0"/>
                    <w:snapToGrid w:val="0"/>
                    <w:jc w:val="center"/>
                    <w:rPr>
                      <w:color w:val="auto"/>
                      <w:szCs w:val="21"/>
                    </w:rPr>
                  </w:pPr>
                  <w:r>
                    <w:rPr>
                      <w:color w:val="auto"/>
                      <w:szCs w:val="21"/>
                    </w:rPr>
                    <w:t>40</w:t>
                  </w:r>
                </w:p>
              </w:tc>
              <w:tc>
                <w:tcPr>
                  <w:tcW w:w="993" w:type="dxa"/>
                  <w:vAlign w:val="center"/>
                </w:tcPr>
                <w:p w14:paraId="155252E7">
                  <w:pPr>
                    <w:autoSpaceDE w:val="0"/>
                    <w:autoSpaceDN w:val="0"/>
                    <w:adjustRightInd w:val="0"/>
                    <w:snapToGrid w:val="0"/>
                    <w:jc w:val="center"/>
                    <w:rPr>
                      <w:color w:val="auto"/>
                      <w:szCs w:val="21"/>
                    </w:rPr>
                  </w:pPr>
                  <w:r>
                    <w:rPr>
                      <w:rFonts w:hint="eastAsia"/>
                      <w:color w:val="auto"/>
                      <w:szCs w:val="21"/>
                    </w:rPr>
                    <w:t>65</w:t>
                  </w:r>
                </w:p>
              </w:tc>
              <w:tc>
                <w:tcPr>
                  <w:tcW w:w="1007" w:type="dxa"/>
                  <w:vAlign w:val="center"/>
                </w:tcPr>
                <w:p w14:paraId="24DDDFF6">
                  <w:pPr>
                    <w:autoSpaceDE w:val="0"/>
                    <w:autoSpaceDN w:val="0"/>
                    <w:adjustRightInd w:val="0"/>
                    <w:snapToGrid w:val="0"/>
                    <w:jc w:val="center"/>
                    <w:rPr>
                      <w:color w:val="auto"/>
                      <w:szCs w:val="21"/>
                    </w:rPr>
                  </w:pPr>
                  <w:r>
                    <w:rPr>
                      <w:color w:val="auto"/>
                      <w:szCs w:val="21"/>
                    </w:rPr>
                    <w:t>达标</w:t>
                  </w:r>
                </w:p>
              </w:tc>
            </w:tr>
            <w:tr w14:paraId="0CB3E13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70" w:type="dxa"/>
                  <w:vAlign w:val="center"/>
                </w:tcPr>
                <w:p w14:paraId="60830A08">
                  <w:pPr>
                    <w:autoSpaceDE w:val="0"/>
                    <w:autoSpaceDN w:val="0"/>
                    <w:adjustRightInd w:val="0"/>
                    <w:snapToGrid w:val="0"/>
                    <w:jc w:val="center"/>
                    <w:rPr>
                      <w:color w:val="auto"/>
                      <w:szCs w:val="21"/>
                    </w:rPr>
                  </w:pPr>
                  <w:r>
                    <w:rPr>
                      <w:color w:val="auto"/>
                      <w:szCs w:val="21"/>
                    </w:rPr>
                    <w:t>CO</w:t>
                  </w:r>
                </w:p>
              </w:tc>
              <w:tc>
                <w:tcPr>
                  <w:tcW w:w="2426" w:type="dxa"/>
                  <w:vAlign w:val="center"/>
                </w:tcPr>
                <w:p w14:paraId="40E36C31">
                  <w:pPr>
                    <w:kinsoku w:val="0"/>
                    <w:overflowPunct w:val="0"/>
                    <w:autoSpaceDE w:val="0"/>
                    <w:autoSpaceDN w:val="0"/>
                    <w:adjustRightInd w:val="0"/>
                    <w:snapToGrid w:val="0"/>
                    <w:jc w:val="center"/>
                    <w:rPr>
                      <w:color w:val="auto"/>
                      <w:szCs w:val="21"/>
                    </w:rPr>
                  </w:pPr>
                  <w:r>
                    <w:rPr>
                      <w:rFonts w:hint="eastAsia"/>
                      <w:color w:val="auto"/>
                      <w:szCs w:val="21"/>
                    </w:rPr>
                    <w:t>24h日均浓度（第95）百分位数</w:t>
                  </w:r>
                </w:p>
              </w:tc>
              <w:tc>
                <w:tcPr>
                  <w:tcW w:w="1334" w:type="dxa"/>
                  <w:vAlign w:val="center"/>
                </w:tcPr>
                <w:p w14:paraId="3E0820CF">
                  <w:pPr>
                    <w:autoSpaceDE w:val="0"/>
                    <w:autoSpaceDN w:val="0"/>
                    <w:adjustRightInd w:val="0"/>
                    <w:snapToGrid w:val="0"/>
                    <w:jc w:val="center"/>
                    <w:rPr>
                      <w:color w:val="auto"/>
                      <w:szCs w:val="21"/>
                    </w:rPr>
                  </w:pPr>
                  <w:r>
                    <w:rPr>
                      <w:rFonts w:hint="eastAsia"/>
                      <w:color w:val="auto"/>
                      <w:szCs w:val="21"/>
                    </w:rPr>
                    <w:t>1.2</w:t>
                  </w:r>
                  <w:r>
                    <w:rPr>
                      <w:color w:val="auto"/>
                      <w:szCs w:val="21"/>
                    </w:rPr>
                    <w:t>mg/m</w:t>
                  </w:r>
                  <w:r>
                    <w:rPr>
                      <w:color w:val="auto"/>
                      <w:szCs w:val="21"/>
                      <w:vertAlign w:val="superscript"/>
                    </w:rPr>
                    <w:t>3</w:t>
                  </w:r>
                </w:p>
              </w:tc>
              <w:tc>
                <w:tcPr>
                  <w:tcW w:w="1134" w:type="dxa"/>
                  <w:vAlign w:val="center"/>
                </w:tcPr>
                <w:p w14:paraId="3490A950">
                  <w:pPr>
                    <w:autoSpaceDE w:val="0"/>
                    <w:autoSpaceDN w:val="0"/>
                    <w:adjustRightInd w:val="0"/>
                    <w:snapToGrid w:val="0"/>
                    <w:jc w:val="center"/>
                    <w:rPr>
                      <w:color w:val="auto"/>
                      <w:szCs w:val="21"/>
                    </w:rPr>
                  </w:pPr>
                  <w:r>
                    <w:rPr>
                      <w:color w:val="auto"/>
                      <w:szCs w:val="21"/>
                    </w:rPr>
                    <w:t>4mg/m</w:t>
                  </w:r>
                  <w:r>
                    <w:rPr>
                      <w:color w:val="auto"/>
                      <w:szCs w:val="21"/>
                      <w:vertAlign w:val="superscript"/>
                    </w:rPr>
                    <w:t>3</w:t>
                  </w:r>
                </w:p>
              </w:tc>
              <w:tc>
                <w:tcPr>
                  <w:tcW w:w="993" w:type="dxa"/>
                  <w:vAlign w:val="center"/>
                </w:tcPr>
                <w:p w14:paraId="7BC05F1B">
                  <w:pPr>
                    <w:autoSpaceDE w:val="0"/>
                    <w:autoSpaceDN w:val="0"/>
                    <w:adjustRightInd w:val="0"/>
                    <w:snapToGrid w:val="0"/>
                    <w:jc w:val="center"/>
                    <w:rPr>
                      <w:color w:val="auto"/>
                      <w:szCs w:val="21"/>
                    </w:rPr>
                  </w:pPr>
                  <w:r>
                    <w:rPr>
                      <w:rFonts w:hint="eastAsia"/>
                      <w:color w:val="auto"/>
                      <w:szCs w:val="21"/>
                    </w:rPr>
                    <w:t>30</w:t>
                  </w:r>
                </w:p>
              </w:tc>
              <w:tc>
                <w:tcPr>
                  <w:tcW w:w="1007" w:type="dxa"/>
                  <w:vAlign w:val="center"/>
                </w:tcPr>
                <w:p w14:paraId="26D2EC63">
                  <w:pPr>
                    <w:autoSpaceDE w:val="0"/>
                    <w:autoSpaceDN w:val="0"/>
                    <w:adjustRightInd w:val="0"/>
                    <w:snapToGrid w:val="0"/>
                    <w:jc w:val="center"/>
                    <w:rPr>
                      <w:color w:val="auto"/>
                      <w:szCs w:val="21"/>
                    </w:rPr>
                  </w:pPr>
                  <w:r>
                    <w:rPr>
                      <w:color w:val="auto"/>
                      <w:szCs w:val="21"/>
                    </w:rPr>
                    <w:t>达标</w:t>
                  </w:r>
                </w:p>
              </w:tc>
            </w:tr>
            <w:tr w14:paraId="40ED1C3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70" w:type="dxa"/>
                  <w:vAlign w:val="center"/>
                </w:tcPr>
                <w:p w14:paraId="105CDC1B">
                  <w:pPr>
                    <w:autoSpaceDE w:val="0"/>
                    <w:autoSpaceDN w:val="0"/>
                    <w:adjustRightInd w:val="0"/>
                    <w:snapToGrid w:val="0"/>
                    <w:jc w:val="center"/>
                    <w:rPr>
                      <w:color w:val="auto"/>
                      <w:szCs w:val="21"/>
                    </w:rPr>
                  </w:pPr>
                  <w:r>
                    <w:rPr>
                      <w:color w:val="auto"/>
                      <w:szCs w:val="21"/>
                    </w:rPr>
                    <w:t>PM</w:t>
                  </w:r>
                  <w:r>
                    <w:rPr>
                      <w:color w:val="auto"/>
                      <w:szCs w:val="21"/>
                      <w:vertAlign w:val="subscript"/>
                    </w:rPr>
                    <w:t>2.5</w:t>
                  </w:r>
                </w:p>
              </w:tc>
              <w:tc>
                <w:tcPr>
                  <w:tcW w:w="2426" w:type="dxa"/>
                  <w:vAlign w:val="center"/>
                </w:tcPr>
                <w:p w14:paraId="0D9E1894">
                  <w:pPr>
                    <w:kinsoku w:val="0"/>
                    <w:overflowPunct w:val="0"/>
                    <w:autoSpaceDE w:val="0"/>
                    <w:autoSpaceDN w:val="0"/>
                    <w:adjustRightInd w:val="0"/>
                    <w:snapToGrid w:val="0"/>
                    <w:jc w:val="center"/>
                    <w:rPr>
                      <w:color w:val="auto"/>
                      <w:szCs w:val="21"/>
                    </w:rPr>
                  </w:pPr>
                  <w:r>
                    <w:rPr>
                      <w:color w:val="auto"/>
                      <w:szCs w:val="21"/>
                    </w:rPr>
                    <w:t>年平均质量浓度</w:t>
                  </w:r>
                </w:p>
              </w:tc>
              <w:tc>
                <w:tcPr>
                  <w:tcW w:w="1334" w:type="dxa"/>
                  <w:vAlign w:val="center"/>
                </w:tcPr>
                <w:p w14:paraId="329D125A">
                  <w:pPr>
                    <w:autoSpaceDE w:val="0"/>
                    <w:autoSpaceDN w:val="0"/>
                    <w:adjustRightInd w:val="0"/>
                    <w:snapToGrid w:val="0"/>
                    <w:jc w:val="center"/>
                    <w:rPr>
                      <w:color w:val="auto"/>
                      <w:szCs w:val="21"/>
                    </w:rPr>
                  </w:pPr>
                  <w:r>
                    <w:rPr>
                      <w:rFonts w:hint="eastAsia"/>
                      <w:color w:val="auto"/>
                      <w:szCs w:val="21"/>
                    </w:rPr>
                    <w:t>33</w:t>
                  </w:r>
                </w:p>
              </w:tc>
              <w:tc>
                <w:tcPr>
                  <w:tcW w:w="1134" w:type="dxa"/>
                  <w:vAlign w:val="center"/>
                </w:tcPr>
                <w:p w14:paraId="6D3F5CDD">
                  <w:pPr>
                    <w:autoSpaceDE w:val="0"/>
                    <w:autoSpaceDN w:val="0"/>
                    <w:adjustRightInd w:val="0"/>
                    <w:snapToGrid w:val="0"/>
                    <w:jc w:val="center"/>
                    <w:rPr>
                      <w:rFonts w:hint="eastAsia" w:eastAsia="宋体"/>
                      <w:color w:val="auto"/>
                      <w:szCs w:val="21"/>
                      <w:lang w:eastAsia="zh-CN"/>
                    </w:rPr>
                  </w:pPr>
                  <w:r>
                    <w:rPr>
                      <w:color w:val="auto"/>
                      <w:szCs w:val="21"/>
                    </w:rPr>
                    <w:t>3</w:t>
                  </w:r>
                  <w:r>
                    <w:rPr>
                      <w:rFonts w:hint="eastAsia"/>
                      <w:color w:val="auto"/>
                      <w:szCs w:val="21"/>
                      <w:lang w:val="en-US" w:eastAsia="zh-CN"/>
                    </w:rPr>
                    <w:t>0</w:t>
                  </w:r>
                </w:p>
              </w:tc>
              <w:tc>
                <w:tcPr>
                  <w:tcW w:w="993" w:type="dxa"/>
                  <w:vAlign w:val="center"/>
                </w:tcPr>
                <w:p w14:paraId="4F836EE1">
                  <w:pPr>
                    <w:autoSpaceDE w:val="0"/>
                    <w:autoSpaceDN w:val="0"/>
                    <w:adjustRightInd w:val="0"/>
                    <w:snapToGrid w:val="0"/>
                    <w:jc w:val="center"/>
                    <w:rPr>
                      <w:rFonts w:hint="default" w:eastAsia="宋体"/>
                      <w:color w:val="auto"/>
                      <w:szCs w:val="21"/>
                      <w:lang w:val="en-US" w:eastAsia="zh-CN"/>
                    </w:rPr>
                  </w:pPr>
                  <w:r>
                    <w:rPr>
                      <w:rFonts w:hint="eastAsia"/>
                      <w:color w:val="auto"/>
                      <w:szCs w:val="21"/>
                      <w:lang w:val="en-US" w:eastAsia="zh-CN"/>
                    </w:rPr>
                    <w:t>110</w:t>
                  </w:r>
                </w:p>
              </w:tc>
              <w:tc>
                <w:tcPr>
                  <w:tcW w:w="1007" w:type="dxa"/>
                  <w:vAlign w:val="center"/>
                </w:tcPr>
                <w:p w14:paraId="36EC91DF">
                  <w:pPr>
                    <w:autoSpaceDE w:val="0"/>
                    <w:autoSpaceDN w:val="0"/>
                    <w:adjustRightInd w:val="0"/>
                    <w:snapToGrid w:val="0"/>
                    <w:jc w:val="center"/>
                    <w:rPr>
                      <w:color w:val="auto"/>
                      <w:szCs w:val="21"/>
                    </w:rPr>
                  </w:pPr>
                  <w:r>
                    <w:rPr>
                      <w:rFonts w:hint="eastAsia"/>
                      <w:color w:val="auto"/>
                      <w:szCs w:val="21"/>
                    </w:rPr>
                    <w:t>不达</w:t>
                  </w:r>
                  <w:r>
                    <w:rPr>
                      <w:color w:val="auto"/>
                      <w:szCs w:val="21"/>
                    </w:rPr>
                    <w:t>标</w:t>
                  </w:r>
                </w:p>
              </w:tc>
            </w:tr>
            <w:tr w14:paraId="09F6A4D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70" w:type="dxa"/>
                  <w:vAlign w:val="center"/>
                </w:tcPr>
                <w:p w14:paraId="7815CDF7">
                  <w:pPr>
                    <w:autoSpaceDE w:val="0"/>
                    <w:autoSpaceDN w:val="0"/>
                    <w:adjustRightInd w:val="0"/>
                    <w:snapToGrid w:val="0"/>
                    <w:jc w:val="center"/>
                    <w:rPr>
                      <w:color w:val="auto"/>
                      <w:szCs w:val="21"/>
                    </w:rPr>
                  </w:pPr>
                  <w:r>
                    <w:rPr>
                      <w:color w:val="auto"/>
                      <w:szCs w:val="21"/>
                    </w:rPr>
                    <w:t>PM</w:t>
                  </w:r>
                  <w:r>
                    <w:rPr>
                      <w:color w:val="auto"/>
                      <w:szCs w:val="21"/>
                      <w:vertAlign w:val="subscript"/>
                    </w:rPr>
                    <w:t>10</w:t>
                  </w:r>
                </w:p>
              </w:tc>
              <w:tc>
                <w:tcPr>
                  <w:tcW w:w="2426" w:type="dxa"/>
                  <w:vAlign w:val="center"/>
                </w:tcPr>
                <w:p w14:paraId="6A85B1B1">
                  <w:pPr>
                    <w:kinsoku w:val="0"/>
                    <w:overflowPunct w:val="0"/>
                    <w:autoSpaceDE w:val="0"/>
                    <w:autoSpaceDN w:val="0"/>
                    <w:adjustRightInd w:val="0"/>
                    <w:snapToGrid w:val="0"/>
                    <w:jc w:val="center"/>
                    <w:rPr>
                      <w:color w:val="auto"/>
                      <w:szCs w:val="21"/>
                    </w:rPr>
                  </w:pPr>
                  <w:r>
                    <w:rPr>
                      <w:color w:val="auto"/>
                      <w:szCs w:val="21"/>
                    </w:rPr>
                    <w:t>年平均质量浓度</w:t>
                  </w:r>
                </w:p>
              </w:tc>
              <w:tc>
                <w:tcPr>
                  <w:tcW w:w="1334" w:type="dxa"/>
                  <w:vAlign w:val="center"/>
                </w:tcPr>
                <w:p w14:paraId="4A17B18B">
                  <w:pPr>
                    <w:autoSpaceDE w:val="0"/>
                    <w:autoSpaceDN w:val="0"/>
                    <w:adjustRightInd w:val="0"/>
                    <w:snapToGrid w:val="0"/>
                    <w:jc w:val="center"/>
                    <w:rPr>
                      <w:color w:val="auto"/>
                      <w:szCs w:val="21"/>
                    </w:rPr>
                  </w:pPr>
                  <w:r>
                    <w:rPr>
                      <w:rFonts w:hint="eastAsia"/>
                      <w:color w:val="auto"/>
                      <w:szCs w:val="21"/>
                    </w:rPr>
                    <w:t>63</w:t>
                  </w:r>
                </w:p>
              </w:tc>
              <w:tc>
                <w:tcPr>
                  <w:tcW w:w="1134" w:type="dxa"/>
                  <w:vAlign w:val="center"/>
                </w:tcPr>
                <w:p w14:paraId="0D1E5259">
                  <w:pPr>
                    <w:autoSpaceDE w:val="0"/>
                    <w:autoSpaceDN w:val="0"/>
                    <w:adjustRightInd w:val="0"/>
                    <w:snapToGrid w:val="0"/>
                    <w:jc w:val="center"/>
                    <w:rPr>
                      <w:color w:val="auto"/>
                      <w:szCs w:val="21"/>
                    </w:rPr>
                  </w:pPr>
                  <w:r>
                    <w:rPr>
                      <w:rFonts w:hint="eastAsia"/>
                      <w:color w:val="auto"/>
                      <w:szCs w:val="21"/>
                      <w:lang w:val="en-US" w:eastAsia="zh-CN"/>
                    </w:rPr>
                    <w:t>6</w:t>
                  </w:r>
                  <w:r>
                    <w:rPr>
                      <w:color w:val="auto"/>
                      <w:szCs w:val="21"/>
                    </w:rPr>
                    <w:t>0</w:t>
                  </w:r>
                </w:p>
              </w:tc>
              <w:tc>
                <w:tcPr>
                  <w:tcW w:w="993" w:type="dxa"/>
                  <w:vAlign w:val="center"/>
                </w:tcPr>
                <w:p w14:paraId="068E5E3D">
                  <w:pPr>
                    <w:autoSpaceDE w:val="0"/>
                    <w:autoSpaceDN w:val="0"/>
                    <w:adjustRightInd w:val="0"/>
                    <w:snapToGrid w:val="0"/>
                    <w:jc w:val="center"/>
                    <w:rPr>
                      <w:rFonts w:hint="default" w:eastAsia="宋体"/>
                      <w:color w:val="auto"/>
                      <w:szCs w:val="21"/>
                      <w:lang w:val="en-US" w:eastAsia="zh-CN"/>
                    </w:rPr>
                  </w:pPr>
                  <w:r>
                    <w:rPr>
                      <w:rFonts w:hint="eastAsia"/>
                      <w:color w:val="auto"/>
                      <w:szCs w:val="21"/>
                      <w:lang w:val="en-US" w:eastAsia="zh-CN"/>
                    </w:rPr>
                    <w:t>105</w:t>
                  </w:r>
                </w:p>
              </w:tc>
              <w:tc>
                <w:tcPr>
                  <w:tcW w:w="1007" w:type="dxa"/>
                  <w:vAlign w:val="center"/>
                </w:tcPr>
                <w:p w14:paraId="56AC3DE0">
                  <w:pPr>
                    <w:autoSpaceDE w:val="0"/>
                    <w:autoSpaceDN w:val="0"/>
                    <w:adjustRightInd w:val="0"/>
                    <w:snapToGrid w:val="0"/>
                    <w:jc w:val="center"/>
                    <w:rPr>
                      <w:color w:val="auto"/>
                      <w:szCs w:val="21"/>
                    </w:rPr>
                  </w:pPr>
                  <w:r>
                    <w:rPr>
                      <w:rFonts w:hint="eastAsia"/>
                      <w:color w:val="auto"/>
                      <w:szCs w:val="21"/>
                    </w:rPr>
                    <w:t>不达</w:t>
                  </w:r>
                  <w:r>
                    <w:rPr>
                      <w:color w:val="auto"/>
                      <w:szCs w:val="21"/>
                    </w:rPr>
                    <w:t>标</w:t>
                  </w:r>
                </w:p>
              </w:tc>
            </w:tr>
            <w:tr w14:paraId="7562515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70" w:type="dxa"/>
                  <w:vAlign w:val="center"/>
                </w:tcPr>
                <w:p w14:paraId="29EA3AD6">
                  <w:pPr>
                    <w:autoSpaceDE w:val="0"/>
                    <w:autoSpaceDN w:val="0"/>
                    <w:adjustRightInd w:val="0"/>
                    <w:snapToGrid w:val="0"/>
                    <w:jc w:val="center"/>
                    <w:rPr>
                      <w:color w:val="auto"/>
                      <w:szCs w:val="21"/>
                    </w:rPr>
                  </w:pPr>
                  <w:r>
                    <w:rPr>
                      <w:color w:val="auto"/>
                      <w:szCs w:val="21"/>
                    </w:rPr>
                    <w:t>O</w:t>
                  </w:r>
                  <w:r>
                    <w:rPr>
                      <w:color w:val="auto"/>
                      <w:szCs w:val="21"/>
                      <w:vertAlign w:val="subscript"/>
                    </w:rPr>
                    <w:t>3</w:t>
                  </w:r>
                </w:p>
              </w:tc>
              <w:tc>
                <w:tcPr>
                  <w:tcW w:w="2426" w:type="dxa"/>
                  <w:vAlign w:val="center"/>
                </w:tcPr>
                <w:p w14:paraId="6EF09D31">
                  <w:pPr>
                    <w:kinsoku w:val="0"/>
                    <w:overflowPunct w:val="0"/>
                    <w:autoSpaceDE w:val="0"/>
                    <w:autoSpaceDN w:val="0"/>
                    <w:adjustRightInd w:val="0"/>
                    <w:snapToGrid w:val="0"/>
                    <w:jc w:val="center"/>
                    <w:rPr>
                      <w:color w:val="auto"/>
                      <w:szCs w:val="21"/>
                    </w:rPr>
                  </w:pPr>
                  <w:r>
                    <w:rPr>
                      <w:rFonts w:hint="eastAsia"/>
                      <w:color w:val="auto"/>
                      <w:szCs w:val="21"/>
                    </w:rPr>
                    <w:t>8h日均浓度（第90）百分位数</w:t>
                  </w:r>
                </w:p>
              </w:tc>
              <w:tc>
                <w:tcPr>
                  <w:tcW w:w="1334" w:type="dxa"/>
                  <w:vAlign w:val="center"/>
                </w:tcPr>
                <w:p w14:paraId="4AE5DC77">
                  <w:pPr>
                    <w:autoSpaceDE w:val="0"/>
                    <w:autoSpaceDN w:val="0"/>
                    <w:adjustRightInd w:val="0"/>
                    <w:snapToGrid w:val="0"/>
                    <w:jc w:val="center"/>
                    <w:rPr>
                      <w:color w:val="auto"/>
                      <w:szCs w:val="21"/>
                    </w:rPr>
                  </w:pPr>
                  <w:r>
                    <w:rPr>
                      <w:rFonts w:hint="eastAsia"/>
                      <w:color w:val="auto"/>
                      <w:szCs w:val="21"/>
                    </w:rPr>
                    <w:t>177</w:t>
                  </w:r>
                </w:p>
              </w:tc>
              <w:tc>
                <w:tcPr>
                  <w:tcW w:w="1134" w:type="dxa"/>
                  <w:vAlign w:val="center"/>
                </w:tcPr>
                <w:p w14:paraId="57B5108E">
                  <w:pPr>
                    <w:autoSpaceDE w:val="0"/>
                    <w:autoSpaceDN w:val="0"/>
                    <w:adjustRightInd w:val="0"/>
                    <w:snapToGrid w:val="0"/>
                    <w:jc w:val="center"/>
                    <w:rPr>
                      <w:color w:val="auto"/>
                      <w:szCs w:val="21"/>
                    </w:rPr>
                  </w:pPr>
                  <w:r>
                    <w:rPr>
                      <w:color w:val="auto"/>
                      <w:szCs w:val="21"/>
                    </w:rPr>
                    <w:t>160</w:t>
                  </w:r>
                </w:p>
              </w:tc>
              <w:tc>
                <w:tcPr>
                  <w:tcW w:w="993" w:type="dxa"/>
                  <w:vAlign w:val="center"/>
                </w:tcPr>
                <w:p w14:paraId="48681A89">
                  <w:pPr>
                    <w:autoSpaceDE w:val="0"/>
                    <w:autoSpaceDN w:val="0"/>
                    <w:adjustRightInd w:val="0"/>
                    <w:snapToGrid w:val="0"/>
                    <w:jc w:val="center"/>
                    <w:rPr>
                      <w:color w:val="auto"/>
                      <w:szCs w:val="21"/>
                    </w:rPr>
                  </w:pPr>
                  <w:r>
                    <w:rPr>
                      <w:rFonts w:hint="eastAsia"/>
                      <w:color w:val="auto"/>
                      <w:szCs w:val="21"/>
                    </w:rPr>
                    <w:t>110.62</w:t>
                  </w:r>
                </w:p>
              </w:tc>
              <w:tc>
                <w:tcPr>
                  <w:tcW w:w="1007" w:type="dxa"/>
                  <w:vAlign w:val="center"/>
                </w:tcPr>
                <w:p w14:paraId="58E501A0">
                  <w:pPr>
                    <w:autoSpaceDE w:val="0"/>
                    <w:autoSpaceDN w:val="0"/>
                    <w:adjustRightInd w:val="0"/>
                    <w:snapToGrid w:val="0"/>
                    <w:jc w:val="center"/>
                    <w:rPr>
                      <w:color w:val="auto"/>
                      <w:szCs w:val="21"/>
                    </w:rPr>
                  </w:pPr>
                  <w:r>
                    <w:rPr>
                      <w:rFonts w:hint="eastAsia"/>
                      <w:color w:val="auto"/>
                      <w:szCs w:val="21"/>
                    </w:rPr>
                    <w:t>不达</w:t>
                  </w:r>
                  <w:r>
                    <w:rPr>
                      <w:color w:val="auto"/>
                      <w:szCs w:val="21"/>
                    </w:rPr>
                    <w:t>标</w:t>
                  </w:r>
                </w:p>
              </w:tc>
            </w:tr>
          </w:tbl>
          <w:p w14:paraId="79D67CB8">
            <w:pPr>
              <w:pStyle w:val="106"/>
              <w:ind w:firstLine="420"/>
              <w:rPr>
                <w:color w:val="auto"/>
                <w:kern w:val="2"/>
                <w:sz w:val="21"/>
                <w:szCs w:val="21"/>
              </w:rPr>
            </w:pPr>
            <w:r>
              <w:rPr>
                <w:color w:val="auto"/>
                <w:kern w:val="2"/>
                <w:sz w:val="21"/>
                <w:szCs w:val="21"/>
              </w:rPr>
              <w:t>由上表分析可知，项目所在区域SO</w:t>
            </w:r>
            <w:r>
              <w:rPr>
                <w:color w:val="auto"/>
                <w:kern w:val="2"/>
                <w:sz w:val="21"/>
                <w:szCs w:val="21"/>
                <w:vertAlign w:val="subscript"/>
              </w:rPr>
              <w:t>2</w:t>
            </w:r>
            <w:r>
              <w:rPr>
                <w:rFonts w:hint="eastAsia"/>
                <w:color w:val="auto"/>
                <w:kern w:val="2"/>
                <w:sz w:val="21"/>
                <w:szCs w:val="21"/>
              </w:rPr>
              <w:t>、</w:t>
            </w:r>
            <w:r>
              <w:rPr>
                <w:color w:val="auto"/>
                <w:kern w:val="2"/>
                <w:sz w:val="21"/>
                <w:szCs w:val="21"/>
              </w:rPr>
              <w:t>NO</w:t>
            </w:r>
            <w:r>
              <w:rPr>
                <w:color w:val="auto"/>
                <w:kern w:val="2"/>
                <w:sz w:val="21"/>
                <w:szCs w:val="21"/>
                <w:vertAlign w:val="subscript"/>
              </w:rPr>
              <w:t>2</w:t>
            </w:r>
            <w:r>
              <w:rPr>
                <w:rFonts w:hint="eastAsia"/>
                <w:color w:val="auto"/>
                <w:kern w:val="2"/>
                <w:sz w:val="21"/>
                <w:szCs w:val="21"/>
              </w:rPr>
              <w:t>、CO</w:t>
            </w:r>
            <w:r>
              <w:rPr>
                <w:color w:val="auto"/>
                <w:kern w:val="2"/>
                <w:sz w:val="21"/>
                <w:szCs w:val="21"/>
              </w:rPr>
              <w:t>年平均质量浓度满足《环境空气质量标准》（</w:t>
            </w:r>
            <w:r>
              <w:rPr>
                <w:rFonts w:hint="eastAsia"/>
                <w:color w:val="auto"/>
                <w:kern w:val="2"/>
                <w:sz w:val="21"/>
                <w:szCs w:val="21"/>
                <w:lang w:eastAsia="zh-CN"/>
              </w:rPr>
              <w:t>GB3095-2026</w:t>
            </w:r>
            <w:r>
              <w:rPr>
                <w:color w:val="auto"/>
                <w:kern w:val="2"/>
                <w:sz w:val="21"/>
                <w:szCs w:val="21"/>
              </w:rPr>
              <w:t>）中</w:t>
            </w:r>
            <w:r>
              <w:rPr>
                <w:rFonts w:hint="eastAsia"/>
                <w:color w:val="auto"/>
                <w:kern w:val="2"/>
                <w:sz w:val="21"/>
                <w:szCs w:val="21"/>
              </w:rPr>
              <w:t>过渡阶段</w:t>
            </w:r>
            <w:r>
              <w:rPr>
                <w:color w:val="auto"/>
                <w:kern w:val="2"/>
                <w:sz w:val="21"/>
                <w:szCs w:val="21"/>
              </w:rPr>
              <w:t>二级标准要求；</w:t>
            </w:r>
            <w:r>
              <w:rPr>
                <w:rFonts w:hint="eastAsia"/>
                <w:color w:val="auto"/>
                <w:kern w:val="2"/>
                <w:sz w:val="21"/>
                <w:szCs w:val="21"/>
              </w:rPr>
              <w:t>P</w:t>
            </w:r>
            <w:r>
              <w:rPr>
                <w:color w:val="auto"/>
                <w:kern w:val="2"/>
                <w:sz w:val="21"/>
                <w:szCs w:val="21"/>
              </w:rPr>
              <w:t>M</w:t>
            </w:r>
            <w:r>
              <w:rPr>
                <w:color w:val="auto"/>
                <w:kern w:val="2"/>
                <w:sz w:val="21"/>
                <w:szCs w:val="21"/>
                <w:vertAlign w:val="subscript"/>
              </w:rPr>
              <w:t>10</w:t>
            </w:r>
            <w:r>
              <w:rPr>
                <w:rFonts w:hint="eastAsia"/>
                <w:color w:val="auto"/>
                <w:kern w:val="2"/>
                <w:sz w:val="21"/>
                <w:szCs w:val="21"/>
              </w:rPr>
              <w:t>、P</w:t>
            </w:r>
            <w:r>
              <w:rPr>
                <w:color w:val="auto"/>
                <w:kern w:val="2"/>
                <w:sz w:val="21"/>
                <w:szCs w:val="21"/>
              </w:rPr>
              <w:t>M</w:t>
            </w:r>
            <w:r>
              <w:rPr>
                <w:color w:val="auto"/>
                <w:kern w:val="2"/>
                <w:sz w:val="21"/>
                <w:szCs w:val="21"/>
                <w:vertAlign w:val="subscript"/>
              </w:rPr>
              <w:t>2.5</w:t>
            </w:r>
            <w:r>
              <w:rPr>
                <w:rFonts w:hint="eastAsia"/>
                <w:color w:val="auto"/>
                <w:kern w:val="2"/>
                <w:sz w:val="21"/>
                <w:szCs w:val="21"/>
              </w:rPr>
              <w:t>、O</w:t>
            </w:r>
            <w:r>
              <w:rPr>
                <w:rFonts w:hint="eastAsia"/>
                <w:color w:val="auto"/>
                <w:kern w:val="2"/>
                <w:sz w:val="21"/>
                <w:szCs w:val="21"/>
                <w:vertAlign w:val="subscript"/>
              </w:rPr>
              <w:t>3</w:t>
            </w:r>
            <w:r>
              <w:rPr>
                <w:color w:val="auto"/>
                <w:kern w:val="2"/>
                <w:sz w:val="21"/>
                <w:szCs w:val="21"/>
              </w:rPr>
              <w:t>年平均质量浓度超标</w:t>
            </w:r>
            <w:r>
              <w:rPr>
                <w:rFonts w:hint="eastAsia"/>
                <w:color w:val="auto"/>
                <w:kern w:val="2"/>
                <w:sz w:val="21"/>
                <w:szCs w:val="21"/>
              </w:rPr>
              <w:t>，</w:t>
            </w:r>
            <w:r>
              <w:rPr>
                <w:color w:val="auto"/>
                <w:kern w:val="2"/>
                <w:sz w:val="21"/>
                <w:szCs w:val="21"/>
              </w:rPr>
              <w:t>因此本项目所在区域为不达标区。</w:t>
            </w:r>
          </w:p>
          <w:p w14:paraId="08BB2260">
            <w:pPr>
              <w:pStyle w:val="116"/>
              <w:ind w:firstLine="420"/>
              <w:rPr>
                <w:rFonts w:cs="宋体"/>
                <w:color w:val="auto"/>
                <w:kern w:val="0"/>
              </w:rPr>
            </w:pPr>
            <w:r>
              <w:rPr>
                <w:rFonts w:hint="eastAsia" w:cs="宋体"/>
                <w:color w:val="auto"/>
                <w:kern w:val="0"/>
              </w:rPr>
              <w:t>唐山市积极响应中央及河北省《关于深入打好污染防治攻坚战的实施意见》，深化标本兼治，坚决打赢“退后十”攻坚战。常态化开展“清洁唐山”行动，压实扬尘源监管责任、强化治理监督机制，坚持生态优先，狠抓大气污染防治，通过深化工业污染治理、强化协同控制、推动能源清洁化、加快交通污染控制、引领企业创B争A等管控措施，全面改善大气环境，随着各项污染防控措施的落实，本项目所在区域的环境空气质量正在逐步提高。</w:t>
            </w:r>
          </w:p>
          <w:p w14:paraId="19228D89">
            <w:pPr>
              <w:pStyle w:val="119"/>
              <w:rPr>
                <w:rFonts w:cs="宋体"/>
                <w:color w:val="auto"/>
              </w:rPr>
            </w:pPr>
            <w:r>
              <w:rPr>
                <w:rFonts w:hint="eastAsia" w:cs="宋体"/>
                <w:color w:val="auto"/>
              </w:rPr>
              <w:t>1.2 特征污染物环境空气质量现状监测与评价</w:t>
            </w:r>
          </w:p>
          <w:p w14:paraId="6BADA62C">
            <w:pPr>
              <w:pStyle w:val="116"/>
              <w:ind w:firstLine="420"/>
              <w:rPr>
                <w:rFonts w:cs="宋体"/>
                <w:color w:val="auto"/>
              </w:rPr>
            </w:pPr>
            <w:r>
              <w:rPr>
                <w:rFonts w:hint="eastAsia" w:cs="宋体"/>
                <w:color w:val="auto"/>
                <w:kern w:val="0"/>
              </w:rPr>
              <w:t>根据工程分析，本项目环境空气特征污染物为TSP，环境现状数据引用河北蓝润</w:t>
            </w:r>
            <w:r>
              <w:rPr>
                <w:rFonts w:cs="宋体"/>
                <w:color w:val="auto"/>
                <w:kern w:val="0"/>
              </w:rPr>
              <w:t>环境检测有限公司</w:t>
            </w:r>
            <w:r>
              <w:rPr>
                <w:rFonts w:hint="eastAsia" w:cs="宋体"/>
                <w:color w:val="auto"/>
                <w:kern w:val="0"/>
              </w:rPr>
              <w:t>为河北展星医疗器械有限公司</w:t>
            </w:r>
            <w:r>
              <w:rPr>
                <w:rFonts w:cs="宋体"/>
                <w:color w:val="auto"/>
                <w:kern w:val="0"/>
              </w:rPr>
              <w:t>出具的</w:t>
            </w:r>
            <w:r>
              <w:rPr>
                <w:rFonts w:hint="eastAsia" w:cs="宋体"/>
                <w:color w:val="auto"/>
                <w:kern w:val="0"/>
              </w:rPr>
              <w:t>《河北展星医疗器械有限公司环境影响评价监测检测报告》（报告编号：蓝润环检字（2</w:t>
            </w:r>
            <w:r>
              <w:rPr>
                <w:rFonts w:cs="宋体"/>
                <w:color w:val="auto"/>
                <w:kern w:val="0"/>
              </w:rPr>
              <w:t>023</w:t>
            </w:r>
            <w:r>
              <w:rPr>
                <w:rFonts w:hint="eastAsia" w:cs="宋体"/>
                <w:color w:val="auto"/>
                <w:kern w:val="0"/>
              </w:rPr>
              <w:t>）第1</w:t>
            </w:r>
            <w:r>
              <w:rPr>
                <w:rFonts w:cs="宋体"/>
                <w:color w:val="auto"/>
                <w:kern w:val="0"/>
              </w:rPr>
              <w:t>12</w:t>
            </w:r>
            <w:r>
              <w:rPr>
                <w:rFonts w:hint="eastAsia" w:cs="宋体"/>
                <w:color w:val="auto"/>
                <w:kern w:val="0"/>
              </w:rPr>
              <w:t>号）中</w:t>
            </w:r>
            <w:r>
              <w:rPr>
                <w:rFonts w:cs="宋体"/>
                <w:color w:val="auto"/>
                <w:kern w:val="0"/>
              </w:rPr>
              <w:t>的数据，</w:t>
            </w:r>
            <w:r>
              <w:rPr>
                <w:rFonts w:hint="eastAsia" w:cs="宋体"/>
                <w:color w:val="auto"/>
              </w:rPr>
              <w:t>该项目</w:t>
            </w:r>
            <w:r>
              <w:rPr>
                <w:rFonts w:cs="宋体"/>
                <w:color w:val="auto"/>
              </w:rPr>
              <w:t>监测时间为202</w:t>
            </w:r>
            <w:r>
              <w:rPr>
                <w:rFonts w:hint="eastAsia" w:cs="宋体"/>
                <w:color w:val="auto"/>
              </w:rPr>
              <w:t>3</w:t>
            </w:r>
            <w:r>
              <w:rPr>
                <w:rFonts w:cs="宋体"/>
                <w:color w:val="auto"/>
              </w:rPr>
              <w:t>年7月7日至202</w:t>
            </w:r>
            <w:r>
              <w:rPr>
                <w:rFonts w:hint="eastAsia" w:cs="宋体"/>
                <w:color w:val="auto"/>
              </w:rPr>
              <w:t>3</w:t>
            </w:r>
            <w:r>
              <w:rPr>
                <w:rFonts w:cs="宋体"/>
                <w:color w:val="auto"/>
              </w:rPr>
              <w:t>年7月</w:t>
            </w:r>
            <w:r>
              <w:rPr>
                <w:rFonts w:hint="eastAsia" w:cs="宋体"/>
                <w:color w:val="auto"/>
              </w:rPr>
              <w:t>1</w:t>
            </w:r>
            <w:r>
              <w:rPr>
                <w:rFonts w:cs="宋体"/>
                <w:color w:val="auto"/>
              </w:rPr>
              <w:t>0日，</w:t>
            </w:r>
            <w:r>
              <w:rPr>
                <w:rFonts w:hint="eastAsia" w:cs="宋体"/>
                <w:color w:val="auto"/>
              </w:rPr>
              <w:t>监测地点为该公司厂区内，位于本项目东侧2.37km处，监测位置位于本项目周边5km范围内，且监测时间在3年之内，符合《建设项目环境影响报告表编制技术指南（污染影响类）（试行）》中数据有效性的相关规定，可用于本项目的现状评价。</w:t>
            </w:r>
          </w:p>
          <w:p w14:paraId="7E29EB08">
            <w:pPr>
              <w:pStyle w:val="10"/>
              <w:rPr>
                <w:color w:val="auto"/>
              </w:rPr>
            </w:pPr>
            <w:r>
              <w:rPr>
                <w:rFonts w:hint="eastAsia"/>
                <w:color w:val="auto"/>
              </w:rPr>
              <w:t>表3</w:t>
            </w:r>
            <w:r>
              <w:rPr>
                <w:rFonts w:hint="eastAsia"/>
                <w:color w:val="auto"/>
                <w:lang w:eastAsia="zh-CN"/>
              </w:rPr>
              <w:t>-</w:t>
            </w:r>
            <w:r>
              <w:rPr>
                <w:color w:val="auto"/>
              </w:rPr>
              <w:fldChar w:fldCharType="begin"/>
            </w:r>
            <w:r>
              <w:rPr>
                <w:color w:val="auto"/>
              </w:rPr>
              <w:instrText xml:space="preserve"> </w:instrText>
            </w:r>
            <w:r>
              <w:rPr>
                <w:rFonts w:hint="eastAsia"/>
                <w:color w:val="auto"/>
              </w:rPr>
              <w:instrText xml:space="preserve">SEQ 表3- \* ARABIC</w:instrText>
            </w:r>
            <w:r>
              <w:rPr>
                <w:color w:val="auto"/>
              </w:rPr>
              <w:instrText xml:space="preserve"> </w:instrText>
            </w:r>
            <w:r>
              <w:rPr>
                <w:color w:val="auto"/>
              </w:rPr>
              <w:fldChar w:fldCharType="separate"/>
            </w:r>
            <w:r>
              <w:rPr>
                <w:color w:val="auto"/>
              </w:rPr>
              <w:t>3</w:t>
            </w:r>
            <w:r>
              <w:rPr>
                <w:color w:val="auto"/>
              </w:rPr>
              <w:fldChar w:fldCharType="end"/>
            </w:r>
            <w:r>
              <w:rPr>
                <w:rFonts w:hint="eastAsia"/>
                <w:color w:val="auto"/>
              </w:rPr>
              <w:t xml:space="preserve"> 环境空气现状监测点位基本信息</w:t>
            </w:r>
          </w:p>
          <w:tbl>
            <w:tblPr>
              <w:tblStyle w:val="3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22"/>
              <w:gridCol w:w="1097"/>
              <w:gridCol w:w="1822"/>
              <w:gridCol w:w="1644"/>
              <w:gridCol w:w="1479"/>
            </w:tblGrid>
            <w:tr w14:paraId="3398DCC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3" w:type="pct"/>
                  <w:shd w:val="clear" w:color="auto" w:fill="auto"/>
                  <w:vAlign w:val="center"/>
                </w:tcPr>
                <w:p w14:paraId="3E074BD3">
                  <w:pPr>
                    <w:pStyle w:val="121"/>
                    <w:adjustRightIn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Ansi="Times New Roman"/>
                      <w:color w:val="auto"/>
                      <w:sz w:val="21"/>
                      <w:szCs w:val="21"/>
                    </w:rPr>
                    <w:t>监测点名称</w:t>
                  </w:r>
                </w:p>
              </w:tc>
              <w:tc>
                <w:tcPr>
                  <w:tcW w:w="680" w:type="pct"/>
                  <w:shd w:val="clear" w:color="auto" w:fill="auto"/>
                  <w:vAlign w:val="center"/>
                </w:tcPr>
                <w:p w14:paraId="17F2442F">
                  <w:pPr>
                    <w:pStyle w:val="121"/>
                    <w:adjustRightIn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Ansi="Times New Roman"/>
                      <w:color w:val="auto"/>
                      <w:sz w:val="21"/>
                      <w:szCs w:val="21"/>
                    </w:rPr>
                    <w:t>监测因子</w:t>
                  </w:r>
                </w:p>
              </w:tc>
              <w:tc>
                <w:tcPr>
                  <w:tcW w:w="1129" w:type="pct"/>
                  <w:shd w:val="clear" w:color="auto" w:fill="auto"/>
                  <w:vAlign w:val="center"/>
                </w:tcPr>
                <w:p w14:paraId="369DC979">
                  <w:pPr>
                    <w:pStyle w:val="121"/>
                    <w:adjustRightInd w:val="0"/>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hAnsi="Times New Roman"/>
                      <w:color w:val="auto"/>
                      <w:sz w:val="21"/>
                      <w:szCs w:val="21"/>
                    </w:rPr>
                    <w:t>监测时段</w:t>
                  </w:r>
                </w:p>
              </w:tc>
              <w:tc>
                <w:tcPr>
                  <w:tcW w:w="1019" w:type="pct"/>
                  <w:shd w:val="clear" w:color="auto" w:fill="auto"/>
                  <w:vAlign w:val="center"/>
                </w:tcPr>
                <w:p w14:paraId="281E373B">
                  <w:pPr>
                    <w:pStyle w:val="121"/>
                    <w:adjustRightIn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Ansi="Times New Roman"/>
                      <w:color w:val="auto"/>
                      <w:sz w:val="21"/>
                      <w:szCs w:val="21"/>
                    </w:rPr>
                    <w:t>相对厂址方位</w:t>
                  </w:r>
                </w:p>
              </w:tc>
              <w:tc>
                <w:tcPr>
                  <w:tcW w:w="917" w:type="pct"/>
                  <w:shd w:val="clear" w:color="auto" w:fill="auto"/>
                  <w:vAlign w:val="center"/>
                </w:tcPr>
                <w:p w14:paraId="64BE2FB7">
                  <w:pPr>
                    <w:pStyle w:val="121"/>
                    <w:adjustRightIn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Ansi="Times New Roman"/>
                      <w:color w:val="auto"/>
                      <w:sz w:val="21"/>
                      <w:szCs w:val="21"/>
                    </w:rPr>
                    <w:t>相对厂界距离</w:t>
                  </w:r>
                </w:p>
              </w:tc>
            </w:tr>
            <w:tr w14:paraId="5005DD8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3" w:type="pct"/>
                  <w:vAlign w:val="center"/>
                </w:tcPr>
                <w:p w14:paraId="7595C531">
                  <w:pPr>
                    <w:snapToGrid w:val="0"/>
                    <w:jc w:val="center"/>
                    <w:rPr>
                      <w:color w:val="auto"/>
                      <w:szCs w:val="21"/>
                    </w:rPr>
                  </w:pPr>
                  <w:r>
                    <w:rPr>
                      <w:rFonts w:hint="eastAsia"/>
                      <w:color w:val="auto"/>
                      <w:szCs w:val="21"/>
                    </w:rPr>
                    <w:t>河北展星医疗器械有限公司厂区内</w:t>
                  </w:r>
                </w:p>
              </w:tc>
              <w:tc>
                <w:tcPr>
                  <w:tcW w:w="680" w:type="pct"/>
                  <w:vAlign w:val="center"/>
                </w:tcPr>
                <w:p w14:paraId="4FE5059B">
                  <w:pPr>
                    <w:snapToGrid w:val="0"/>
                    <w:jc w:val="center"/>
                    <w:rPr>
                      <w:color w:val="auto"/>
                      <w:szCs w:val="21"/>
                    </w:rPr>
                  </w:pPr>
                  <w:r>
                    <w:rPr>
                      <w:rFonts w:hint="eastAsia"/>
                      <w:color w:val="auto"/>
                      <w:szCs w:val="21"/>
                    </w:rPr>
                    <w:t>TSP</w:t>
                  </w:r>
                </w:p>
              </w:tc>
              <w:tc>
                <w:tcPr>
                  <w:tcW w:w="1129" w:type="pct"/>
                  <w:vAlign w:val="center"/>
                </w:tcPr>
                <w:p w14:paraId="1C2CD3C8">
                  <w:pPr>
                    <w:pStyle w:val="121"/>
                    <w:adjustRightInd w:val="0"/>
                    <w:spacing w:line="240" w:lineRule="auto"/>
                    <w:ind w:firstLine="0" w:firstLineChars="0"/>
                    <w:jc w:val="center"/>
                    <w:rPr>
                      <w:rFonts w:hAnsi="Times New Roman"/>
                      <w:color w:val="auto"/>
                      <w:sz w:val="21"/>
                      <w:szCs w:val="21"/>
                    </w:rPr>
                  </w:pPr>
                  <w:r>
                    <w:rPr>
                      <w:rFonts w:hAnsi="Times New Roman"/>
                      <w:color w:val="auto"/>
                      <w:sz w:val="21"/>
                      <w:szCs w:val="21"/>
                    </w:rPr>
                    <w:t>202</w:t>
                  </w:r>
                  <w:r>
                    <w:rPr>
                      <w:rFonts w:hint="eastAsia" w:hAnsi="Times New Roman"/>
                      <w:color w:val="auto"/>
                      <w:sz w:val="21"/>
                      <w:szCs w:val="21"/>
                    </w:rPr>
                    <w:t>3.</w:t>
                  </w:r>
                  <w:r>
                    <w:rPr>
                      <w:rFonts w:hAnsi="Times New Roman"/>
                      <w:color w:val="auto"/>
                      <w:sz w:val="21"/>
                      <w:szCs w:val="21"/>
                    </w:rPr>
                    <w:t>7</w:t>
                  </w:r>
                  <w:r>
                    <w:rPr>
                      <w:rFonts w:hint="eastAsia" w:hAnsi="Times New Roman"/>
                      <w:color w:val="auto"/>
                      <w:sz w:val="21"/>
                      <w:szCs w:val="21"/>
                    </w:rPr>
                    <w:t>.</w:t>
                  </w:r>
                  <w:r>
                    <w:rPr>
                      <w:rFonts w:hAnsi="Times New Roman"/>
                      <w:color w:val="auto"/>
                      <w:sz w:val="21"/>
                      <w:szCs w:val="21"/>
                    </w:rPr>
                    <w:t>7~202</w:t>
                  </w:r>
                  <w:r>
                    <w:rPr>
                      <w:rFonts w:hint="eastAsia" w:hAnsi="Times New Roman"/>
                      <w:color w:val="auto"/>
                      <w:sz w:val="21"/>
                      <w:szCs w:val="21"/>
                    </w:rPr>
                    <w:t>3.</w:t>
                  </w:r>
                  <w:r>
                    <w:rPr>
                      <w:rFonts w:hAnsi="Times New Roman"/>
                      <w:color w:val="auto"/>
                      <w:sz w:val="21"/>
                      <w:szCs w:val="21"/>
                    </w:rPr>
                    <w:t>7</w:t>
                  </w:r>
                  <w:r>
                    <w:rPr>
                      <w:rFonts w:hint="eastAsia" w:hAnsi="Times New Roman"/>
                      <w:color w:val="auto"/>
                      <w:sz w:val="21"/>
                      <w:szCs w:val="21"/>
                    </w:rPr>
                    <w:t>.</w:t>
                  </w:r>
                  <w:r>
                    <w:rPr>
                      <w:rFonts w:hAnsi="Times New Roman"/>
                      <w:color w:val="auto"/>
                      <w:sz w:val="21"/>
                      <w:szCs w:val="21"/>
                    </w:rPr>
                    <w:t>9</w:t>
                  </w:r>
                </w:p>
              </w:tc>
              <w:tc>
                <w:tcPr>
                  <w:tcW w:w="1019" w:type="pct"/>
                  <w:vAlign w:val="center"/>
                </w:tcPr>
                <w:p w14:paraId="0F532E4C">
                  <w:pPr>
                    <w:jc w:val="center"/>
                    <w:rPr>
                      <w:color w:val="auto"/>
                      <w:szCs w:val="21"/>
                    </w:rPr>
                  </w:pPr>
                  <w:r>
                    <w:rPr>
                      <w:rFonts w:hint="eastAsia"/>
                      <w:color w:val="auto"/>
                      <w:szCs w:val="21"/>
                    </w:rPr>
                    <w:t>E</w:t>
                  </w:r>
                </w:p>
              </w:tc>
              <w:tc>
                <w:tcPr>
                  <w:tcW w:w="917" w:type="pct"/>
                  <w:vAlign w:val="center"/>
                </w:tcPr>
                <w:p w14:paraId="0A4D4967">
                  <w:pPr>
                    <w:jc w:val="center"/>
                    <w:rPr>
                      <w:color w:val="auto"/>
                      <w:szCs w:val="21"/>
                    </w:rPr>
                  </w:pPr>
                  <w:r>
                    <w:rPr>
                      <w:rFonts w:hint="eastAsia"/>
                      <w:color w:val="auto"/>
                      <w:szCs w:val="21"/>
                    </w:rPr>
                    <w:t>2.37km</w:t>
                  </w:r>
                </w:p>
              </w:tc>
            </w:tr>
          </w:tbl>
          <w:p w14:paraId="40E9D959">
            <w:pPr>
              <w:pStyle w:val="10"/>
              <w:spacing w:beforeLines="50"/>
              <w:rPr>
                <w:color w:val="auto"/>
              </w:rPr>
            </w:pPr>
            <w:r>
              <w:rPr>
                <w:rFonts w:hint="eastAsia"/>
                <w:color w:val="auto"/>
              </w:rPr>
              <w:t>表3</w:t>
            </w:r>
            <w:r>
              <w:rPr>
                <w:rFonts w:hint="eastAsia"/>
                <w:color w:val="auto"/>
                <w:lang w:eastAsia="zh-CN"/>
              </w:rPr>
              <w:t>-</w:t>
            </w:r>
            <w:r>
              <w:rPr>
                <w:color w:val="auto"/>
              </w:rPr>
              <w:fldChar w:fldCharType="begin"/>
            </w:r>
            <w:r>
              <w:rPr>
                <w:color w:val="auto"/>
              </w:rPr>
              <w:instrText xml:space="preserve"> </w:instrText>
            </w:r>
            <w:r>
              <w:rPr>
                <w:rFonts w:hint="eastAsia"/>
                <w:color w:val="auto"/>
              </w:rPr>
              <w:instrText xml:space="preserve">SEQ 表3- \* ARABIC</w:instrText>
            </w:r>
            <w:r>
              <w:rPr>
                <w:color w:val="auto"/>
              </w:rPr>
              <w:instrText xml:space="preserve"> </w:instrText>
            </w:r>
            <w:r>
              <w:rPr>
                <w:color w:val="auto"/>
              </w:rPr>
              <w:fldChar w:fldCharType="separate"/>
            </w:r>
            <w:r>
              <w:rPr>
                <w:color w:val="auto"/>
              </w:rPr>
              <w:t>4</w:t>
            </w:r>
            <w:r>
              <w:rPr>
                <w:color w:val="auto"/>
              </w:rPr>
              <w:fldChar w:fldCharType="end"/>
            </w:r>
            <w:r>
              <w:rPr>
                <w:rFonts w:hint="eastAsia"/>
                <w:color w:val="auto"/>
              </w:rPr>
              <w:t xml:space="preserve">  环境空气现状监测结果汇总</w:t>
            </w:r>
          </w:p>
          <w:tbl>
            <w:tblPr>
              <w:tblStyle w:val="33"/>
              <w:tblW w:w="8343" w:type="dxa"/>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559"/>
              <w:gridCol w:w="883"/>
              <w:gridCol w:w="1263"/>
              <w:gridCol w:w="724"/>
              <w:gridCol w:w="866"/>
              <w:gridCol w:w="1153"/>
              <w:gridCol w:w="1215"/>
              <w:gridCol w:w="852"/>
              <w:gridCol w:w="828"/>
            </w:tblGrid>
            <w:tr w14:paraId="3B2960F3">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559" w:type="dxa"/>
                  <w:vAlign w:val="center"/>
                </w:tcPr>
                <w:p w14:paraId="5B4D36D8">
                  <w:pPr>
                    <w:adjustRightInd w:val="0"/>
                    <w:jc w:val="center"/>
                    <w:rPr>
                      <w:color w:val="auto"/>
                      <w:szCs w:val="21"/>
                    </w:rPr>
                  </w:pPr>
                  <w:r>
                    <w:rPr>
                      <w:rFonts w:hint="eastAsia"/>
                      <w:color w:val="auto"/>
                      <w:szCs w:val="21"/>
                    </w:rPr>
                    <w:t>序号</w:t>
                  </w:r>
                </w:p>
              </w:tc>
              <w:tc>
                <w:tcPr>
                  <w:tcW w:w="883" w:type="dxa"/>
                  <w:vAlign w:val="center"/>
                </w:tcPr>
                <w:p w14:paraId="470F55E2">
                  <w:pPr>
                    <w:adjustRightInd w:val="0"/>
                    <w:jc w:val="center"/>
                    <w:rPr>
                      <w:color w:val="auto"/>
                      <w:szCs w:val="21"/>
                    </w:rPr>
                  </w:pPr>
                  <w:r>
                    <w:rPr>
                      <w:rFonts w:hint="eastAsia"/>
                      <w:color w:val="auto"/>
                      <w:szCs w:val="21"/>
                    </w:rPr>
                    <w:t>监测因子</w:t>
                  </w:r>
                </w:p>
              </w:tc>
              <w:tc>
                <w:tcPr>
                  <w:tcW w:w="1263" w:type="dxa"/>
                  <w:vAlign w:val="center"/>
                </w:tcPr>
                <w:p w14:paraId="448C621D">
                  <w:pPr>
                    <w:adjustRightInd w:val="0"/>
                    <w:jc w:val="center"/>
                    <w:rPr>
                      <w:color w:val="auto"/>
                      <w:szCs w:val="21"/>
                    </w:rPr>
                  </w:pPr>
                  <w:r>
                    <w:rPr>
                      <w:rFonts w:hint="eastAsia"/>
                      <w:color w:val="auto"/>
                      <w:szCs w:val="21"/>
                    </w:rPr>
                    <w:t>监测内容</w:t>
                  </w:r>
                </w:p>
              </w:tc>
              <w:tc>
                <w:tcPr>
                  <w:tcW w:w="724" w:type="dxa"/>
                  <w:vAlign w:val="center"/>
                </w:tcPr>
                <w:p w14:paraId="23856A27">
                  <w:pPr>
                    <w:adjustRightInd w:val="0"/>
                    <w:jc w:val="center"/>
                    <w:rPr>
                      <w:color w:val="auto"/>
                      <w:szCs w:val="21"/>
                    </w:rPr>
                  </w:pPr>
                  <w:r>
                    <w:rPr>
                      <w:rFonts w:hint="eastAsia"/>
                      <w:color w:val="auto"/>
                      <w:szCs w:val="21"/>
                    </w:rPr>
                    <w:t>单位</w:t>
                  </w:r>
                </w:p>
              </w:tc>
              <w:tc>
                <w:tcPr>
                  <w:tcW w:w="866" w:type="dxa"/>
                  <w:vAlign w:val="center"/>
                </w:tcPr>
                <w:p w14:paraId="0FC35C21">
                  <w:pPr>
                    <w:adjustRightInd w:val="0"/>
                    <w:jc w:val="center"/>
                    <w:rPr>
                      <w:color w:val="auto"/>
                      <w:szCs w:val="21"/>
                    </w:rPr>
                  </w:pPr>
                  <w:r>
                    <w:rPr>
                      <w:rFonts w:hint="eastAsia"/>
                      <w:color w:val="auto"/>
                      <w:szCs w:val="21"/>
                    </w:rPr>
                    <w:t>评价标准</w:t>
                  </w:r>
                </w:p>
              </w:tc>
              <w:tc>
                <w:tcPr>
                  <w:tcW w:w="1153" w:type="dxa"/>
                  <w:vAlign w:val="center"/>
                </w:tcPr>
                <w:p w14:paraId="197F1C73">
                  <w:pPr>
                    <w:adjustRightInd w:val="0"/>
                    <w:jc w:val="center"/>
                    <w:rPr>
                      <w:color w:val="auto"/>
                      <w:szCs w:val="21"/>
                    </w:rPr>
                  </w:pPr>
                  <w:r>
                    <w:rPr>
                      <w:rFonts w:hint="eastAsia"/>
                      <w:color w:val="auto"/>
                      <w:szCs w:val="21"/>
                    </w:rPr>
                    <w:t>监测结果/浓度范围</w:t>
                  </w:r>
                </w:p>
              </w:tc>
              <w:tc>
                <w:tcPr>
                  <w:tcW w:w="1215" w:type="dxa"/>
                  <w:vAlign w:val="center"/>
                </w:tcPr>
                <w:p w14:paraId="418EB70A">
                  <w:pPr>
                    <w:adjustRightInd w:val="0"/>
                    <w:jc w:val="center"/>
                    <w:rPr>
                      <w:color w:val="auto"/>
                      <w:szCs w:val="21"/>
                    </w:rPr>
                  </w:pPr>
                  <w:r>
                    <w:rPr>
                      <w:rFonts w:hint="eastAsia"/>
                      <w:color w:val="auto"/>
                      <w:szCs w:val="21"/>
                    </w:rPr>
                    <w:t>最大浓度占标率</w:t>
                  </w:r>
                  <w:r>
                    <w:rPr>
                      <w:color w:val="auto"/>
                      <w:szCs w:val="21"/>
                    </w:rPr>
                    <w:t>/%</w:t>
                  </w:r>
                </w:p>
              </w:tc>
              <w:tc>
                <w:tcPr>
                  <w:tcW w:w="852" w:type="dxa"/>
                  <w:vAlign w:val="center"/>
                </w:tcPr>
                <w:p w14:paraId="3098C4B5">
                  <w:pPr>
                    <w:adjustRightInd w:val="0"/>
                    <w:jc w:val="center"/>
                    <w:rPr>
                      <w:color w:val="auto"/>
                      <w:szCs w:val="21"/>
                    </w:rPr>
                  </w:pPr>
                  <w:r>
                    <w:rPr>
                      <w:rFonts w:hint="eastAsia"/>
                      <w:color w:val="auto"/>
                      <w:szCs w:val="21"/>
                    </w:rPr>
                    <w:t>超标率</w:t>
                  </w:r>
                  <w:r>
                    <w:rPr>
                      <w:color w:val="auto"/>
                      <w:szCs w:val="21"/>
                    </w:rPr>
                    <w:t>/%</w:t>
                  </w:r>
                </w:p>
              </w:tc>
              <w:tc>
                <w:tcPr>
                  <w:tcW w:w="828" w:type="dxa"/>
                  <w:vAlign w:val="center"/>
                </w:tcPr>
                <w:p w14:paraId="035F13A2">
                  <w:pPr>
                    <w:adjustRightInd w:val="0"/>
                    <w:jc w:val="center"/>
                    <w:rPr>
                      <w:color w:val="auto"/>
                      <w:szCs w:val="21"/>
                    </w:rPr>
                  </w:pPr>
                  <w:r>
                    <w:rPr>
                      <w:rFonts w:hint="eastAsia"/>
                      <w:color w:val="auto"/>
                      <w:szCs w:val="21"/>
                    </w:rPr>
                    <w:t>达标情况</w:t>
                  </w:r>
                </w:p>
              </w:tc>
            </w:tr>
            <w:tr w14:paraId="5F385133">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4" w:hRule="atLeast"/>
                <w:jc w:val="center"/>
              </w:trPr>
              <w:tc>
                <w:tcPr>
                  <w:tcW w:w="559" w:type="dxa"/>
                  <w:vAlign w:val="center"/>
                </w:tcPr>
                <w:p w14:paraId="23A94737">
                  <w:pPr>
                    <w:pStyle w:val="121"/>
                    <w:adjustRightInd w:val="0"/>
                    <w:spacing w:line="240" w:lineRule="auto"/>
                    <w:ind w:firstLine="0" w:firstLineChars="0"/>
                    <w:jc w:val="center"/>
                    <w:rPr>
                      <w:rFonts w:hAnsi="Times New Roman"/>
                      <w:color w:val="auto"/>
                      <w:sz w:val="21"/>
                      <w:szCs w:val="21"/>
                    </w:rPr>
                  </w:pPr>
                  <w:r>
                    <w:rPr>
                      <w:rFonts w:hint="eastAsia" w:hAnsi="Times New Roman"/>
                      <w:color w:val="auto"/>
                      <w:sz w:val="21"/>
                      <w:szCs w:val="21"/>
                    </w:rPr>
                    <w:t>1</w:t>
                  </w:r>
                </w:p>
              </w:tc>
              <w:tc>
                <w:tcPr>
                  <w:tcW w:w="883" w:type="dxa"/>
                  <w:vAlign w:val="center"/>
                </w:tcPr>
                <w:p w14:paraId="6D443A9B">
                  <w:pPr>
                    <w:jc w:val="center"/>
                    <w:rPr>
                      <w:color w:val="auto"/>
                      <w:szCs w:val="21"/>
                    </w:rPr>
                  </w:pPr>
                  <w:r>
                    <w:rPr>
                      <w:rFonts w:hint="eastAsia"/>
                      <w:color w:val="auto"/>
                      <w:szCs w:val="21"/>
                    </w:rPr>
                    <w:t>TSP</w:t>
                  </w:r>
                </w:p>
              </w:tc>
              <w:tc>
                <w:tcPr>
                  <w:tcW w:w="1263" w:type="dxa"/>
                  <w:vAlign w:val="center"/>
                </w:tcPr>
                <w:p w14:paraId="64D727AD">
                  <w:pPr>
                    <w:adjustRightInd w:val="0"/>
                    <w:jc w:val="center"/>
                    <w:rPr>
                      <w:color w:val="auto"/>
                      <w:szCs w:val="21"/>
                    </w:rPr>
                  </w:pPr>
                  <w:r>
                    <w:rPr>
                      <w:rFonts w:hint="eastAsia"/>
                      <w:color w:val="auto"/>
                      <w:szCs w:val="21"/>
                    </w:rPr>
                    <w:t>24小时平均浓度</w:t>
                  </w:r>
                </w:p>
              </w:tc>
              <w:tc>
                <w:tcPr>
                  <w:tcW w:w="724" w:type="dxa"/>
                  <w:vAlign w:val="center"/>
                </w:tcPr>
                <w:p w14:paraId="3F0210D7">
                  <w:pPr>
                    <w:adjustRightInd w:val="0"/>
                    <w:jc w:val="center"/>
                    <w:rPr>
                      <w:color w:val="auto"/>
                      <w:szCs w:val="21"/>
                    </w:rPr>
                  </w:pPr>
                  <w:r>
                    <w:rPr>
                      <w:color w:val="auto"/>
                      <w:szCs w:val="21"/>
                    </w:rPr>
                    <w:t>μg/m</w:t>
                  </w:r>
                  <w:r>
                    <w:rPr>
                      <w:color w:val="auto"/>
                      <w:szCs w:val="21"/>
                      <w:vertAlign w:val="superscript"/>
                    </w:rPr>
                    <w:t>3</w:t>
                  </w:r>
                </w:p>
              </w:tc>
              <w:tc>
                <w:tcPr>
                  <w:tcW w:w="866" w:type="dxa"/>
                  <w:vAlign w:val="center"/>
                </w:tcPr>
                <w:p w14:paraId="0BDC2212">
                  <w:pPr>
                    <w:adjustRightInd w:val="0"/>
                    <w:jc w:val="center"/>
                    <w:rPr>
                      <w:color w:val="auto"/>
                      <w:szCs w:val="21"/>
                    </w:rPr>
                  </w:pPr>
                  <w:r>
                    <w:rPr>
                      <w:rFonts w:hint="eastAsia"/>
                      <w:color w:val="auto"/>
                      <w:szCs w:val="21"/>
                    </w:rPr>
                    <w:t>300</w:t>
                  </w:r>
                </w:p>
              </w:tc>
              <w:tc>
                <w:tcPr>
                  <w:tcW w:w="1153" w:type="dxa"/>
                  <w:vAlign w:val="center"/>
                </w:tcPr>
                <w:p w14:paraId="1B23204E">
                  <w:pPr>
                    <w:adjustRightInd w:val="0"/>
                    <w:ind w:left="-105" w:leftChars="-50" w:right="-105" w:rightChars="-50"/>
                    <w:jc w:val="center"/>
                    <w:rPr>
                      <w:color w:val="auto"/>
                      <w:szCs w:val="21"/>
                    </w:rPr>
                  </w:pPr>
                  <w:r>
                    <w:rPr>
                      <w:color w:val="auto"/>
                      <w:szCs w:val="21"/>
                    </w:rPr>
                    <w:t>119</w:t>
                  </w:r>
                  <w:r>
                    <w:rPr>
                      <w:rFonts w:hint="eastAsia"/>
                      <w:color w:val="auto"/>
                      <w:szCs w:val="21"/>
                    </w:rPr>
                    <w:t>~</w:t>
                  </w:r>
                  <w:r>
                    <w:rPr>
                      <w:color w:val="auto"/>
                      <w:szCs w:val="21"/>
                    </w:rPr>
                    <w:t>129</w:t>
                  </w:r>
                </w:p>
              </w:tc>
              <w:tc>
                <w:tcPr>
                  <w:tcW w:w="1215" w:type="dxa"/>
                  <w:vAlign w:val="center"/>
                </w:tcPr>
                <w:p w14:paraId="48BEBCA6">
                  <w:pPr>
                    <w:adjustRightInd w:val="0"/>
                    <w:ind w:left="-105" w:leftChars="-50" w:right="-105" w:rightChars="-50"/>
                    <w:jc w:val="center"/>
                    <w:rPr>
                      <w:color w:val="auto"/>
                      <w:szCs w:val="21"/>
                    </w:rPr>
                  </w:pPr>
                  <w:r>
                    <w:rPr>
                      <w:color w:val="auto"/>
                      <w:szCs w:val="21"/>
                    </w:rPr>
                    <w:t>43</w:t>
                  </w:r>
                </w:p>
              </w:tc>
              <w:tc>
                <w:tcPr>
                  <w:tcW w:w="852" w:type="dxa"/>
                  <w:vAlign w:val="center"/>
                </w:tcPr>
                <w:p w14:paraId="31BC776D">
                  <w:pPr>
                    <w:adjustRightInd w:val="0"/>
                    <w:ind w:left="-105" w:leftChars="-50" w:right="-105" w:rightChars="-50"/>
                    <w:jc w:val="center"/>
                    <w:rPr>
                      <w:color w:val="auto"/>
                      <w:szCs w:val="21"/>
                    </w:rPr>
                  </w:pPr>
                  <w:r>
                    <w:rPr>
                      <w:color w:val="auto"/>
                      <w:szCs w:val="21"/>
                    </w:rPr>
                    <w:t>0</w:t>
                  </w:r>
                </w:p>
              </w:tc>
              <w:tc>
                <w:tcPr>
                  <w:tcW w:w="828" w:type="dxa"/>
                  <w:vAlign w:val="center"/>
                </w:tcPr>
                <w:p w14:paraId="6B2FF7BF">
                  <w:pPr>
                    <w:adjustRightInd w:val="0"/>
                    <w:jc w:val="center"/>
                    <w:rPr>
                      <w:color w:val="auto"/>
                      <w:szCs w:val="21"/>
                    </w:rPr>
                  </w:pPr>
                  <w:r>
                    <w:rPr>
                      <w:rFonts w:hint="eastAsia"/>
                      <w:color w:val="auto"/>
                      <w:szCs w:val="21"/>
                    </w:rPr>
                    <w:t>达标</w:t>
                  </w:r>
                </w:p>
              </w:tc>
            </w:tr>
          </w:tbl>
          <w:p w14:paraId="0CFB9C8C">
            <w:pPr>
              <w:pStyle w:val="116"/>
              <w:ind w:firstLine="420"/>
              <w:rPr>
                <w:rFonts w:cs="宋体"/>
                <w:color w:val="auto"/>
              </w:rPr>
            </w:pPr>
            <w:r>
              <w:rPr>
                <w:rFonts w:hint="eastAsia" w:cs="宋体"/>
                <w:color w:val="auto"/>
              </w:rPr>
              <w:t>根据监测结果可知，本项目评价范围内，TSP现状监测浓度满足</w:t>
            </w:r>
            <w:r>
              <w:rPr>
                <w:rFonts w:hint="eastAsia" w:cs="宋体"/>
                <w:color w:val="auto"/>
                <w:kern w:val="0"/>
              </w:rPr>
              <w:t>《环境空气质量标准》（</w:t>
            </w:r>
            <w:r>
              <w:rPr>
                <w:rFonts w:hint="eastAsia" w:cs="宋体"/>
                <w:color w:val="auto"/>
                <w:kern w:val="0"/>
                <w:lang w:eastAsia="zh-CN"/>
              </w:rPr>
              <w:t>GB3095-2026</w:t>
            </w:r>
            <w:r>
              <w:rPr>
                <w:rFonts w:hint="eastAsia" w:cs="宋体"/>
                <w:color w:val="auto"/>
                <w:kern w:val="0"/>
              </w:rPr>
              <w:t>）中过渡阶段二级标准的要求</w:t>
            </w:r>
            <w:r>
              <w:rPr>
                <w:rFonts w:hint="eastAsia" w:cs="宋体"/>
                <w:color w:val="auto"/>
              </w:rPr>
              <w:t>，因此，本项目所在区域环境空气中TSP的环境质量现状达标。</w:t>
            </w:r>
          </w:p>
          <w:p w14:paraId="09A45C79">
            <w:pPr>
              <w:pStyle w:val="122"/>
              <w:rPr>
                <w:color w:val="auto"/>
              </w:rPr>
            </w:pPr>
            <w:r>
              <w:rPr>
                <w:color w:val="auto"/>
              </w:rPr>
              <w:t>2、地表水环境质量现状</w:t>
            </w:r>
          </w:p>
          <w:p w14:paraId="7E1BF02D">
            <w:pPr>
              <w:pStyle w:val="116"/>
              <w:ind w:firstLine="420"/>
              <w:rPr>
                <w:color w:val="auto"/>
              </w:rPr>
            </w:pPr>
            <w:r>
              <w:rPr>
                <w:rFonts w:hint="eastAsia"/>
                <w:color w:val="auto"/>
              </w:rPr>
              <w:t>根据</w:t>
            </w:r>
            <w:r>
              <w:rPr>
                <w:rFonts w:hint="eastAsia"/>
                <w:color w:val="auto"/>
                <w:kern w:val="0"/>
              </w:rPr>
              <w:t>《2024年唐山市生态环境状况公报》</w:t>
            </w:r>
            <w:r>
              <w:rPr>
                <w:rFonts w:hint="eastAsia"/>
                <w:color w:val="auto"/>
              </w:rPr>
              <w:t>可知，2024年全市共有地表水国、省考监测断面14个，其中国考监测断面12个，省考监测断面2个，分别布于滦河4个、还乡河2个、陡河2个、青龙河1个、蓟运河1个、煤河1个、淋河1个、黎河1个、沙河1个，2024年全市国、省考核9条河流、2个湖库的14个断面优良(</w:t>
            </w:r>
            <w:r>
              <w:rPr>
                <w:color w:val="auto"/>
              </w:rPr>
              <w:t>I~Ⅲ</w:t>
            </w:r>
            <w:r>
              <w:rPr>
                <w:rFonts w:hint="eastAsia"/>
                <w:color w:val="auto"/>
              </w:rPr>
              <w:t>)比例为85.71%，完成省达目标要求。</w:t>
            </w:r>
          </w:p>
          <w:p w14:paraId="0975C5B0">
            <w:pPr>
              <w:pStyle w:val="116"/>
              <w:ind w:firstLine="420"/>
              <w:rPr>
                <w:color w:val="auto"/>
              </w:rPr>
            </w:pPr>
            <w:r>
              <w:rPr>
                <w:color w:val="auto"/>
              </w:rPr>
              <w:t>距本项目</w:t>
            </w:r>
            <w:r>
              <w:rPr>
                <w:color w:val="auto"/>
                <w:highlight w:val="none"/>
              </w:rPr>
              <w:t>最近河流为东侧陡河，距离为</w:t>
            </w:r>
            <w:r>
              <w:rPr>
                <w:rFonts w:hint="eastAsia"/>
                <w:color w:val="auto"/>
                <w:highlight w:val="none"/>
              </w:rPr>
              <w:t>4.3</w:t>
            </w:r>
            <w:r>
              <w:rPr>
                <w:color w:val="auto"/>
                <w:highlight w:val="none"/>
              </w:rPr>
              <w:t>km，</w:t>
            </w:r>
            <w:r>
              <w:rPr>
                <w:rFonts w:hint="eastAsia"/>
                <w:snapToGrid w:val="0"/>
                <w:color w:val="auto"/>
                <w:kern w:val="0"/>
                <w:highlight w:val="none"/>
              </w:rPr>
              <w:t>本项目生产</w:t>
            </w:r>
            <w:r>
              <w:rPr>
                <w:rFonts w:hint="eastAsia"/>
                <w:snapToGrid w:val="0"/>
                <w:color w:val="auto"/>
                <w:kern w:val="0"/>
                <w:highlight w:val="none"/>
                <w:lang w:val="en-US" w:eastAsia="zh-CN"/>
              </w:rPr>
              <w:t>冷却水循环使用</w:t>
            </w:r>
            <w:r>
              <w:rPr>
                <w:rFonts w:hint="eastAsia"/>
                <w:snapToGrid w:val="0"/>
                <w:color w:val="auto"/>
                <w:kern w:val="0"/>
                <w:highlight w:val="none"/>
              </w:rPr>
              <w:t>，不新增劳动定员，无生活污水，</w:t>
            </w:r>
            <w:r>
              <w:rPr>
                <w:rFonts w:hint="eastAsia"/>
                <w:snapToGrid w:val="0"/>
                <w:color w:val="auto"/>
                <w:kern w:val="0"/>
                <w:highlight w:val="none"/>
                <w:lang w:eastAsia="zh-CN"/>
              </w:rPr>
              <w:t>无废水外排</w:t>
            </w:r>
            <w:r>
              <w:rPr>
                <w:rFonts w:hint="eastAsia"/>
                <w:snapToGrid w:val="0"/>
                <w:color w:val="auto"/>
                <w:kern w:val="0"/>
                <w:highlight w:val="none"/>
              </w:rPr>
              <w:t>，不</w:t>
            </w:r>
            <w:r>
              <w:rPr>
                <w:rFonts w:hint="eastAsia"/>
                <w:snapToGrid w:val="0"/>
                <w:color w:val="auto"/>
                <w:kern w:val="0"/>
              </w:rPr>
              <w:t>会对周围地表水产生明显的影响。</w:t>
            </w:r>
          </w:p>
          <w:p w14:paraId="75B9D9D4">
            <w:pPr>
              <w:pStyle w:val="122"/>
              <w:rPr>
                <w:color w:val="auto"/>
              </w:rPr>
            </w:pPr>
            <w:r>
              <w:rPr>
                <w:color w:val="auto"/>
              </w:rPr>
              <w:t>3、声环境质量现状</w:t>
            </w:r>
          </w:p>
          <w:p w14:paraId="1384DAA9">
            <w:pPr>
              <w:pStyle w:val="119"/>
              <w:ind w:left="67" w:firstLine="503"/>
              <w:rPr>
                <w:color w:val="auto"/>
              </w:rPr>
            </w:pPr>
            <w:r>
              <w:rPr>
                <w:rFonts w:hint="eastAsia"/>
                <w:color w:val="auto"/>
              </w:rPr>
              <w:t>本项目厂界外周边50m范围内不存在声环境保护目标，无需开展声环境质量现状监测及评价。</w:t>
            </w:r>
          </w:p>
          <w:p w14:paraId="7A6C8222">
            <w:pPr>
              <w:pStyle w:val="122"/>
              <w:rPr>
                <w:color w:val="auto"/>
              </w:rPr>
            </w:pPr>
            <w:r>
              <w:rPr>
                <w:color w:val="auto"/>
              </w:rPr>
              <w:t>4、生态环境</w:t>
            </w:r>
          </w:p>
          <w:p w14:paraId="1948B5DE">
            <w:pPr>
              <w:adjustRightInd w:val="0"/>
              <w:snapToGrid w:val="0"/>
              <w:spacing w:line="360" w:lineRule="auto"/>
              <w:ind w:firstLine="420" w:firstLineChars="200"/>
              <w:rPr>
                <w:color w:val="auto"/>
                <w:szCs w:val="21"/>
              </w:rPr>
            </w:pPr>
            <w:r>
              <w:rPr>
                <w:color w:val="auto"/>
                <w:szCs w:val="21"/>
              </w:rPr>
              <w:t>项目用地范围内无生态环境保护目标，无需进行生态环境现状调查。</w:t>
            </w:r>
          </w:p>
          <w:p w14:paraId="6FB19203">
            <w:pPr>
              <w:pStyle w:val="122"/>
              <w:rPr>
                <w:color w:val="auto"/>
              </w:rPr>
            </w:pPr>
            <w:r>
              <w:rPr>
                <w:color w:val="auto"/>
              </w:rPr>
              <w:t>5、电磁辐射</w:t>
            </w:r>
          </w:p>
          <w:p w14:paraId="2776AF94">
            <w:pPr>
              <w:adjustRightInd w:val="0"/>
              <w:snapToGrid w:val="0"/>
              <w:spacing w:line="360" w:lineRule="auto"/>
              <w:ind w:firstLine="420" w:firstLineChars="200"/>
              <w:rPr>
                <w:color w:val="auto"/>
                <w:szCs w:val="21"/>
              </w:rPr>
            </w:pPr>
            <w:r>
              <w:rPr>
                <w:color w:val="auto"/>
                <w:szCs w:val="21"/>
              </w:rPr>
              <w:t>项目不属于新建或改建、扩建广播电台、差转台、电视塔台、卫星地球上行站、雷达等电磁辐射类项目，无需开展电磁辐射现状监测与评价。</w:t>
            </w:r>
          </w:p>
          <w:p w14:paraId="4BF4CE41">
            <w:pPr>
              <w:pStyle w:val="122"/>
              <w:rPr>
                <w:color w:val="auto"/>
              </w:rPr>
            </w:pPr>
            <w:r>
              <w:rPr>
                <w:color w:val="auto"/>
              </w:rPr>
              <w:t>6、地下水、土壤环境</w:t>
            </w:r>
          </w:p>
          <w:p w14:paraId="74E2BA3F">
            <w:pPr>
              <w:spacing w:line="360" w:lineRule="auto"/>
              <w:ind w:firstLine="420" w:firstLineChars="200"/>
              <w:rPr>
                <w:color w:val="auto"/>
                <w:szCs w:val="21"/>
              </w:rPr>
            </w:pPr>
            <w:r>
              <w:rPr>
                <w:color w:val="auto"/>
                <w:szCs w:val="21"/>
              </w:rPr>
              <w:t>项目厂界外500m范围内不涉及地下水集中式饮用水水源和热水、矿泉水、温泉等特殊地下水资源。项目按相关要求采取</w:t>
            </w:r>
            <w:r>
              <w:rPr>
                <w:rFonts w:hint="eastAsia"/>
                <w:color w:val="auto"/>
                <w:szCs w:val="21"/>
              </w:rPr>
              <w:t>相关</w:t>
            </w:r>
            <w:r>
              <w:rPr>
                <w:color w:val="auto"/>
                <w:szCs w:val="21"/>
              </w:rPr>
              <w:t>防渗措施</w:t>
            </w:r>
            <w:r>
              <w:rPr>
                <w:rFonts w:hint="eastAsia"/>
                <w:color w:val="auto"/>
                <w:szCs w:val="21"/>
              </w:rPr>
              <w:t>后可防止</w:t>
            </w:r>
            <w:r>
              <w:rPr>
                <w:color w:val="auto"/>
                <w:szCs w:val="21"/>
              </w:rPr>
              <w:t>地下水、土壤污染。因此，不需要开展现状监测。</w:t>
            </w:r>
          </w:p>
        </w:tc>
      </w:tr>
      <w:tr w14:paraId="4CADE2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28" w:hRule="atLeast"/>
          <w:jc w:val="center"/>
        </w:trPr>
        <w:tc>
          <w:tcPr>
            <w:tcW w:w="781" w:type="dxa"/>
            <w:noWrap/>
            <w:vAlign w:val="center"/>
          </w:tcPr>
          <w:p w14:paraId="11977773">
            <w:pPr>
              <w:adjustRightInd w:val="0"/>
              <w:snapToGrid w:val="0"/>
              <w:jc w:val="center"/>
              <w:rPr>
                <w:color w:val="auto"/>
                <w:kern w:val="0"/>
                <w:szCs w:val="21"/>
              </w:rPr>
            </w:pPr>
            <w:r>
              <w:rPr>
                <w:color w:val="auto"/>
                <w:kern w:val="0"/>
                <w:szCs w:val="21"/>
              </w:rPr>
              <w:t>环境</w:t>
            </w:r>
          </w:p>
          <w:p w14:paraId="44FE4AAE">
            <w:pPr>
              <w:adjustRightInd w:val="0"/>
              <w:snapToGrid w:val="0"/>
              <w:jc w:val="center"/>
              <w:rPr>
                <w:color w:val="auto"/>
                <w:kern w:val="0"/>
                <w:szCs w:val="21"/>
              </w:rPr>
            </w:pPr>
            <w:r>
              <w:rPr>
                <w:color w:val="auto"/>
                <w:kern w:val="0"/>
                <w:szCs w:val="21"/>
              </w:rPr>
              <w:t>保护</w:t>
            </w:r>
          </w:p>
          <w:p w14:paraId="1D84A4A8">
            <w:pPr>
              <w:adjustRightInd w:val="0"/>
              <w:snapToGrid w:val="0"/>
              <w:jc w:val="center"/>
              <w:rPr>
                <w:color w:val="auto"/>
                <w:kern w:val="0"/>
                <w:szCs w:val="21"/>
              </w:rPr>
            </w:pPr>
            <w:r>
              <w:rPr>
                <w:color w:val="auto"/>
                <w:kern w:val="0"/>
                <w:szCs w:val="21"/>
              </w:rPr>
              <w:t>目标</w:t>
            </w:r>
          </w:p>
        </w:tc>
        <w:tc>
          <w:tcPr>
            <w:tcW w:w="8280" w:type="dxa"/>
            <w:noWrap/>
            <w:vAlign w:val="center"/>
          </w:tcPr>
          <w:p w14:paraId="6725B4AB">
            <w:pPr>
              <w:spacing w:beforeLines="50" w:line="360" w:lineRule="auto"/>
              <w:ind w:firstLine="420" w:firstLineChars="200"/>
              <w:rPr>
                <w:color w:val="auto"/>
                <w:szCs w:val="21"/>
              </w:rPr>
            </w:pPr>
            <w:r>
              <w:rPr>
                <w:color w:val="auto"/>
                <w:szCs w:val="21"/>
              </w:rPr>
              <w:t>本项目</w:t>
            </w:r>
            <w:r>
              <w:rPr>
                <w:rFonts w:hint="eastAsia"/>
                <w:color w:val="auto"/>
                <w:szCs w:val="21"/>
              </w:rPr>
              <w:t>位于</w:t>
            </w:r>
            <w:r>
              <w:rPr>
                <w:rFonts w:hint="eastAsia"/>
                <w:color w:val="auto"/>
                <w:kern w:val="0"/>
                <w:szCs w:val="21"/>
              </w:rPr>
              <w:t>唐山市高新区学院北路1700号，</w:t>
            </w:r>
            <w:r>
              <w:rPr>
                <w:rFonts w:hint="eastAsia"/>
                <w:color w:val="auto"/>
                <w:szCs w:val="21"/>
              </w:rPr>
              <w:t>中冶重工（唐山）有限公司</w:t>
            </w:r>
            <w:r>
              <w:rPr>
                <w:rFonts w:hint="eastAsia"/>
                <w:color w:val="auto"/>
                <w:kern w:val="0"/>
                <w:szCs w:val="21"/>
              </w:rPr>
              <w:t>现有厂房，</w:t>
            </w:r>
            <w:r>
              <w:rPr>
                <w:color w:val="auto"/>
                <w:szCs w:val="21"/>
              </w:rPr>
              <w:t>周边无自然保护区、风景名胜区、世界文化和自然遗产地、饮用水水源保护区；项目所在地不属于基本农田保护区、基本草原、森林公园、地质公园、重要湿地、天然林、珍惜濒危野生动植物天然集中分布区、重要水生生物的自然产卵场及索饵场、越冬场和洄游通道、天然渔场、资源性缺水地区、水土流失重点防治区、沙化土地封禁保护区、封闭及半封闭海域、富营养化水域；周边无文物保护单位。</w:t>
            </w:r>
          </w:p>
          <w:p w14:paraId="79A05AEB">
            <w:pPr>
              <w:adjustRightInd w:val="0"/>
              <w:snapToGrid w:val="0"/>
              <w:spacing w:line="360" w:lineRule="auto"/>
              <w:ind w:firstLine="420" w:firstLineChars="200"/>
              <w:rPr>
                <w:color w:val="auto"/>
                <w:szCs w:val="21"/>
              </w:rPr>
            </w:pPr>
            <w:r>
              <w:rPr>
                <w:rFonts w:hint="eastAsia"/>
                <w:color w:val="auto"/>
                <w:szCs w:val="21"/>
              </w:rPr>
              <w:t>1、大气环境保护目标：本项目厂界外500米范围内</w:t>
            </w:r>
            <w:r>
              <w:rPr>
                <w:rFonts w:hint="eastAsia"/>
                <w:color w:val="auto"/>
              </w:rPr>
              <w:t>有</w:t>
            </w:r>
            <w:r>
              <w:rPr>
                <w:rFonts w:hint="eastAsia"/>
                <w:color w:val="auto"/>
                <w:szCs w:val="21"/>
              </w:rPr>
              <w:t>唐山仁爱手外科医院、清科园小区</w:t>
            </w:r>
            <w:r>
              <w:rPr>
                <w:rFonts w:hint="eastAsia"/>
                <w:color w:val="auto"/>
                <w:szCs w:val="21"/>
                <w:lang w:eastAsia="zh-CN"/>
              </w:rPr>
              <w:t>（</w:t>
            </w:r>
            <w:r>
              <w:rPr>
                <w:rFonts w:hint="eastAsia"/>
                <w:color w:val="auto"/>
                <w:szCs w:val="21"/>
                <w:lang w:val="en-US" w:eastAsia="zh-CN"/>
              </w:rPr>
              <w:t>商住一体</w:t>
            </w:r>
            <w:r>
              <w:rPr>
                <w:rFonts w:hint="eastAsia"/>
                <w:color w:val="auto"/>
                <w:szCs w:val="21"/>
                <w:lang w:eastAsia="zh-CN"/>
              </w:rPr>
              <w:t>）</w:t>
            </w:r>
            <w:r>
              <w:rPr>
                <w:rFonts w:hint="eastAsia"/>
                <w:color w:val="auto"/>
                <w:szCs w:val="21"/>
              </w:rPr>
              <w:t>；</w:t>
            </w:r>
          </w:p>
          <w:p w14:paraId="0F92F814">
            <w:pPr>
              <w:adjustRightInd w:val="0"/>
              <w:snapToGrid w:val="0"/>
              <w:spacing w:line="360" w:lineRule="auto"/>
              <w:ind w:firstLine="420" w:firstLineChars="200"/>
              <w:rPr>
                <w:color w:val="auto"/>
                <w:szCs w:val="21"/>
              </w:rPr>
            </w:pPr>
            <w:r>
              <w:rPr>
                <w:rFonts w:hint="eastAsia"/>
                <w:color w:val="auto"/>
                <w:szCs w:val="21"/>
              </w:rPr>
              <w:t>2、声环境保护目标：</w:t>
            </w:r>
            <w:r>
              <w:rPr>
                <w:rFonts w:hint="eastAsia"/>
                <w:color w:val="auto"/>
              </w:rPr>
              <w:t>本项目</w:t>
            </w:r>
            <w:r>
              <w:rPr>
                <w:color w:val="auto"/>
              </w:rPr>
              <w:t>50m范围内</w:t>
            </w:r>
            <w:r>
              <w:rPr>
                <w:rFonts w:hint="eastAsia"/>
                <w:color w:val="auto"/>
              </w:rPr>
              <w:t>不存在声环境保护目标</w:t>
            </w:r>
            <w:r>
              <w:rPr>
                <w:rFonts w:hint="eastAsia"/>
                <w:color w:val="auto"/>
                <w:szCs w:val="21"/>
              </w:rPr>
              <w:t>。</w:t>
            </w:r>
          </w:p>
          <w:p w14:paraId="62C02780">
            <w:pPr>
              <w:adjustRightInd w:val="0"/>
              <w:snapToGrid w:val="0"/>
              <w:spacing w:line="360" w:lineRule="auto"/>
              <w:ind w:firstLine="420" w:firstLineChars="200"/>
              <w:rPr>
                <w:color w:val="auto"/>
                <w:szCs w:val="21"/>
              </w:rPr>
            </w:pPr>
            <w:r>
              <w:rPr>
                <w:rFonts w:hint="eastAsia"/>
                <w:color w:val="auto"/>
                <w:szCs w:val="21"/>
              </w:rPr>
              <w:t>3、地下水环境保护目标：经调查，本项目</w:t>
            </w:r>
            <w:r>
              <w:rPr>
                <w:color w:val="auto"/>
                <w:szCs w:val="21"/>
              </w:rPr>
              <w:t>不在水源保护区内，且不在水源保护区的补给径流区</w:t>
            </w:r>
            <w:r>
              <w:rPr>
                <w:rFonts w:hint="eastAsia"/>
                <w:color w:val="auto"/>
                <w:szCs w:val="21"/>
              </w:rPr>
              <w:t>，</w:t>
            </w:r>
            <w:r>
              <w:rPr>
                <w:color w:val="auto"/>
                <w:szCs w:val="21"/>
              </w:rPr>
              <w:t>亦非准保护区和准保护区以外的补给径流区</w:t>
            </w:r>
            <w:r>
              <w:rPr>
                <w:rFonts w:hint="eastAsia"/>
                <w:color w:val="auto"/>
                <w:szCs w:val="21"/>
              </w:rPr>
              <w:t>。厂界外500米范围内无地下水集中式饮用水水源和热水、矿泉水、温泉等特殊地下水资源。</w:t>
            </w:r>
            <w:r>
              <w:rPr>
                <w:color w:val="auto"/>
                <w:szCs w:val="21"/>
              </w:rPr>
              <w:t>周边无分散式居民饮用水水源地，无其他未列入敏感分级的环境敏感区。</w:t>
            </w:r>
          </w:p>
          <w:p w14:paraId="0BFC3548">
            <w:pPr>
              <w:pStyle w:val="10"/>
              <w:rPr>
                <w:color w:val="auto"/>
              </w:rPr>
            </w:pPr>
            <w:r>
              <w:rPr>
                <w:rFonts w:hint="eastAsia"/>
                <w:color w:val="auto"/>
              </w:rPr>
              <w:t>表3</w:t>
            </w:r>
            <w:r>
              <w:rPr>
                <w:rFonts w:hint="eastAsia"/>
                <w:color w:val="auto"/>
                <w:lang w:eastAsia="zh-CN"/>
              </w:rPr>
              <w:t>-</w:t>
            </w:r>
            <w:r>
              <w:rPr>
                <w:color w:val="auto"/>
              </w:rPr>
              <w:fldChar w:fldCharType="begin"/>
            </w:r>
            <w:r>
              <w:rPr>
                <w:color w:val="auto"/>
              </w:rPr>
              <w:instrText xml:space="preserve"> </w:instrText>
            </w:r>
            <w:r>
              <w:rPr>
                <w:rFonts w:hint="eastAsia"/>
                <w:color w:val="auto"/>
              </w:rPr>
              <w:instrText xml:space="preserve">SEQ 表3- \* ARABIC</w:instrText>
            </w:r>
            <w:r>
              <w:rPr>
                <w:color w:val="auto"/>
              </w:rPr>
              <w:instrText xml:space="preserve"> </w:instrText>
            </w:r>
            <w:r>
              <w:rPr>
                <w:color w:val="auto"/>
              </w:rPr>
              <w:fldChar w:fldCharType="separate"/>
            </w:r>
            <w:r>
              <w:rPr>
                <w:color w:val="auto"/>
              </w:rPr>
              <w:t>5</w:t>
            </w:r>
            <w:r>
              <w:rPr>
                <w:color w:val="auto"/>
              </w:rPr>
              <w:fldChar w:fldCharType="end"/>
            </w:r>
            <w:r>
              <w:rPr>
                <w:bCs/>
                <w:color w:val="auto"/>
                <w:szCs w:val="21"/>
              </w:rPr>
              <w:t>主要环境保护目标一览表</w:t>
            </w:r>
          </w:p>
          <w:tbl>
            <w:tblPr>
              <w:tblStyle w:val="33"/>
              <w:tblW w:w="4996"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744"/>
              <w:gridCol w:w="1089"/>
              <w:gridCol w:w="1442"/>
              <w:gridCol w:w="684"/>
              <w:gridCol w:w="743"/>
              <w:gridCol w:w="1837"/>
              <w:gridCol w:w="697"/>
              <w:gridCol w:w="822"/>
            </w:tblGrid>
            <w:tr w14:paraId="7D97905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trPr>
              <w:tc>
                <w:tcPr>
                  <w:tcW w:w="462" w:type="pct"/>
                  <w:noWrap/>
                  <w:vAlign w:val="center"/>
                </w:tcPr>
                <w:p w14:paraId="493C7C75">
                  <w:pPr>
                    <w:snapToGrid w:val="0"/>
                    <w:spacing w:line="240" w:lineRule="auto"/>
                    <w:jc w:val="center"/>
                    <w:rPr>
                      <w:bCs/>
                      <w:color w:val="auto"/>
                      <w:sz w:val="18"/>
                      <w:szCs w:val="18"/>
                    </w:rPr>
                  </w:pPr>
                  <w:r>
                    <w:rPr>
                      <w:bCs/>
                      <w:color w:val="auto"/>
                      <w:sz w:val="18"/>
                      <w:szCs w:val="18"/>
                    </w:rPr>
                    <w:t>环境要素</w:t>
                  </w:r>
                </w:p>
              </w:tc>
              <w:tc>
                <w:tcPr>
                  <w:tcW w:w="675" w:type="pct"/>
                  <w:noWrap/>
                  <w:vAlign w:val="center"/>
                </w:tcPr>
                <w:p w14:paraId="25287873">
                  <w:pPr>
                    <w:snapToGrid w:val="0"/>
                    <w:spacing w:line="240" w:lineRule="auto"/>
                    <w:jc w:val="center"/>
                    <w:rPr>
                      <w:bCs/>
                      <w:color w:val="auto"/>
                      <w:sz w:val="18"/>
                      <w:szCs w:val="18"/>
                    </w:rPr>
                  </w:pPr>
                  <w:r>
                    <w:rPr>
                      <w:bCs/>
                      <w:color w:val="auto"/>
                      <w:sz w:val="18"/>
                      <w:szCs w:val="18"/>
                    </w:rPr>
                    <w:t>保护目标名称</w:t>
                  </w:r>
                </w:p>
              </w:tc>
              <w:tc>
                <w:tcPr>
                  <w:tcW w:w="894" w:type="pct"/>
                  <w:vAlign w:val="center"/>
                </w:tcPr>
                <w:p w14:paraId="2EA293A4">
                  <w:pPr>
                    <w:snapToGrid w:val="0"/>
                    <w:spacing w:line="240" w:lineRule="auto"/>
                    <w:jc w:val="center"/>
                    <w:rPr>
                      <w:bCs/>
                      <w:color w:val="auto"/>
                      <w:sz w:val="18"/>
                      <w:szCs w:val="18"/>
                    </w:rPr>
                  </w:pPr>
                  <w:r>
                    <w:rPr>
                      <w:bCs/>
                      <w:color w:val="auto"/>
                      <w:sz w:val="18"/>
                      <w:szCs w:val="18"/>
                    </w:rPr>
                    <w:t>坐标</w:t>
                  </w:r>
                </w:p>
              </w:tc>
              <w:tc>
                <w:tcPr>
                  <w:tcW w:w="424" w:type="pct"/>
                  <w:noWrap/>
                  <w:vAlign w:val="center"/>
                </w:tcPr>
                <w:p w14:paraId="05F0CB03">
                  <w:pPr>
                    <w:snapToGrid w:val="0"/>
                    <w:spacing w:line="240" w:lineRule="auto"/>
                    <w:jc w:val="center"/>
                    <w:rPr>
                      <w:bCs/>
                      <w:color w:val="auto"/>
                      <w:sz w:val="18"/>
                      <w:szCs w:val="18"/>
                    </w:rPr>
                  </w:pPr>
                  <w:r>
                    <w:rPr>
                      <w:bCs/>
                      <w:color w:val="auto"/>
                      <w:sz w:val="18"/>
                      <w:szCs w:val="18"/>
                    </w:rPr>
                    <w:t>保护对象</w:t>
                  </w:r>
                </w:p>
              </w:tc>
              <w:tc>
                <w:tcPr>
                  <w:tcW w:w="461" w:type="pct"/>
                  <w:noWrap/>
                  <w:vAlign w:val="center"/>
                </w:tcPr>
                <w:p w14:paraId="21DAF890">
                  <w:pPr>
                    <w:snapToGrid w:val="0"/>
                    <w:spacing w:line="240" w:lineRule="auto"/>
                    <w:jc w:val="center"/>
                    <w:rPr>
                      <w:bCs/>
                      <w:color w:val="auto"/>
                      <w:sz w:val="18"/>
                      <w:szCs w:val="18"/>
                    </w:rPr>
                  </w:pPr>
                  <w:r>
                    <w:rPr>
                      <w:rFonts w:hint="eastAsia"/>
                      <w:bCs/>
                      <w:color w:val="auto"/>
                      <w:sz w:val="18"/>
                      <w:szCs w:val="18"/>
                    </w:rPr>
                    <w:t>人口规模（人）</w:t>
                  </w:r>
                </w:p>
              </w:tc>
              <w:tc>
                <w:tcPr>
                  <w:tcW w:w="1139" w:type="pct"/>
                  <w:noWrap/>
                  <w:vAlign w:val="center"/>
                </w:tcPr>
                <w:p w14:paraId="6D9EC511">
                  <w:pPr>
                    <w:snapToGrid w:val="0"/>
                    <w:spacing w:line="240" w:lineRule="auto"/>
                    <w:jc w:val="center"/>
                    <w:rPr>
                      <w:bCs/>
                      <w:color w:val="auto"/>
                      <w:sz w:val="18"/>
                      <w:szCs w:val="18"/>
                    </w:rPr>
                  </w:pPr>
                  <w:r>
                    <w:rPr>
                      <w:bCs/>
                      <w:color w:val="auto"/>
                      <w:sz w:val="18"/>
                      <w:szCs w:val="18"/>
                    </w:rPr>
                    <w:t>环境功能区</w:t>
                  </w:r>
                </w:p>
              </w:tc>
              <w:tc>
                <w:tcPr>
                  <w:tcW w:w="432" w:type="pct"/>
                  <w:noWrap/>
                  <w:vAlign w:val="center"/>
                </w:tcPr>
                <w:p w14:paraId="1E1BB27C">
                  <w:pPr>
                    <w:snapToGrid w:val="0"/>
                    <w:spacing w:line="240" w:lineRule="auto"/>
                    <w:jc w:val="center"/>
                    <w:rPr>
                      <w:bCs/>
                      <w:color w:val="auto"/>
                      <w:sz w:val="18"/>
                      <w:szCs w:val="18"/>
                    </w:rPr>
                  </w:pPr>
                  <w:r>
                    <w:rPr>
                      <w:bCs/>
                      <w:color w:val="auto"/>
                      <w:sz w:val="18"/>
                      <w:szCs w:val="18"/>
                    </w:rPr>
                    <w:t>相对厂址方位</w:t>
                  </w:r>
                </w:p>
              </w:tc>
              <w:tc>
                <w:tcPr>
                  <w:tcW w:w="510" w:type="pct"/>
                  <w:noWrap/>
                  <w:vAlign w:val="center"/>
                </w:tcPr>
                <w:p w14:paraId="470BDC5B">
                  <w:pPr>
                    <w:snapToGrid w:val="0"/>
                    <w:spacing w:line="240" w:lineRule="auto"/>
                    <w:jc w:val="center"/>
                    <w:rPr>
                      <w:bCs/>
                      <w:color w:val="auto"/>
                      <w:sz w:val="18"/>
                      <w:szCs w:val="18"/>
                    </w:rPr>
                  </w:pPr>
                  <w:r>
                    <w:rPr>
                      <w:bCs/>
                      <w:color w:val="auto"/>
                      <w:sz w:val="18"/>
                      <w:szCs w:val="18"/>
                    </w:rPr>
                    <w:t>相对厂界距离</w:t>
                  </w:r>
                  <w:r>
                    <w:rPr>
                      <w:bCs/>
                      <w:color w:val="auto"/>
                      <w:sz w:val="18"/>
                      <w:szCs w:val="18"/>
                    </w:rPr>
                    <w:cr/>
                  </w:r>
                  <w:r>
                    <w:rPr>
                      <w:bCs/>
                      <w:color w:val="auto"/>
                      <w:sz w:val="18"/>
                      <w:szCs w:val="18"/>
                    </w:rPr>
                    <w:t>m</w:t>
                  </w:r>
                </w:p>
              </w:tc>
            </w:tr>
            <w:tr w14:paraId="60E190C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15" w:hRule="atLeast"/>
              </w:trPr>
              <w:tc>
                <w:tcPr>
                  <w:tcW w:w="462" w:type="pct"/>
                  <w:vMerge w:val="restart"/>
                  <w:noWrap/>
                  <w:vAlign w:val="center"/>
                </w:tcPr>
                <w:p w14:paraId="4A769AD4">
                  <w:pPr>
                    <w:snapToGrid w:val="0"/>
                    <w:spacing w:line="240" w:lineRule="auto"/>
                    <w:jc w:val="center"/>
                    <w:rPr>
                      <w:color w:val="auto"/>
                      <w:sz w:val="18"/>
                      <w:szCs w:val="18"/>
                    </w:rPr>
                  </w:pPr>
                  <w:r>
                    <w:rPr>
                      <w:color w:val="auto"/>
                      <w:sz w:val="18"/>
                      <w:szCs w:val="18"/>
                    </w:rPr>
                    <w:t>大气环境</w:t>
                  </w:r>
                </w:p>
              </w:tc>
              <w:tc>
                <w:tcPr>
                  <w:tcW w:w="675" w:type="pct"/>
                  <w:noWrap/>
                  <w:vAlign w:val="center"/>
                </w:tcPr>
                <w:p w14:paraId="4F395F7C">
                  <w:pPr>
                    <w:spacing w:line="240" w:lineRule="auto"/>
                    <w:jc w:val="center"/>
                    <w:rPr>
                      <w:color w:val="auto"/>
                      <w:sz w:val="18"/>
                      <w:szCs w:val="18"/>
                    </w:rPr>
                  </w:pPr>
                  <w:r>
                    <w:rPr>
                      <w:rFonts w:hint="eastAsia"/>
                      <w:color w:val="auto"/>
                      <w:sz w:val="18"/>
                      <w:szCs w:val="18"/>
                    </w:rPr>
                    <w:t>唐山仁爱手外科医院</w:t>
                  </w:r>
                </w:p>
              </w:tc>
              <w:tc>
                <w:tcPr>
                  <w:tcW w:w="894" w:type="pct"/>
                  <w:vAlign w:val="center"/>
                </w:tcPr>
                <w:p w14:paraId="09CBA174">
                  <w:pPr>
                    <w:snapToGrid w:val="0"/>
                    <w:spacing w:line="240" w:lineRule="auto"/>
                    <w:jc w:val="center"/>
                    <w:rPr>
                      <w:color w:val="auto"/>
                      <w:sz w:val="18"/>
                      <w:szCs w:val="18"/>
                    </w:rPr>
                  </w:pPr>
                  <w:r>
                    <w:rPr>
                      <w:rFonts w:hint="eastAsia"/>
                      <w:color w:val="auto"/>
                      <w:sz w:val="18"/>
                      <w:szCs w:val="18"/>
                    </w:rPr>
                    <w:t>E</w:t>
                  </w:r>
                  <w:r>
                    <w:rPr>
                      <w:color w:val="auto"/>
                      <w:sz w:val="18"/>
                      <w:szCs w:val="18"/>
                    </w:rPr>
                    <w:t>118°</w:t>
                  </w:r>
                  <w:r>
                    <w:rPr>
                      <w:rFonts w:hint="eastAsia"/>
                      <w:color w:val="auto"/>
                      <w:sz w:val="18"/>
                      <w:szCs w:val="18"/>
                    </w:rPr>
                    <w:t>8</w:t>
                  </w:r>
                  <w:r>
                    <w:rPr>
                      <w:color w:val="auto"/>
                      <w:sz w:val="18"/>
                      <w:szCs w:val="18"/>
                    </w:rPr>
                    <w:t>′</w:t>
                  </w:r>
                  <w:r>
                    <w:rPr>
                      <w:rFonts w:hint="eastAsia"/>
                      <w:color w:val="auto"/>
                      <w:sz w:val="18"/>
                      <w:szCs w:val="18"/>
                    </w:rPr>
                    <w:t>49.604</w:t>
                  </w:r>
                  <w:r>
                    <w:rPr>
                      <w:color w:val="auto"/>
                      <w:sz w:val="18"/>
                      <w:szCs w:val="18"/>
                    </w:rPr>
                    <w:t>″</w:t>
                  </w:r>
                  <w:r>
                    <w:rPr>
                      <w:rFonts w:hint="eastAsia"/>
                      <w:color w:val="auto"/>
                      <w:sz w:val="18"/>
                      <w:szCs w:val="18"/>
                    </w:rPr>
                    <w:t>，N</w:t>
                  </w:r>
                  <w:r>
                    <w:rPr>
                      <w:color w:val="auto"/>
                      <w:sz w:val="18"/>
                      <w:szCs w:val="18"/>
                    </w:rPr>
                    <w:t>39°</w:t>
                  </w:r>
                  <w:r>
                    <w:rPr>
                      <w:rFonts w:hint="eastAsia"/>
                      <w:color w:val="auto"/>
                      <w:sz w:val="18"/>
                      <w:szCs w:val="18"/>
                    </w:rPr>
                    <w:t>41</w:t>
                  </w:r>
                  <w:r>
                    <w:rPr>
                      <w:color w:val="auto"/>
                      <w:sz w:val="18"/>
                      <w:szCs w:val="18"/>
                    </w:rPr>
                    <w:t>′</w:t>
                  </w:r>
                  <w:r>
                    <w:rPr>
                      <w:rFonts w:hint="eastAsia"/>
                      <w:color w:val="auto"/>
                      <w:sz w:val="18"/>
                      <w:szCs w:val="18"/>
                    </w:rPr>
                    <w:t>40.896</w:t>
                  </w:r>
                  <w:r>
                    <w:rPr>
                      <w:color w:val="auto"/>
                      <w:sz w:val="18"/>
                      <w:szCs w:val="18"/>
                    </w:rPr>
                    <w:t>″</w:t>
                  </w:r>
                </w:p>
              </w:tc>
              <w:tc>
                <w:tcPr>
                  <w:tcW w:w="424" w:type="pct"/>
                  <w:noWrap/>
                  <w:vAlign w:val="center"/>
                </w:tcPr>
                <w:p w14:paraId="7374ABC3">
                  <w:pPr>
                    <w:snapToGrid w:val="0"/>
                    <w:spacing w:line="240" w:lineRule="auto"/>
                    <w:jc w:val="center"/>
                    <w:rPr>
                      <w:rFonts w:hint="eastAsia" w:eastAsia="宋体"/>
                      <w:color w:val="auto"/>
                      <w:sz w:val="18"/>
                      <w:szCs w:val="18"/>
                      <w:lang w:eastAsia="zh-CN"/>
                    </w:rPr>
                  </w:pPr>
                  <w:r>
                    <w:rPr>
                      <w:rFonts w:hint="eastAsia"/>
                      <w:color w:val="auto"/>
                      <w:sz w:val="18"/>
                      <w:szCs w:val="18"/>
                      <w:lang w:val="en-US" w:eastAsia="zh-CN"/>
                    </w:rPr>
                    <w:t>居民</w:t>
                  </w:r>
                </w:p>
              </w:tc>
              <w:tc>
                <w:tcPr>
                  <w:tcW w:w="461" w:type="pct"/>
                  <w:noWrap/>
                  <w:vAlign w:val="center"/>
                </w:tcPr>
                <w:p w14:paraId="3302FF39">
                  <w:pPr>
                    <w:snapToGrid w:val="0"/>
                    <w:spacing w:line="240" w:lineRule="auto"/>
                    <w:jc w:val="center"/>
                    <w:rPr>
                      <w:color w:val="auto"/>
                      <w:sz w:val="18"/>
                      <w:szCs w:val="18"/>
                    </w:rPr>
                  </w:pPr>
                  <w:r>
                    <w:rPr>
                      <w:rFonts w:hint="eastAsia"/>
                      <w:color w:val="auto"/>
                      <w:sz w:val="18"/>
                      <w:szCs w:val="18"/>
                    </w:rPr>
                    <w:t>50</w:t>
                  </w:r>
                </w:p>
              </w:tc>
              <w:tc>
                <w:tcPr>
                  <w:tcW w:w="1139" w:type="pct"/>
                  <w:vMerge w:val="restart"/>
                  <w:noWrap/>
                  <w:vAlign w:val="center"/>
                </w:tcPr>
                <w:p w14:paraId="2EC13C60">
                  <w:pPr>
                    <w:snapToGrid w:val="0"/>
                    <w:spacing w:line="240" w:lineRule="auto"/>
                    <w:jc w:val="center"/>
                    <w:rPr>
                      <w:color w:val="auto"/>
                      <w:sz w:val="18"/>
                      <w:szCs w:val="18"/>
                    </w:rPr>
                  </w:pPr>
                  <w:r>
                    <w:rPr>
                      <w:color w:val="auto"/>
                      <w:sz w:val="18"/>
                      <w:szCs w:val="18"/>
                    </w:rPr>
                    <w:t>《环境空气质量标准》（</w:t>
                  </w:r>
                  <w:r>
                    <w:rPr>
                      <w:rFonts w:hint="eastAsia"/>
                      <w:color w:val="auto"/>
                      <w:sz w:val="18"/>
                      <w:szCs w:val="18"/>
                      <w:lang w:eastAsia="zh-CN"/>
                    </w:rPr>
                    <w:t>GB3095-2026</w:t>
                  </w:r>
                  <w:r>
                    <w:rPr>
                      <w:color w:val="auto"/>
                      <w:sz w:val="18"/>
                      <w:szCs w:val="18"/>
                    </w:rPr>
                    <w:t>）中</w:t>
                  </w:r>
                  <w:r>
                    <w:rPr>
                      <w:rFonts w:hint="eastAsia"/>
                      <w:color w:val="auto"/>
                      <w:sz w:val="18"/>
                      <w:szCs w:val="18"/>
                    </w:rPr>
                    <w:t>二类区</w:t>
                  </w:r>
                </w:p>
              </w:tc>
              <w:tc>
                <w:tcPr>
                  <w:tcW w:w="432" w:type="pct"/>
                  <w:noWrap/>
                  <w:vAlign w:val="center"/>
                </w:tcPr>
                <w:p w14:paraId="16EAFE09">
                  <w:pPr>
                    <w:spacing w:line="240" w:lineRule="auto"/>
                    <w:jc w:val="center"/>
                    <w:rPr>
                      <w:color w:val="auto"/>
                      <w:sz w:val="18"/>
                      <w:szCs w:val="18"/>
                    </w:rPr>
                  </w:pPr>
                  <w:r>
                    <w:rPr>
                      <w:rFonts w:hint="eastAsia"/>
                      <w:color w:val="auto"/>
                      <w:sz w:val="18"/>
                      <w:szCs w:val="18"/>
                    </w:rPr>
                    <w:t>N</w:t>
                  </w:r>
                </w:p>
              </w:tc>
              <w:tc>
                <w:tcPr>
                  <w:tcW w:w="510" w:type="pct"/>
                  <w:noWrap/>
                  <w:vAlign w:val="center"/>
                </w:tcPr>
                <w:p w14:paraId="0480ED7F">
                  <w:pPr>
                    <w:spacing w:line="240" w:lineRule="auto"/>
                    <w:jc w:val="center"/>
                    <w:rPr>
                      <w:color w:val="auto"/>
                      <w:sz w:val="18"/>
                      <w:szCs w:val="18"/>
                    </w:rPr>
                  </w:pPr>
                  <w:r>
                    <w:rPr>
                      <w:rFonts w:hint="eastAsia"/>
                      <w:color w:val="auto"/>
                      <w:sz w:val="18"/>
                      <w:szCs w:val="18"/>
                    </w:rPr>
                    <w:t>100</w:t>
                  </w:r>
                </w:p>
              </w:tc>
            </w:tr>
            <w:tr w14:paraId="2BE8055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15" w:hRule="atLeast"/>
              </w:trPr>
              <w:tc>
                <w:tcPr>
                  <w:tcW w:w="462" w:type="pct"/>
                  <w:vMerge w:val="continue"/>
                  <w:noWrap/>
                  <w:vAlign w:val="center"/>
                </w:tcPr>
                <w:p w14:paraId="1C93282D">
                  <w:pPr>
                    <w:snapToGrid w:val="0"/>
                    <w:spacing w:line="240" w:lineRule="auto"/>
                    <w:jc w:val="center"/>
                    <w:rPr>
                      <w:color w:val="auto"/>
                      <w:sz w:val="18"/>
                      <w:szCs w:val="18"/>
                    </w:rPr>
                  </w:pPr>
                </w:p>
              </w:tc>
              <w:tc>
                <w:tcPr>
                  <w:tcW w:w="675" w:type="pct"/>
                  <w:noWrap/>
                  <w:vAlign w:val="center"/>
                </w:tcPr>
                <w:p w14:paraId="42319572">
                  <w:pPr>
                    <w:spacing w:line="240" w:lineRule="auto"/>
                    <w:jc w:val="center"/>
                    <w:rPr>
                      <w:color w:val="auto"/>
                      <w:sz w:val="18"/>
                      <w:szCs w:val="18"/>
                    </w:rPr>
                  </w:pPr>
                  <w:r>
                    <w:rPr>
                      <w:rFonts w:hint="eastAsia"/>
                      <w:color w:val="auto"/>
                      <w:sz w:val="18"/>
                      <w:szCs w:val="18"/>
                    </w:rPr>
                    <w:t>清科园小区</w:t>
                  </w:r>
                </w:p>
              </w:tc>
              <w:tc>
                <w:tcPr>
                  <w:tcW w:w="894" w:type="pct"/>
                  <w:vAlign w:val="center"/>
                </w:tcPr>
                <w:p w14:paraId="14A7BDF6">
                  <w:pPr>
                    <w:snapToGrid w:val="0"/>
                    <w:spacing w:line="240" w:lineRule="auto"/>
                    <w:jc w:val="center"/>
                    <w:rPr>
                      <w:color w:val="auto"/>
                      <w:sz w:val="18"/>
                      <w:szCs w:val="18"/>
                    </w:rPr>
                  </w:pPr>
                  <w:r>
                    <w:rPr>
                      <w:rFonts w:hint="eastAsia"/>
                      <w:color w:val="auto"/>
                      <w:sz w:val="18"/>
                      <w:szCs w:val="18"/>
                    </w:rPr>
                    <w:t>E</w:t>
                  </w:r>
                  <w:r>
                    <w:rPr>
                      <w:color w:val="auto"/>
                      <w:sz w:val="18"/>
                      <w:szCs w:val="18"/>
                    </w:rPr>
                    <w:t>118°</w:t>
                  </w:r>
                  <w:r>
                    <w:rPr>
                      <w:rFonts w:hint="eastAsia"/>
                      <w:color w:val="auto"/>
                      <w:sz w:val="18"/>
                      <w:szCs w:val="18"/>
                    </w:rPr>
                    <w:t>8</w:t>
                  </w:r>
                  <w:r>
                    <w:rPr>
                      <w:color w:val="auto"/>
                      <w:sz w:val="18"/>
                      <w:szCs w:val="18"/>
                    </w:rPr>
                    <w:t>′</w:t>
                  </w:r>
                  <w:r>
                    <w:rPr>
                      <w:rFonts w:hint="eastAsia"/>
                      <w:color w:val="auto"/>
                      <w:sz w:val="18"/>
                      <w:szCs w:val="18"/>
                    </w:rPr>
                    <w:t>18.589</w:t>
                  </w:r>
                  <w:r>
                    <w:rPr>
                      <w:color w:val="auto"/>
                      <w:sz w:val="18"/>
                      <w:szCs w:val="18"/>
                    </w:rPr>
                    <w:t>″</w:t>
                  </w:r>
                  <w:r>
                    <w:rPr>
                      <w:rFonts w:hint="eastAsia"/>
                      <w:color w:val="auto"/>
                      <w:sz w:val="18"/>
                      <w:szCs w:val="18"/>
                    </w:rPr>
                    <w:t>，N</w:t>
                  </w:r>
                  <w:r>
                    <w:rPr>
                      <w:color w:val="auto"/>
                      <w:sz w:val="18"/>
                      <w:szCs w:val="18"/>
                    </w:rPr>
                    <w:t>39°</w:t>
                  </w:r>
                  <w:r>
                    <w:rPr>
                      <w:rFonts w:hint="eastAsia"/>
                      <w:color w:val="auto"/>
                      <w:sz w:val="18"/>
                      <w:szCs w:val="18"/>
                    </w:rPr>
                    <w:t>41</w:t>
                  </w:r>
                  <w:r>
                    <w:rPr>
                      <w:color w:val="auto"/>
                      <w:sz w:val="18"/>
                      <w:szCs w:val="18"/>
                    </w:rPr>
                    <w:t>′</w:t>
                  </w:r>
                  <w:r>
                    <w:rPr>
                      <w:rFonts w:hint="eastAsia"/>
                      <w:color w:val="auto"/>
                      <w:sz w:val="18"/>
                      <w:szCs w:val="18"/>
                    </w:rPr>
                    <w:t>16.094</w:t>
                  </w:r>
                  <w:r>
                    <w:rPr>
                      <w:color w:val="auto"/>
                      <w:sz w:val="18"/>
                      <w:szCs w:val="18"/>
                    </w:rPr>
                    <w:t>″</w:t>
                  </w:r>
                </w:p>
              </w:tc>
              <w:tc>
                <w:tcPr>
                  <w:tcW w:w="424" w:type="pct"/>
                  <w:noWrap/>
                  <w:vAlign w:val="center"/>
                </w:tcPr>
                <w:p w14:paraId="140CE1E6">
                  <w:pPr>
                    <w:snapToGrid w:val="0"/>
                    <w:spacing w:line="240" w:lineRule="auto"/>
                    <w:jc w:val="center"/>
                    <w:rPr>
                      <w:color w:val="auto"/>
                      <w:sz w:val="18"/>
                      <w:szCs w:val="18"/>
                    </w:rPr>
                  </w:pPr>
                  <w:r>
                    <w:rPr>
                      <w:rFonts w:hint="eastAsia"/>
                      <w:color w:val="auto"/>
                      <w:sz w:val="18"/>
                      <w:szCs w:val="18"/>
                      <w:lang w:val="en-US" w:eastAsia="zh-CN"/>
                    </w:rPr>
                    <w:t>居民</w:t>
                  </w:r>
                </w:p>
              </w:tc>
              <w:tc>
                <w:tcPr>
                  <w:tcW w:w="461" w:type="pct"/>
                  <w:noWrap/>
                  <w:vAlign w:val="center"/>
                </w:tcPr>
                <w:p w14:paraId="56612F10">
                  <w:pPr>
                    <w:snapToGrid w:val="0"/>
                    <w:spacing w:line="240" w:lineRule="auto"/>
                    <w:jc w:val="center"/>
                    <w:rPr>
                      <w:color w:val="auto"/>
                      <w:sz w:val="18"/>
                      <w:szCs w:val="18"/>
                    </w:rPr>
                  </w:pPr>
                  <w:r>
                    <w:rPr>
                      <w:rFonts w:hint="eastAsia"/>
                      <w:color w:val="auto"/>
                      <w:sz w:val="18"/>
                      <w:szCs w:val="18"/>
                    </w:rPr>
                    <w:t>600</w:t>
                  </w:r>
                </w:p>
              </w:tc>
              <w:tc>
                <w:tcPr>
                  <w:tcW w:w="1139" w:type="pct"/>
                  <w:vMerge w:val="continue"/>
                  <w:noWrap/>
                  <w:vAlign w:val="center"/>
                </w:tcPr>
                <w:p w14:paraId="0590ABA2">
                  <w:pPr>
                    <w:snapToGrid w:val="0"/>
                    <w:spacing w:line="240" w:lineRule="auto"/>
                    <w:jc w:val="center"/>
                    <w:rPr>
                      <w:color w:val="auto"/>
                      <w:sz w:val="18"/>
                      <w:szCs w:val="18"/>
                    </w:rPr>
                  </w:pPr>
                </w:p>
              </w:tc>
              <w:tc>
                <w:tcPr>
                  <w:tcW w:w="432" w:type="pct"/>
                  <w:noWrap/>
                  <w:vAlign w:val="center"/>
                </w:tcPr>
                <w:p w14:paraId="56FAA2DB">
                  <w:pPr>
                    <w:spacing w:line="240" w:lineRule="auto"/>
                    <w:jc w:val="center"/>
                    <w:rPr>
                      <w:color w:val="auto"/>
                      <w:sz w:val="18"/>
                      <w:szCs w:val="18"/>
                    </w:rPr>
                  </w:pPr>
                  <w:r>
                    <w:rPr>
                      <w:rFonts w:hint="eastAsia"/>
                      <w:color w:val="auto"/>
                      <w:sz w:val="18"/>
                      <w:szCs w:val="18"/>
                    </w:rPr>
                    <w:t>SW</w:t>
                  </w:r>
                </w:p>
              </w:tc>
              <w:tc>
                <w:tcPr>
                  <w:tcW w:w="510" w:type="pct"/>
                  <w:noWrap/>
                  <w:vAlign w:val="center"/>
                </w:tcPr>
                <w:p w14:paraId="3541AC74">
                  <w:pPr>
                    <w:spacing w:line="240" w:lineRule="auto"/>
                    <w:jc w:val="center"/>
                    <w:rPr>
                      <w:color w:val="auto"/>
                      <w:sz w:val="18"/>
                      <w:szCs w:val="18"/>
                    </w:rPr>
                  </w:pPr>
                  <w:r>
                    <w:rPr>
                      <w:rFonts w:hint="eastAsia"/>
                      <w:color w:val="auto"/>
                      <w:sz w:val="18"/>
                      <w:szCs w:val="18"/>
                    </w:rPr>
                    <w:t>400</w:t>
                  </w:r>
                </w:p>
              </w:tc>
            </w:tr>
            <w:tr w14:paraId="4004E2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c>
                <w:tcPr>
                  <w:tcW w:w="462" w:type="pct"/>
                  <w:noWrap/>
                  <w:vAlign w:val="center"/>
                </w:tcPr>
                <w:p w14:paraId="512EE427">
                  <w:pPr>
                    <w:snapToGrid w:val="0"/>
                    <w:spacing w:line="240" w:lineRule="auto"/>
                    <w:jc w:val="center"/>
                    <w:rPr>
                      <w:color w:val="auto"/>
                      <w:sz w:val="18"/>
                      <w:szCs w:val="18"/>
                    </w:rPr>
                  </w:pPr>
                  <w:r>
                    <w:rPr>
                      <w:color w:val="auto"/>
                      <w:sz w:val="18"/>
                      <w:szCs w:val="18"/>
                    </w:rPr>
                    <w:t>声环境</w:t>
                  </w:r>
                </w:p>
              </w:tc>
              <w:tc>
                <w:tcPr>
                  <w:tcW w:w="675" w:type="pct"/>
                  <w:noWrap/>
                  <w:vAlign w:val="center"/>
                </w:tcPr>
                <w:p w14:paraId="257E050D">
                  <w:pPr>
                    <w:widowControl/>
                    <w:adjustRightInd w:val="0"/>
                    <w:spacing w:line="240" w:lineRule="auto"/>
                    <w:ind w:left="-42" w:leftChars="-20" w:right="-42" w:rightChars="-20"/>
                    <w:jc w:val="center"/>
                    <w:rPr>
                      <w:color w:val="auto"/>
                      <w:sz w:val="18"/>
                      <w:szCs w:val="18"/>
                    </w:rPr>
                  </w:pPr>
                  <w:r>
                    <w:rPr>
                      <w:color w:val="auto"/>
                      <w:sz w:val="18"/>
                      <w:szCs w:val="18"/>
                    </w:rPr>
                    <w:t>无</w:t>
                  </w:r>
                </w:p>
              </w:tc>
              <w:tc>
                <w:tcPr>
                  <w:tcW w:w="894" w:type="pct"/>
                  <w:vAlign w:val="center"/>
                </w:tcPr>
                <w:p w14:paraId="5F34190E">
                  <w:pPr>
                    <w:snapToGrid w:val="0"/>
                    <w:spacing w:line="240" w:lineRule="auto"/>
                    <w:jc w:val="center"/>
                    <w:rPr>
                      <w:color w:val="auto"/>
                      <w:sz w:val="18"/>
                      <w:szCs w:val="18"/>
                    </w:rPr>
                  </w:pPr>
                  <w:r>
                    <w:rPr>
                      <w:rFonts w:hint="eastAsia"/>
                      <w:color w:val="auto"/>
                      <w:sz w:val="18"/>
                      <w:szCs w:val="18"/>
                    </w:rPr>
                    <w:t>/</w:t>
                  </w:r>
                </w:p>
              </w:tc>
              <w:tc>
                <w:tcPr>
                  <w:tcW w:w="424" w:type="pct"/>
                  <w:noWrap/>
                  <w:vAlign w:val="center"/>
                </w:tcPr>
                <w:p w14:paraId="5E254D35">
                  <w:pPr>
                    <w:snapToGrid w:val="0"/>
                    <w:spacing w:line="240" w:lineRule="auto"/>
                    <w:jc w:val="center"/>
                    <w:rPr>
                      <w:color w:val="auto"/>
                      <w:sz w:val="18"/>
                      <w:szCs w:val="18"/>
                    </w:rPr>
                  </w:pPr>
                  <w:r>
                    <w:rPr>
                      <w:color w:val="auto"/>
                      <w:sz w:val="18"/>
                      <w:szCs w:val="18"/>
                    </w:rPr>
                    <w:t>/</w:t>
                  </w:r>
                </w:p>
              </w:tc>
              <w:tc>
                <w:tcPr>
                  <w:tcW w:w="461" w:type="pct"/>
                  <w:noWrap/>
                  <w:vAlign w:val="center"/>
                </w:tcPr>
                <w:p w14:paraId="1005DBB6">
                  <w:pPr>
                    <w:snapToGrid w:val="0"/>
                    <w:spacing w:line="240" w:lineRule="auto"/>
                    <w:jc w:val="center"/>
                    <w:rPr>
                      <w:color w:val="auto"/>
                      <w:sz w:val="18"/>
                      <w:szCs w:val="18"/>
                    </w:rPr>
                  </w:pPr>
                  <w:r>
                    <w:rPr>
                      <w:rFonts w:hint="eastAsia"/>
                      <w:color w:val="auto"/>
                      <w:sz w:val="18"/>
                      <w:szCs w:val="18"/>
                    </w:rPr>
                    <w:t>/</w:t>
                  </w:r>
                </w:p>
              </w:tc>
              <w:tc>
                <w:tcPr>
                  <w:tcW w:w="1139" w:type="pct"/>
                  <w:noWrap/>
                  <w:vAlign w:val="center"/>
                </w:tcPr>
                <w:p w14:paraId="642E61DF">
                  <w:pPr>
                    <w:snapToGrid w:val="0"/>
                    <w:spacing w:line="240" w:lineRule="auto"/>
                    <w:jc w:val="center"/>
                    <w:rPr>
                      <w:color w:val="auto"/>
                      <w:sz w:val="18"/>
                      <w:szCs w:val="18"/>
                    </w:rPr>
                  </w:pPr>
                  <w:r>
                    <w:rPr>
                      <w:color w:val="auto"/>
                      <w:sz w:val="18"/>
                      <w:szCs w:val="18"/>
                    </w:rPr>
                    <w:t>/</w:t>
                  </w:r>
                </w:p>
              </w:tc>
              <w:tc>
                <w:tcPr>
                  <w:tcW w:w="432" w:type="pct"/>
                  <w:noWrap/>
                  <w:vAlign w:val="center"/>
                </w:tcPr>
                <w:p w14:paraId="21AD8701">
                  <w:pPr>
                    <w:snapToGrid w:val="0"/>
                    <w:spacing w:line="240" w:lineRule="auto"/>
                    <w:jc w:val="center"/>
                    <w:rPr>
                      <w:color w:val="auto"/>
                      <w:sz w:val="18"/>
                      <w:szCs w:val="18"/>
                    </w:rPr>
                  </w:pPr>
                  <w:r>
                    <w:rPr>
                      <w:color w:val="auto"/>
                      <w:sz w:val="18"/>
                      <w:szCs w:val="18"/>
                    </w:rPr>
                    <w:t>/</w:t>
                  </w:r>
                </w:p>
              </w:tc>
              <w:tc>
                <w:tcPr>
                  <w:tcW w:w="510" w:type="pct"/>
                  <w:noWrap/>
                  <w:vAlign w:val="center"/>
                </w:tcPr>
                <w:p w14:paraId="335597CE">
                  <w:pPr>
                    <w:snapToGrid w:val="0"/>
                    <w:spacing w:line="240" w:lineRule="auto"/>
                    <w:jc w:val="center"/>
                    <w:rPr>
                      <w:color w:val="auto"/>
                      <w:sz w:val="18"/>
                      <w:szCs w:val="18"/>
                    </w:rPr>
                  </w:pPr>
                  <w:r>
                    <w:rPr>
                      <w:color w:val="auto"/>
                      <w:sz w:val="18"/>
                      <w:szCs w:val="18"/>
                    </w:rPr>
                    <w:t>/</w:t>
                  </w:r>
                </w:p>
              </w:tc>
            </w:tr>
            <w:tr w14:paraId="3198D1B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c>
                <w:tcPr>
                  <w:tcW w:w="462" w:type="pct"/>
                  <w:noWrap/>
                  <w:vAlign w:val="center"/>
                </w:tcPr>
                <w:p w14:paraId="5AE9840E">
                  <w:pPr>
                    <w:snapToGrid w:val="0"/>
                    <w:spacing w:line="240" w:lineRule="auto"/>
                    <w:jc w:val="center"/>
                    <w:rPr>
                      <w:color w:val="auto"/>
                      <w:sz w:val="18"/>
                      <w:szCs w:val="18"/>
                    </w:rPr>
                  </w:pPr>
                  <w:r>
                    <w:rPr>
                      <w:color w:val="auto"/>
                      <w:sz w:val="18"/>
                      <w:szCs w:val="18"/>
                    </w:rPr>
                    <w:t>地下水环境</w:t>
                  </w:r>
                </w:p>
              </w:tc>
              <w:tc>
                <w:tcPr>
                  <w:tcW w:w="675" w:type="pct"/>
                  <w:noWrap/>
                  <w:vAlign w:val="center"/>
                </w:tcPr>
                <w:p w14:paraId="1730B9AD">
                  <w:pPr>
                    <w:snapToGrid w:val="0"/>
                    <w:spacing w:line="240" w:lineRule="auto"/>
                    <w:jc w:val="center"/>
                    <w:rPr>
                      <w:color w:val="auto"/>
                      <w:sz w:val="18"/>
                      <w:szCs w:val="18"/>
                    </w:rPr>
                  </w:pPr>
                  <w:r>
                    <w:rPr>
                      <w:rFonts w:hint="eastAsia"/>
                      <w:color w:val="auto"/>
                      <w:sz w:val="18"/>
                      <w:szCs w:val="18"/>
                    </w:rPr>
                    <w:t>项目</w:t>
                  </w:r>
                  <w:r>
                    <w:rPr>
                      <w:color w:val="auto"/>
                      <w:sz w:val="18"/>
                      <w:szCs w:val="18"/>
                    </w:rPr>
                    <w:t>占地范围内潜层地下水</w:t>
                  </w:r>
                </w:p>
              </w:tc>
              <w:tc>
                <w:tcPr>
                  <w:tcW w:w="894" w:type="pct"/>
                  <w:vAlign w:val="center"/>
                </w:tcPr>
                <w:p w14:paraId="0ABE315A">
                  <w:pPr>
                    <w:snapToGrid w:val="0"/>
                    <w:spacing w:line="240" w:lineRule="auto"/>
                    <w:jc w:val="center"/>
                    <w:rPr>
                      <w:color w:val="auto"/>
                      <w:sz w:val="18"/>
                      <w:szCs w:val="18"/>
                    </w:rPr>
                  </w:pPr>
                  <w:r>
                    <w:rPr>
                      <w:rFonts w:hint="eastAsia"/>
                      <w:color w:val="auto"/>
                      <w:sz w:val="18"/>
                      <w:szCs w:val="18"/>
                    </w:rPr>
                    <w:t>/</w:t>
                  </w:r>
                </w:p>
              </w:tc>
              <w:tc>
                <w:tcPr>
                  <w:tcW w:w="424" w:type="pct"/>
                  <w:noWrap/>
                  <w:vAlign w:val="center"/>
                </w:tcPr>
                <w:p w14:paraId="3FD4CA37">
                  <w:pPr>
                    <w:snapToGrid w:val="0"/>
                    <w:spacing w:line="240" w:lineRule="auto"/>
                    <w:jc w:val="center"/>
                    <w:rPr>
                      <w:color w:val="auto"/>
                      <w:sz w:val="18"/>
                      <w:szCs w:val="18"/>
                    </w:rPr>
                  </w:pPr>
                  <w:r>
                    <w:rPr>
                      <w:color w:val="auto"/>
                      <w:sz w:val="18"/>
                      <w:szCs w:val="18"/>
                    </w:rPr>
                    <w:t>/</w:t>
                  </w:r>
                </w:p>
              </w:tc>
              <w:tc>
                <w:tcPr>
                  <w:tcW w:w="461" w:type="pct"/>
                  <w:noWrap/>
                  <w:vAlign w:val="center"/>
                </w:tcPr>
                <w:p w14:paraId="25911EF2">
                  <w:pPr>
                    <w:snapToGrid w:val="0"/>
                    <w:spacing w:line="240" w:lineRule="auto"/>
                    <w:jc w:val="center"/>
                    <w:rPr>
                      <w:color w:val="auto"/>
                      <w:sz w:val="18"/>
                      <w:szCs w:val="18"/>
                    </w:rPr>
                  </w:pPr>
                  <w:r>
                    <w:rPr>
                      <w:rFonts w:hint="eastAsia"/>
                      <w:color w:val="auto"/>
                      <w:sz w:val="18"/>
                      <w:szCs w:val="18"/>
                    </w:rPr>
                    <w:t>/</w:t>
                  </w:r>
                </w:p>
              </w:tc>
              <w:tc>
                <w:tcPr>
                  <w:tcW w:w="1139" w:type="pct"/>
                  <w:noWrap/>
                  <w:vAlign w:val="center"/>
                </w:tcPr>
                <w:p w14:paraId="1445186E">
                  <w:pPr>
                    <w:snapToGrid w:val="0"/>
                    <w:spacing w:line="240" w:lineRule="auto"/>
                    <w:jc w:val="center"/>
                    <w:rPr>
                      <w:color w:val="auto"/>
                      <w:sz w:val="18"/>
                      <w:szCs w:val="18"/>
                    </w:rPr>
                  </w:pPr>
                  <w:r>
                    <w:rPr>
                      <w:color w:val="auto"/>
                      <w:sz w:val="18"/>
                      <w:szCs w:val="18"/>
                    </w:rPr>
                    <w:t>《地下水质量标准》</w:t>
                  </w:r>
                </w:p>
                <w:p w14:paraId="65F0D2C7">
                  <w:pPr>
                    <w:snapToGrid w:val="0"/>
                    <w:spacing w:line="240" w:lineRule="auto"/>
                    <w:jc w:val="center"/>
                    <w:rPr>
                      <w:color w:val="auto"/>
                      <w:sz w:val="18"/>
                      <w:szCs w:val="18"/>
                    </w:rPr>
                  </w:pPr>
                  <w:r>
                    <w:rPr>
                      <w:color w:val="auto"/>
                      <w:sz w:val="18"/>
                      <w:szCs w:val="18"/>
                    </w:rPr>
                    <w:t>（GB/T14848</w:t>
                  </w:r>
                  <w:r>
                    <w:rPr>
                      <w:rFonts w:hint="eastAsia"/>
                      <w:color w:val="auto"/>
                      <w:sz w:val="18"/>
                      <w:szCs w:val="18"/>
                    </w:rPr>
                    <w:t>-</w:t>
                  </w:r>
                  <w:r>
                    <w:rPr>
                      <w:color w:val="auto"/>
                      <w:sz w:val="18"/>
                      <w:szCs w:val="18"/>
                    </w:rPr>
                    <w:t>2017）Ⅲ类</w:t>
                  </w:r>
                </w:p>
              </w:tc>
              <w:tc>
                <w:tcPr>
                  <w:tcW w:w="432" w:type="pct"/>
                  <w:noWrap/>
                  <w:vAlign w:val="center"/>
                </w:tcPr>
                <w:p w14:paraId="3EC7257C">
                  <w:pPr>
                    <w:snapToGrid w:val="0"/>
                    <w:spacing w:line="240" w:lineRule="auto"/>
                    <w:jc w:val="center"/>
                    <w:rPr>
                      <w:color w:val="auto"/>
                      <w:sz w:val="18"/>
                      <w:szCs w:val="18"/>
                    </w:rPr>
                  </w:pPr>
                  <w:r>
                    <w:rPr>
                      <w:color w:val="auto"/>
                      <w:sz w:val="18"/>
                      <w:szCs w:val="18"/>
                    </w:rPr>
                    <w:t>/</w:t>
                  </w:r>
                </w:p>
              </w:tc>
              <w:tc>
                <w:tcPr>
                  <w:tcW w:w="510" w:type="pct"/>
                  <w:noWrap/>
                  <w:vAlign w:val="center"/>
                </w:tcPr>
                <w:p w14:paraId="04EC38C8">
                  <w:pPr>
                    <w:snapToGrid w:val="0"/>
                    <w:spacing w:line="240" w:lineRule="auto"/>
                    <w:jc w:val="center"/>
                    <w:rPr>
                      <w:color w:val="auto"/>
                      <w:sz w:val="18"/>
                      <w:szCs w:val="18"/>
                    </w:rPr>
                  </w:pPr>
                  <w:r>
                    <w:rPr>
                      <w:color w:val="auto"/>
                      <w:sz w:val="18"/>
                      <w:szCs w:val="18"/>
                    </w:rPr>
                    <w:t>/</w:t>
                  </w:r>
                </w:p>
              </w:tc>
            </w:tr>
            <w:tr w14:paraId="4583D97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2" w:hRule="atLeast"/>
              </w:trPr>
              <w:tc>
                <w:tcPr>
                  <w:tcW w:w="462" w:type="pct"/>
                  <w:noWrap/>
                  <w:vAlign w:val="center"/>
                </w:tcPr>
                <w:p w14:paraId="007AF079">
                  <w:pPr>
                    <w:snapToGrid w:val="0"/>
                    <w:spacing w:line="240" w:lineRule="auto"/>
                    <w:jc w:val="center"/>
                    <w:rPr>
                      <w:color w:val="auto"/>
                      <w:sz w:val="18"/>
                      <w:szCs w:val="18"/>
                    </w:rPr>
                  </w:pPr>
                  <w:r>
                    <w:rPr>
                      <w:color w:val="auto"/>
                      <w:sz w:val="18"/>
                      <w:szCs w:val="18"/>
                    </w:rPr>
                    <w:t>生态环境</w:t>
                  </w:r>
                </w:p>
              </w:tc>
              <w:tc>
                <w:tcPr>
                  <w:tcW w:w="675" w:type="pct"/>
                  <w:noWrap/>
                  <w:vAlign w:val="center"/>
                </w:tcPr>
                <w:p w14:paraId="218AFFCD">
                  <w:pPr>
                    <w:snapToGrid w:val="0"/>
                    <w:spacing w:line="240" w:lineRule="auto"/>
                    <w:jc w:val="center"/>
                    <w:rPr>
                      <w:color w:val="auto"/>
                      <w:sz w:val="18"/>
                      <w:szCs w:val="18"/>
                    </w:rPr>
                  </w:pPr>
                  <w:r>
                    <w:rPr>
                      <w:color w:val="auto"/>
                      <w:sz w:val="18"/>
                      <w:szCs w:val="18"/>
                    </w:rPr>
                    <w:t>无</w:t>
                  </w:r>
                </w:p>
              </w:tc>
              <w:tc>
                <w:tcPr>
                  <w:tcW w:w="894" w:type="pct"/>
                  <w:vAlign w:val="center"/>
                </w:tcPr>
                <w:p w14:paraId="6D823DB6">
                  <w:pPr>
                    <w:snapToGrid w:val="0"/>
                    <w:spacing w:line="240" w:lineRule="auto"/>
                    <w:jc w:val="center"/>
                    <w:rPr>
                      <w:color w:val="auto"/>
                      <w:sz w:val="18"/>
                      <w:szCs w:val="18"/>
                    </w:rPr>
                  </w:pPr>
                  <w:r>
                    <w:rPr>
                      <w:rFonts w:hint="eastAsia"/>
                      <w:color w:val="auto"/>
                      <w:sz w:val="18"/>
                      <w:szCs w:val="18"/>
                    </w:rPr>
                    <w:t>/</w:t>
                  </w:r>
                </w:p>
              </w:tc>
              <w:tc>
                <w:tcPr>
                  <w:tcW w:w="424" w:type="pct"/>
                  <w:noWrap/>
                  <w:vAlign w:val="center"/>
                </w:tcPr>
                <w:p w14:paraId="3CD75A43">
                  <w:pPr>
                    <w:snapToGrid w:val="0"/>
                    <w:spacing w:line="240" w:lineRule="auto"/>
                    <w:jc w:val="center"/>
                    <w:rPr>
                      <w:color w:val="auto"/>
                      <w:sz w:val="18"/>
                      <w:szCs w:val="18"/>
                    </w:rPr>
                  </w:pPr>
                  <w:r>
                    <w:rPr>
                      <w:color w:val="auto"/>
                      <w:sz w:val="18"/>
                      <w:szCs w:val="18"/>
                    </w:rPr>
                    <w:t>/</w:t>
                  </w:r>
                </w:p>
              </w:tc>
              <w:tc>
                <w:tcPr>
                  <w:tcW w:w="461" w:type="pct"/>
                  <w:noWrap/>
                  <w:vAlign w:val="center"/>
                </w:tcPr>
                <w:p w14:paraId="2D556EAD">
                  <w:pPr>
                    <w:snapToGrid w:val="0"/>
                    <w:spacing w:line="240" w:lineRule="auto"/>
                    <w:jc w:val="center"/>
                    <w:rPr>
                      <w:color w:val="auto"/>
                      <w:sz w:val="18"/>
                      <w:szCs w:val="18"/>
                    </w:rPr>
                  </w:pPr>
                  <w:r>
                    <w:rPr>
                      <w:rFonts w:hint="eastAsia"/>
                      <w:color w:val="auto"/>
                      <w:sz w:val="18"/>
                      <w:szCs w:val="18"/>
                    </w:rPr>
                    <w:t>/</w:t>
                  </w:r>
                </w:p>
              </w:tc>
              <w:tc>
                <w:tcPr>
                  <w:tcW w:w="1139" w:type="pct"/>
                  <w:noWrap/>
                  <w:vAlign w:val="center"/>
                </w:tcPr>
                <w:p w14:paraId="3C47543B">
                  <w:pPr>
                    <w:snapToGrid w:val="0"/>
                    <w:spacing w:line="240" w:lineRule="auto"/>
                    <w:jc w:val="center"/>
                    <w:rPr>
                      <w:color w:val="auto"/>
                      <w:sz w:val="18"/>
                      <w:szCs w:val="18"/>
                    </w:rPr>
                  </w:pPr>
                  <w:r>
                    <w:rPr>
                      <w:color w:val="auto"/>
                      <w:sz w:val="18"/>
                      <w:szCs w:val="18"/>
                    </w:rPr>
                    <w:t>/</w:t>
                  </w:r>
                </w:p>
              </w:tc>
              <w:tc>
                <w:tcPr>
                  <w:tcW w:w="432" w:type="pct"/>
                  <w:noWrap/>
                  <w:vAlign w:val="center"/>
                </w:tcPr>
                <w:p w14:paraId="3BD28D44">
                  <w:pPr>
                    <w:snapToGrid w:val="0"/>
                    <w:spacing w:line="240" w:lineRule="auto"/>
                    <w:jc w:val="center"/>
                    <w:rPr>
                      <w:color w:val="auto"/>
                      <w:sz w:val="18"/>
                      <w:szCs w:val="18"/>
                    </w:rPr>
                  </w:pPr>
                  <w:r>
                    <w:rPr>
                      <w:color w:val="auto"/>
                      <w:sz w:val="18"/>
                      <w:szCs w:val="18"/>
                    </w:rPr>
                    <w:t>/</w:t>
                  </w:r>
                </w:p>
              </w:tc>
              <w:tc>
                <w:tcPr>
                  <w:tcW w:w="510" w:type="pct"/>
                  <w:noWrap/>
                  <w:vAlign w:val="center"/>
                </w:tcPr>
                <w:p w14:paraId="51E6B2DC">
                  <w:pPr>
                    <w:snapToGrid w:val="0"/>
                    <w:spacing w:line="240" w:lineRule="auto"/>
                    <w:jc w:val="center"/>
                    <w:rPr>
                      <w:color w:val="auto"/>
                      <w:sz w:val="18"/>
                      <w:szCs w:val="18"/>
                    </w:rPr>
                  </w:pPr>
                  <w:r>
                    <w:rPr>
                      <w:color w:val="auto"/>
                      <w:sz w:val="18"/>
                      <w:szCs w:val="18"/>
                    </w:rPr>
                    <w:t>/</w:t>
                  </w:r>
                </w:p>
              </w:tc>
            </w:tr>
          </w:tbl>
          <w:p w14:paraId="51D5FADC">
            <w:pPr>
              <w:pStyle w:val="8"/>
              <w:ind w:firstLine="0" w:firstLineChars="0"/>
              <w:rPr>
                <w:color w:val="auto"/>
              </w:rPr>
            </w:pPr>
          </w:p>
        </w:tc>
      </w:tr>
      <w:tr w14:paraId="4243B5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29" w:hRule="atLeast"/>
          <w:jc w:val="center"/>
        </w:trPr>
        <w:tc>
          <w:tcPr>
            <w:tcW w:w="781" w:type="dxa"/>
            <w:noWrap/>
            <w:tcMar>
              <w:left w:w="28" w:type="dxa"/>
              <w:right w:w="28" w:type="dxa"/>
            </w:tcMar>
            <w:vAlign w:val="center"/>
          </w:tcPr>
          <w:p w14:paraId="7D8B1034">
            <w:pPr>
              <w:adjustRightInd w:val="0"/>
              <w:snapToGrid w:val="0"/>
              <w:jc w:val="center"/>
              <w:rPr>
                <w:color w:val="auto"/>
                <w:kern w:val="0"/>
                <w:szCs w:val="21"/>
              </w:rPr>
            </w:pPr>
            <w:r>
              <w:rPr>
                <w:color w:val="auto"/>
                <w:kern w:val="0"/>
                <w:szCs w:val="21"/>
              </w:rPr>
              <w:t>污染</w:t>
            </w:r>
          </w:p>
          <w:p w14:paraId="130B3D03">
            <w:pPr>
              <w:adjustRightInd w:val="0"/>
              <w:snapToGrid w:val="0"/>
              <w:jc w:val="center"/>
              <w:rPr>
                <w:color w:val="auto"/>
                <w:kern w:val="0"/>
                <w:szCs w:val="21"/>
              </w:rPr>
            </w:pPr>
            <w:r>
              <w:rPr>
                <w:color w:val="auto"/>
                <w:kern w:val="0"/>
                <w:szCs w:val="21"/>
              </w:rPr>
              <w:t>物排</w:t>
            </w:r>
          </w:p>
          <w:p w14:paraId="408462E1">
            <w:pPr>
              <w:adjustRightInd w:val="0"/>
              <w:snapToGrid w:val="0"/>
              <w:jc w:val="center"/>
              <w:rPr>
                <w:color w:val="auto"/>
                <w:kern w:val="0"/>
                <w:szCs w:val="21"/>
              </w:rPr>
            </w:pPr>
            <w:r>
              <w:rPr>
                <w:color w:val="auto"/>
                <w:kern w:val="0"/>
                <w:szCs w:val="21"/>
              </w:rPr>
              <w:t>放控</w:t>
            </w:r>
          </w:p>
          <w:p w14:paraId="7283825B">
            <w:pPr>
              <w:adjustRightInd w:val="0"/>
              <w:snapToGrid w:val="0"/>
              <w:jc w:val="center"/>
              <w:rPr>
                <w:color w:val="auto"/>
                <w:kern w:val="0"/>
                <w:szCs w:val="21"/>
              </w:rPr>
            </w:pPr>
            <w:r>
              <w:rPr>
                <w:color w:val="auto"/>
                <w:kern w:val="0"/>
                <w:szCs w:val="21"/>
              </w:rPr>
              <w:t>制标</w:t>
            </w:r>
          </w:p>
          <w:p w14:paraId="6F3B3306">
            <w:pPr>
              <w:adjustRightInd w:val="0"/>
              <w:snapToGrid w:val="0"/>
              <w:jc w:val="center"/>
              <w:rPr>
                <w:color w:val="auto"/>
                <w:kern w:val="0"/>
                <w:szCs w:val="21"/>
              </w:rPr>
            </w:pPr>
            <w:r>
              <w:rPr>
                <w:color w:val="auto"/>
                <w:kern w:val="0"/>
                <w:szCs w:val="21"/>
              </w:rPr>
              <w:t>准</w:t>
            </w:r>
          </w:p>
        </w:tc>
        <w:tc>
          <w:tcPr>
            <w:tcW w:w="8280" w:type="dxa"/>
            <w:noWrap/>
            <w:vAlign w:val="center"/>
          </w:tcPr>
          <w:p w14:paraId="41940216">
            <w:pPr>
              <w:pStyle w:val="122"/>
              <w:rPr>
                <w:rFonts w:hint="eastAsia"/>
                <w:color w:val="auto"/>
                <w:kern w:val="0"/>
              </w:rPr>
            </w:pPr>
            <w:r>
              <w:rPr>
                <w:rFonts w:hint="eastAsia"/>
                <w:color w:val="auto"/>
                <w:kern w:val="0"/>
              </w:rPr>
              <w:t>1、施工期</w:t>
            </w:r>
          </w:p>
          <w:p w14:paraId="11C02619">
            <w:pPr>
              <w:pStyle w:val="119"/>
              <w:rPr>
                <w:rFonts w:hint="eastAsia" w:cs="宋体"/>
                <w:color w:val="auto"/>
                <w:highlight w:val="none"/>
              </w:rPr>
            </w:pPr>
            <w:r>
              <w:rPr>
                <w:rFonts w:hint="eastAsia" w:cs="宋体"/>
                <w:color w:val="auto"/>
                <w:highlight w:val="none"/>
              </w:rPr>
              <w:t>1.1 施工扬尘</w:t>
            </w:r>
          </w:p>
          <w:p w14:paraId="03579E6F">
            <w:pPr>
              <w:pStyle w:val="116"/>
              <w:ind w:firstLine="420"/>
              <w:rPr>
                <w:rFonts w:hint="eastAsia"/>
                <w:color w:val="auto"/>
                <w:highlight w:val="none"/>
              </w:rPr>
            </w:pPr>
            <w:r>
              <w:rPr>
                <w:rFonts w:hint="eastAsia" w:cs="宋体"/>
                <w:color w:val="auto"/>
                <w:highlight w:val="none"/>
              </w:rPr>
              <w:t>执行河北省《施工场地扬</w:t>
            </w:r>
            <w:r>
              <w:rPr>
                <w:rFonts w:hint="eastAsia"/>
                <w:color w:val="auto"/>
                <w:highlight w:val="none"/>
              </w:rPr>
              <w:t>尘排放标准》(DB13/2934-2019)中表1和表3的要求，即PM</w:t>
            </w:r>
            <w:r>
              <w:rPr>
                <w:rFonts w:hint="eastAsia"/>
                <w:color w:val="auto"/>
                <w:highlight w:val="none"/>
                <w:vertAlign w:val="subscript"/>
              </w:rPr>
              <w:t>10</w:t>
            </w:r>
            <w:r>
              <w:rPr>
                <w:rFonts w:hint="eastAsia"/>
                <w:color w:val="auto"/>
                <w:highlight w:val="none"/>
              </w:rPr>
              <w:t>监测点浓度限值为80</w:t>
            </w:r>
            <w:r>
              <w:rPr>
                <w:color w:val="auto"/>
                <w:highlight w:val="none"/>
              </w:rPr>
              <w:t>μg</w:t>
            </w:r>
            <w:r>
              <w:rPr>
                <w:rFonts w:hint="eastAsia"/>
                <w:color w:val="auto"/>
                <w:highlight w:val="none"/>
              </w:rPr>
              <w:t>/m</w:t>
            </w:r>
            <w:r>
              <w:rPr>
                <w:rFonts w:hint="eastAsia"/>
                <w:color w:val="auto"/>
                <w:highlight w:val="none"/>
                <w:vertAlign w:val="superscript"/>
              </w:rPr>
              <w:t>3</w:t>
            </w:r>
            <w:r>
              <w:rPr>
                <w:rFonts w:hint="eastAsia"/>
                <w:color w:val="auto"/>
                <w:highlight w:val="none"/>
              </w:rPr>
              <w:t>，达标判定依据为≤2次/d，施工场地扬尘监测点数量≥4个(10000＜S≤100000m</w:t>
            </w:r>
            <w:r>
              <w:rPr>
                <w:rFonts w:hint="eastAsia"/>
                <w:color w:val="auto"/>
                <w:highlight w:val="none"/>
                <w:vertAlign w:val="superscript"/>
              </w:rPr>
              <w:t>2</w:t>
            </w:r>
            <w:r>
              <w:rPr>
                <w:rFonts w:hint="eastAsia"/>
                <w:color w:val="auto"/>
                <w:highlight w:val="none"/>
              </w:rPr>
              <w:t>)。监测点浓度限值：监测点PM</w:t>
            </w:r>
            <w:r>
              <w:rPr>
                <w:rFonts w:hint="eastAsia"/>
                <w:color w:val="auto"/>
                <w:highlight w:val="none"/>
                <w:vertAlign w:val="subscript"/>
              </w:rPr>
              <w:t>10</w:t>
            </w:r>
            <w:r>
              <w:rPr>
                <w:rFonts w:hint="eastAsia"/>
                <w:color w:val="auto"/>
                <w:highlight w:val="none"/>
              </w:rPr>
              <w:t>小时平均浓度实测值与同时段所属县(市、区)PM</w:t>
            </w:r>
            <w:r>
              <w:rPr>
                <w:rFonts w:hint="eastAsia"/>
                <w:color w:val="auto"/>
                <w:highlight w:val="none"/>
                <w:vertAlign w:val="subscript"/>
              </w:rPr>
              <w:t>10</w:t>
            </w:r>
            <w:r>
              <w:rPr>
                <w:rFonts w:hint="eastAsia"/>
                <w:color w:val="auto"/>
                <w:highlight w:val="none"/>
              </w:rPr>
              <w:t>小时平均浓度的差值，当县(市、区)PM</w:t>
            </w:r>
            <w:r>
              <w:rPr>
                <w:rFonts w:hint="eastAsia"/>
                <w:color w:val="auto"/>
                <w:highlight w:val="none"/>
                <w:vertAlign w:val="subscript"/>
              </w:rPr>
              <w:t>10</w:t>
            </w:r>
            <w:r>
              <w:rPr>
                <w:rFonts w:hint="eastAsia"/>
                <w:color w:val="auto"/>
                <w:highlight w:val="none"/>
              </w:rPr>
              <w:t>小时平均浓度值大于150</w:t>
            </w:r>
            <w:r>
              <w:rPr>
                <w:color w:val="auto"/>
                <w:highlight w:val="none"/>
              </w:rPr>
              <w:t>μg</w:t>
            </w:r>
            <w:r>
              <w:rPr>
                <w:rFonts w:hint="eastAsia"/>
                <w:color w:val="auto"/>
                <w:highlight w:val="none"/>
              </w:rPr>
              <w:t>/m</w:t>
            </w:r>
            <w:r>
              <w:rPr>
                <w:rFonts w:hint="eastAsia"/>
                <w:color w:val="auto"/>
                <w:highlight w:val="none"/>
                <w:vertAlign w:val="superscript"/>
              </w:rPr>
              <w:t>3</w:t>
            </w:r>
            <w:r>
              <w:rPr>
                <w:rFonts w:hint="eastAsia"/>
                <w:color w:val="auto"/>
                <w:highlight w:val="none"/>
              </w:rPr>
              <w:t>时，以150</w:t>
            </w:r>
            <w:r>
              <w:rPr>
                <w:color w:val="auto"/>
                <w:highlight w:val="none"/>
              </w:rPr>
              <w:t>μg</w:t>
            </w:r>
            <w:r>
              <w:rPr>
                <w:rFonts w:hint="eastAsia"/>
                <w:color w:val="auto"/>
                <w:highlight w:val="none"/>
              </w:rPr>
              <w:t>/m</w:t>
            </w:r>
            <w:r>
              <w:rPr>
                <w:rFonts w:hint="eastAsia"/>
                <w:color w:val="auto"/>
                <w:highlight w:val="none"/>
                <w:vertAlign w:val="superscript"/>
              </w:rPr>
              <w:t>3</w:t>
            </w:r>
            <w:r>
              <w:rPr>
                <w:rFonts w:hint="eastAsia"/>
                <w:color w:val="auto"/>
                <w:highlight w:val="none"/>
              </w:rPr>
              <w:t>计。</w:t>
            </w:r>
          </w:p>
          <w:p w14:paraId="587EE1FF">
            <w:pPr>
              <w:pStyle w:val="119"/>
              <w:rPr>
                <w:rFonts w:hint="eastAsia" w:cs="宋体"/>
                <w:color w:val="auto"/>
                <w:highlight w:val="none"/>
              </w:rPr>
            </w:pPr>
            <w:r>
              <w:rPr>
                <w:rFonts w:hint="eastAsia" w:cs="宋体"/>
                <w:color w:val="auto"/>
                <w:highlight w:val="none"/>
              </w:rPr>
              <w:t>1.2 噪声</w:t>
            </w:r>
          </w:p>
          <w:p w14:paraId="50CA7ED4">
            <w:pPr>
              <w:pStyle w:val="116"/>
              <w:ind w:firstLine="420"/>
              <w:rPr>
                <w:rFonts w:cs="宋体"/>
                <w:color w:val="auto"/>
                <w:highlight w:val="none"/>
              </w:rPr>
            </w:pPr>
            <w:r>
              <w:rPr>
                <w:rFonts w:hint="eastAsia" w:cs="宋体"/>
                <w:color w:val="auto"/>
                <w:highlight w:val="none"/>
              </w:rPr>
              <w:t>建筑施工噪声执行《建筑施工噪声排放标准》（</w:t>
            </w:r>
            <w:r>
              <w:rPr>
                <w:rFonts w:hint="eastAsia" w:cs="宋体"/>
                <w:color w:val="auto"/>
                <w:highlight w:val="none"/>
                <w:lang w:eastAsia="zh-CN"/>
              </w:rPr>
              <w:t>GB12523-2025</w:t>
            </w:r>
            <w:r>
              <w:rPr>
                <w:rFonts w:hint="eastAsia" w:cs="宋体"/>
                <w:color w:val="auto"/>
                <w:highlight w:val="none"/>
              </w:rPr>
              <w:t>）中的要求，即昼间≤70dB(A)，夜间≤55dB(A)。</w:t>
            </w:r>
          </w:p>
          <w:p w14:paraId="3B97B98B">
            <w:pPr>
              <w:pStyle w:val="119"/>
              <w:rPr>
                <w:rFonts w:cs="宋体"/>
                <w:color w:val="auto"/>
                <w:highlight w:val="none"/>
              </w:rPr>
            </w:pPr>
            <w:r>
              <w:rPr>
                <w:rFonts w:cs="宋体"/>
                <w:color w:val="auto"/>
                <w:highlight w:val="none"/>
              </w:rPr>
              <w:t>1.3</w:t>
            </w:r>
            <w:r>
              <w:rPr>
                <w:rFonts w:hint="eastAsia" w:cs="宋体"/>
                <w:color w:val="auto"/>
                <w:highlight w:val="none"/>
                <w:lang w:val="en-US" w:eastAsia="zh-CN"/>
              </w:rPr>
              <w:t xml:space="preserve"> </w:t>
            </w:r>
            <w:r>
              <w:rPr>
                <w:rFonts w:hint="eastAsia" w:cs="宋体"/>
                <w:color w:val="auto"/>
                <w:highlight w:val="none"/>
              </w:rPr>
              <w:t>固体废物</w:t>
            </w:r>
          </w:p>
          <w:p w14:paraId="2C52C905">
            <w:pPr>
              <w:pStyle w:val="116"/>
              <w:ind w:firstLine="420"/>
              <w:rPr>
                <w:rFonts w:hint="eastAsia" w:cs="宋体"/>
                <w:color w:val="auto"/>
                <w:highlight w:val="none"/>
              </w:rPr>
            </w:pPr>
            <w:r>
              <w:rPr>
                <w:rFonts w:hint="eastAsia" w:cs="宋体"/>
                <w:color w:val="auto"/>
                <w:highlight w:val="none"/>
              </w:rPr>
              <w:t>建筑垃圾处置满足《建筑垃圾处理技术规范》的处理要求；施工工人的生活垃圾处置参照执行《中华人民共和国固体废物污染环境防治法》中相关要求。</w:t>
            </w:r>
          </w:p>
          <w:p w14:paraId="255E4340">
            <w:pPr>
              <w:pStyle w:val="122"/>
              <w:rPr>
                <w:color w:val="auto"/>
              </w:rPr>
            </w:pPr>
            <w:r>
              <w:rPr>
                <w:rFonts w:hint="eastAsia"/>
                <w:color w:val="auto"/>
              </w:rPr>
              <w:t>2、</w:t>
            </w:r>
            <w:r>
              <w:rPr>
                <w:color w:val="auto"/>
              </w:rPr>
              <w:t>运营期</w:t>
            </w:r>
          </w:p>
          <w:p w14:paraId="4B4F0732">
            <w:pPr>
              <w:pStyle w:val="119"/>
              <w:rPr>
                <w:color w:val="auto"/>
                <w:kern w:val="0"/>
              </w:rPr>
            </w:pPr>
            <w:r>
              <w:rPr>
                <w:rFonts w:hint="eastAsia"/>
                <w:color w:val="auto"/>
                <w:kern w:val="0"/>
              </w:rPr>
              <w:t>2.1</w:t>
            </w:r>
            <w:r>
              <w:rPr>
                <w:rFonts w:hint="eastAsia"/>
                <w:color w:val="auto"/>
                <w:kern w:val="0"/>
                <w:lang w:val="en-US" w:eastAsia="zh-CN"/>
              </w:rPr>
              <w:t xml:space="preserve"> </w:t>
            </w:r>
            <w:r>
              <w:rPr>
                <w:rFonts w:hint="eastAsia"/>
                <w:color w:val="auto"/>
                <w:kern w:val="0"/>
              </w:rPr>
              <w:t>废气</w:t>
            </w:r>
          </w:p>
          <w:p w14:paraId="07205B07">
            <w:pPr>
              <w:keepNext w:val="0"/>
              <w:keepLines w:val="0"/>
              <w:suppressLineNumbers w:val="0"/>
              <w:adjustRightInd w:val="0"/>
              <w:snapToGrid w:val="0"/>
              <w:spacing w:before="0" w:beforeAutospacing="0" w:after="0" w:afterAutospacing="0" w:line="360" w:lineRule="auto"/>
              <w:ind w:left="0" w:right="0" w:firstLine="420" w:firstLineChars="200"/>
              <w:jc w:val="both"/>
              <w:rPr>
                <w:rFonts w:hint="eastAsia" w:cs="宋体"/>
                <w:color w:val="auto"/>
                <w:highlight w:val="none"/>
              </w:rPr>
            </w:pPr>
            <w:r>
              <w:rPr>
                <w:rFonts w:hint="eastAsia" w:cs="宋体"/>
                <w:color w:val="auto"/>
                <w:highlight w:val="none"/>
              </w:rPr>
              <w:t>根据工程分析，</w:t>
            </w:r>
            <w:r>
              <w:rPr>
                <w:rFonts w:hint="eastAsia" w:cs="宋体"/>
                <w:color w:val="auto"/>
                <w:highlight w:val="none"/>
                <w:lang w:eastAsia="zh-CN"/>
              </w:rPr>
              <w:t>本项目产生的废气</w:t>
            </w:r>
            <w:r>
              <w:rPr>
                <w:rFonts w:hint="eastAsia" w:cs="宋体"/>
                <w:color w:val="auto"/>
                <w:highlight w:val="none"/>
              </w:rPr>
              <w:t>主要为抛丸废气（以颗粒物计）</w:t>
            </w:r>
            <w:r>
              <w:rPr>
                <w:rFonts w:hint="eastAsia" w:cs="宋体"/>
                <w:color w:val="auto"/>
                <w:highlight w:val="none"/>
                <w:lang w:eastAsia="zh-CN"/>
              </w:rPr>
              <w:t>、</w:t>
            </w:r>
            <w:r>
              <w:rPr>
                <w:rFonts w:hint="eastAsia"/>
                <w:b w:val="0"/>
                <w:bCs w:val="0"/>
                <w:color w:val="auto"/>
                <w:kern w:val="0"/>
                <w:sz w:val="21"/>
                <w:szCs w:val="21"/>
                <w:highlight w:val="none"/>
                <w:lang w:val="en-US" w:eastAsia="zh-CN"/>
              </w:rPr>
              <w:t>燃气炉废气</w:t>
            </w:r>
            <w:r>
              <w:rPr>
                <w:rFonts w:hint="eastAsia" w:cs="宋体"/>
                <w:color w:val="auto"/>
                <w:highlight w:val="none"/>
              </w:rPr>
              <w:t>。</w:t>
            </w:r>
          </w:p>
          <w:p w14:paraId="4086A8A5">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20" w:firstLineChars="200"/>
              <w:jc w:val="both"/>
              <w:textAlignment w:val="auto"/>
              <w:rPr>
                <w:rFonts w:hint="eastAsia" w:cs="Times New Roman"/>
                <w:b w:val="0"/>
                <w:bCs w:val="0"/>
                <w:color w:val="auto"/>
                <w:spacing w:val="-4"/>
                <w:sz w:val="21"/>
                <w:szCs w:val="21"/>
                <w:highlight w:val="none"/>
                <w:lang w:eastAsia="zh-CN"/>
              </w:rPr>
            </w:pPr>
            <w:r>
              <w:rPr>
                <w:rFonts w:hint="eastAsia" w:cs="宋体"/>
                <w:color w:val="auto"/>
                <w:highlight w:val="none"/>
              </w:rPr>
              <w:t>抛丸废气</w:t>
            </w:r>
            <w:r>
              <w:rPr>
                <w:rFonts w:hint="eastAsia"/>
                <w:b w:val="0"/>
                <w:bCs w:val="0"/>
                <w:color w:val="auto"/>
                <w:kern w:val="0"/>
                <w:sz w:val="21"/>
                <w:szCs w:val="21"/>
                <w:highlight w:val="none"/>
                <w:lang w:eastAsia="zh-CN"/>
              </w:rPr>
              <w:t>颗粒物</w:t>
            </w:r>
            <w:r>
              <w:rPr>
                <w:rFonts w:hint="eastAsia"/>
                <w:b w:val="0"/>
                <w:bCs w:val="0"/>
                <w:color w:val="auto"/>
                <w:kern w:val="0"/>
                <w:sz w:val="21"/>
                <w:szCs w:val="21"/>
                <w:highlight w:val="none"/>
                <w:lang w:val="en-US" w:eastAsia="zh-CN"/>
              </w:rPr>
              <w:t>有组织排放参照</w:t>
            </w:r>
            <w:r>
              <w:rPr>
                <w:rFonts w:hint="default" w:ascii="Times New Roman" w:hAnsi="Times New Roman"/>
                <w:b w:val="0"/>
                <w:bCs w:val="0"/>
                <w:color w:val="auto"/>
                <w:kern w:val="0"/>
                <w:sz w:val="21"/>
                <w:szCs w:val="21"/>
                <w:highlight w:val="none"/>
              </w:rPr>
              <w:t>执行</w:t>
            </w:r>
            <w:r>
              <w:rPr>
                <w:color w:val="auto"/>
                <w:highlight w:val="none"/>
              </w:rPr>
              <w:t>《钢铁工业大气污染物超低排放标准》（DB13/2169-2018）表1轧钢</w:t>
            </w:r>
            <w:r>
              <w:rPr>
                <w:rFonts w:hint="eastAsia"/>
                <w:color w:val="auto"/>
                <w:highlight w:val="none"/>
              </w:rPr>
              <w:t>（</w:t>
            </w:r>
            <w:r>
              <w:rPr>
                <w:color w:val="auto"/>
                <w:highlight w:val="none"/>
              </w:rPr>
              <w:t>热处理炉、拉矫、精整、抛丸、修磨、焊接机及其他生产设施</w:t>
            </w:r>
            <w:r>
              <w:rPr>
                <w:rFonts w:hint="eastAsia"/>
                <w:color w:val="auto"/>
                <w:highlight w:val="none"/>
              </w:rPr>
              <w:t>）</w:t>
            </w:r>
            <w:r>
              <w:rPr>
                <w:color w:val="auto"/>
                <w:highlight w:val="none"/>
              </w:rPr>
              <w:t>颗粒物排放限值</w:t>
            </w:r>
            <w:r>
              <w:rPr>
                <w:rFonts w:hint="eastAsia"/>
                <w:color w:val="auto"/>
                <w:highlight w:val="none"/>
                <w:lang w:eastAsia="zh-CN"/>
              </w:rPr>
              <w:t>。</w:t>
            </w:r>
            <w:r>
              <w:rPr>
                <w:rFonts w:hint="eastAsia"/>
                <w:b w:val="0"/>
                <w:bCs w:val="0"/>
                <w:color w:val="auto"/>
                <w:kern w:val="0"/>
                <w:sz w:val="21"/>
                <w:szCs w:val="21"/>
                <w:highlight w:val="none"/>
                <w:lang w:val="en-US" w:eastAsia="zh-CN"/>
              </w:rPr>
              <w:t>燃气炉废气排放口颗粒物、二氧化硫、氮氧化物、烟气黑度</w:t>
            </w:r>
            <w:r>
              <w:rPr>
                <w:rFonts w:hint="eastAsia" w:ascii="Times New Roman" w:hAnsi="Times New Roman" w:cs="Times New Roman"/>
                <w:b w:val="0"/>
                <w:bCs w:val="0"/>
                <w:color w:val="auto"/>
                <w:sz w:val="21"/>
                <w:szCs w:val="21"/>
                <w:highlight w:val="none"/>
                <w:lang w:eastAsia="zh-CN"/>
              </w:rPr>
              <w:t>执行</w:t>
            </w:r>
            <w:r>
              <w:rPr>
                <w:rFonts w:hint="default" w:ascii="Times New Roman" w:hAnsi="Times New Roman" w:cs="Times New Roman"/>
                <w:b w:val="0"/>
                <w:bCs w:val="0"/>
                <w:color w:val="auto"/>
                <w:sz w:val="21"/>
                <w:szCs w:val="21"/>
                <w:highlight w:val="none"/>
              </w:rPr>
              <w:t>河北省《工业炉窑大气污染物排放标准》</w:t>
            </w:r>
            <w:r>
              <w:rPr>
                <w:rFonts w:hint="eastAsia" w:cs="Times New Roman"/>
                <w:b w:val="0"/>
                <w:bCs w:val="0"/>
                <w:color w:val="auto"/>
                <w:sz w:val="21"/>
                <w:szCs w:val="21"/>
                <w:highlight w:val="none"/>
                <w:lang w:eastAsia="zh-CN"/>
              </w:rPr>
              <w:t>（</w:t>
            </w:r>
            <w:r>
              <w:rPr>
                <w:rFonts w:hint="default" w:ascii="Times New Roman" w:hAnsi="Times New Roman" w:cs="Times New Roman"/>
                <w:b w:val="0"/>
                <w:bCs w:val="0"/>
                <w:color w:val="auto"/>
                <w:sz w:val="21"/>
                <w:szCs w:val="21"/>
                <w:highlight w:val="none"/>
              </w:rPr>
              <w:t>DB13</w:t>
            </w:r>
            <w:r>
              <w:rPr>
                <w:rFonts w:hint="eastAsia" w:cs="Times New Roman"/>
                <w:b w:val="0"/>
                <w:bCs w:val="0"/>
                <w:color w:val="auto"/>
                <w:sz w:val="21"/>
                <w:szCs w:val="21"/>
                <w:highlight w:val="none"/>
                <w:lang w:val="en-US" w:eastAsia="zh-CN"/>
              </w:rPr>
              <w:t>/</w:t>
            </w:r>
            <w:r>
              <w:rPr>
                <w:rFonts w:hint="default" w:ascii="Times New Roman" w:hAnsi="Times New Roman" w:cs="Times New Roman"/>
                <w:b w:val="0"/>
                <w:bCs w:val="0"/>
                <w:color w:val="auto"/>
                <w:sz w:val="21"/>
                <w:szCs w:val="21"/>
                <w:highlight w:val="none"/>
              </w:rPr>
              <w:t>1640—2012</w:t>
            </w:r>
            <w:r>
              <w:rPr>
                <w:rFonts w:hint="eastAsia" w:cs="Times New Roman"/>
                <w:b w:val="0"/>
                <w:bCs w:val="0"/>
                <w:color w:val="auto"/>
                <w:sz w:val="21"/>
                <w:szCs w:val="21"/>
                <w:highlight w:val="none"/>
                <w:lang w:eastAsia="zh-CN"/>
              </w:rPr>
              <w:t>）</w:t>
            </w:r>
            <w:r>
              <w:rPr>
                <w:rFonts w:hint="default" w:ascii="Times New Roman" w:hAnsi="Times New Roman" w:cs="Times New Roman"/>
                <w:b w:val="0"/>
                <w:bCs w:val="0"/>
                <w:color w:val="auto"/>
                <w:spacing w:val="-4"/>
                <w:sz w:val="21"/>
                <w:szCs w:val="21"/>
                <w:highlight w:val="none"/>
              </w:rPr>
              <w:t>排放限值</w:t>
            </w:r>
            <w:r>
              <w:rPr>
                <w:rFonts w:hint="eastAsia" w:cs="Times New Roman"/>
                <w:b w:val="0"/>
                <w:bCs w:val="0"/>
                <w:color w:val="auto"/>
                <w:spacing w:val="-4"/>
                <w:sz w:val="21"/>
                <w:szCs w:val="21"/>
                <w:highlight w:val="none"/>
                <w:lang w:eastAsia="zh-CN"/>
              </w:rPr>
              <w:t>，</w:t>
            </w:r>
            <w:r>
              <w:rPr>
                <w:rFonts w:hint="default" w:ascii="Times New Roman" w:hAnsi="Times New Roman" w:cs="Times New Roman"/>
                <w:b w:val="0"/>
                <w:bCs w:val="0"/>
                <w:color w:val="auto"/>
                <w:spacing w:val="-4"/>
                <w:sz w:val="21"/>
                <w:szCs w:val="21"/>
                <w:highlight w:val="none"/>
                <w:lang w:eastAsia="zh-CN"/>
              </w:rPr>
              <w:t>同时</w:t>
            </w:r>
            <w:r>
              <w:rPr>
                <w:rFonts w:hint="eastAsia" w:ascii="Times New Roman" w:hAnsi="Times New Roman" w:cs="Times New Roman"/>
                <w:b w:val="0"/>
                <w:bCs w:val="0"/>
                <w:color w:val="auto"/>
                <w:spacing w:val="-4"/>
                <w:sz w:val="21"/>
                <w:szCs w:val="21"/>
                <w:highlight w:val="none"/>
                <w:lang w:val="en-US" w:eastAsia="zh-CN"/>
              </w:rPr>
              <w:t>执行</w:t>
            </w:r>
            <w:r>
              <w:rPr>
                <w:rFonts w:hint="default" w:ascii="Times New Roman" w:hAnsi="Times New Roman" w:cs="Times New Roman"/>
                <w:b w:val="0"/>
                <w:bCs w:val="0"/>
                <w:color w:val="auto"/>
                <w:spacing w:val="-4"/>
                <w:sz w:val="21"/>
                <w:szCs w:val="21"/>
                <w:highlight w:val="none"/>
                <w:lang w:eastAsia="zh-CN"/>
              </w:rPr>
              <w:t>《工业炉窑大气污染综合治理方案》（环大气[2019]56 号）</w:t>
            </w:r>
            <w:r>
              <w:rPr>
                <w:rFonts w:hint="eastAsia" w:ascii="宋体" w:hAnsi="宋体" w:eastAsia="宋体" w:cs="宋体"/>
                <w:b w:val="0"/>
                <w:bCs w:val="0"/>
                <w:color w:val="auto"/>
                <w:spacing w:val="-4"/>
                <w:sz w:val="21"/>
                <w:szCs w:val="21"/>
                <w:highlight w:val="none"/>
                <w:lang w:eastAsia="zh-CN"/>
              </w:rPr>
              <w:t>中“重点区域”排</w:t>
            </w:r>
            <w:r>
              <w:rPr>
                <w:rFonts w:hint="default" w:ascii="Times New Roman" w:hAnsi="Times New Roman" w:cs="Times New Roman"/>
                <w:b w:val="0"/>
                <w:bCs w:val="0"/>
                <w:color w:val="auto"/>
                <w:spacing w:val="-4"/>
                <w:sz w:val="21"/>
                <w:szCs w:val="21"/>
                <w:highlight w:val="none"/>
                <w:lang w:eastAsia="zh-CN"/>
              </w:rPr>
              <w:t>放浓度要求</w:t>
            </w:r>
            <w:r>
              <w:rPr>
                <w:rFonts w:hint="eastAsia" w:cs="Times New Roman"/>
                <w:b w:val="0"/>
                <w:bCs w:val="0"/>
                <w:color w:val="auto"/>
                <w:spacing w:val="-4"/>
                <w:sz w:val="21"/>
                <w:szCs w:val="21"/>
                <w:highlight w:val="none"/>
                <w:lang w:eastAsia="zh-CN"/>
              </w:rPr>
              <w:t>。</w:t>
            </w:r>
          </w:p>
          <w:p w14:paraId="61075A9B">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04" w:firstLineChars="200"/>
              <w:jc w:val="both"/>
              <w:textAlignment w:val="auto"/>
              <w:rPr>
                <w:rFonts w:hint="eastAsia" w:eastAsia="宋体" w:cs="Times New Roman"/>
                <w:b w:val="0"/>
                <w:bCs w:val="0"/>
                <w:color w:val="auto"/>
                <w:spacing w:val="-4"/>
                <w:sz w:val="21"/>
                <w:szCs w:val="21"/>
                <w:highlight w:val="none"/>
                <w:lang w:val="en-US" w:eastAsia="zh-CN"/>
              </w:rPr>
            </w:pPr>
            <w:r>
              <w:rPr>
                <w:rFonts w:hint="eastAsia" w:cs="Times New Roman"/>
                <w:b w:val="0"/>
                <w:bCs w:val="0"/>
                <w:color w:val="auto"/>
                <w:spacing w:val="-4"/>
                <w:sz w:val="21"/>
                <w:szCs w:val="21"/>
                <w:highlight w:val="none"/>
                <w:lang w:val="en-US" w:eastAsia="zh-CN"/>
              </w:rPr>
              <w:t>无组织颗粒物排放</w:t>
            </w:r>
            <w:r>
              <w:rPr>
                <w:rFonts w:hint="eastAsia"/>
                <w:b w:val="0"/>
                <w:bCs w:val="0"/>
                <w:color w:val="auto"/>
                <w:kern w:val="0"/>
                <w:sz w:val="21"/>
                <w:szCs w:val="21"/>
                <w:highlight w:val="none"/>
                <w:lang w:val="en-US" w:eastAsia="zh-CN"/>
              </w:rPr>
              <w:t>参照</w:t>
            </w:r>
            <w:r>
              <w:rPr>
                <w:rFonts w:hint="default" w:ascii="Times New Roman" w:hAnsi="Times New Roman"/>
                <w:b w:val="0"/>
                <w:bCs w:val="0"/>
                <w:color w:val="auto"/>
                <w:kern w:val="0"/>
                <w:sz w:val="21"/>
                <w:szCs w:val="21"/>
                <w:highlight w:val="none"/>
              </w:rPr>
              <w:t>执行</w:t>
            </w:r>
            <w:r>
              <w:rPr>
                <w:color w:val="auto"/>
              </w:rPr>
              <w:t>《钢铁工业大气污染物超低排放标准》（DB13/2169-2018）表</w:t>
            </w:r>
            <w:r>
              <w:rPr>
                <w:rFonts w:hint="eastAsia"/>
                <w:color w:val="auto"/>
              </w:rPr>
              <w:t>5企业大气污染物无组织排放浓度限值</w:t>
            </w:r>
            <w:r>
              <w:rPr>
                <w:rFonts w:hint="eastAsia"/>
                <w:color w:val="auto"/>
                <w:lang w:eastAsia="zh-CN"/>
              </w:rPr>
              <w:t>。</w:t>
            </w:r>
          </w:p>
          <w:p w14:paraId="38F614F3">
            <w:pPr>
              <w:pStyle w:val="116"/>
              <w:ind w:firstLine="420"/>
              <w:rPr>
                <w:rFonts w:cs="宋体"/>
                <w:color w:val="auto"/>
                <w:highlight w:val="none"/>
              </w:rPr>
            </w:pPr>
            <w:r>
              <w:rPr>
                <w:rFonts w:hint="eastAsia" w:cs="宋体"/>
                <w:color w:val="auto"/>
                <w:highlight w:val="none"/>
              </w:rPr>
              <w:t>具体限值要求见</w:t>
            </w:r>
            <w:r>
              <w:rPr>
                <w:color w:val="auto"/>
                <w:highlight w:val="none"/>
              </w:rPr>
              <w:t>下表</w:t>
            </w:r>
            <w:r>
              <w:rPr>
                <w:rFonts w:hint="eastAsia" w:cs="宋体"/>
                <w:color w:val="auto"/>
                <w:highlight w:val="none"/>
              </w:rPr>
              <w:t>。</w:t>
            </w:r>
          </w:p>
          <w:p w14:paraId="459DDFFE">
            <w:pPr>
              <w:pStyle w:val="10"/>
              <w:rPr>
                <w:color w:val="auto"/>
                <w:highlight w:val="none"/>
              </w:rPr>
            </w:pPr>
            <w:r>
              <w:rPr>
                <w:rFonts w:hint="eastAsia"/>
                <w:color w:val="auto"/>
                <w:highlight w:val="none"/>
              </w:rPr>
              <w:t>表3</w:t>
            </w:r>
            <w:r>
              <w:rPr>
                <w:rFonts w:hint="eastAsia"/>
                <w:color w:val="auto"/>
                <w:highlight w:val="none"/>
                <w:lang w:eastAsia="zh-CN"/>
              </w:rPr>
              <w:t>-</w:t>
            </w:r>
            <w:r>
              <w:rPr>
                <w:color w:val="auto"/>
                <w:highlight w:val="none"/>
              </w:rPr>
              <w:fldChar w:fldCharType="begin"/>
            </w:r>
            <w:r>
              <w:rPr>
                <w:color w:val="auto"/>
                <w:highlight w:val="none"/>
              </w:rPr>
              <w:instrText xml:space="preserve"> </w:instrText>
            </w:r>
            <w:r>
              <w:rPr>
                <w:rFonts w:hint="eastAsia"/>
                <w:color w:val="auto"/>
                <w:highlight w:val="none"/>
              </w:rPr>
              <w:instrText xml:space="preserve">SEQ 表3- \* ARABIC</w:instrText>
            </w:r>
            <w:r>
              <w:rPr>
                <w:color w:val="auto"/>
                <w:highlight w:val="none"/>
              </w:rPr>
              <w:instrText xml:space="preserve"> </w:instrText>
            </w:r>
            <w:r>
              <w:rPr>
                <w:color w:val="auto"/>
                <w:highlight w:val="none"/>
              </w:rPr>
              <w:fldChar w:fldCharType="separate"/>
            </w:r>
            <w:r>
              <w:rPr>
                <w:color w:val="auto"/>
                <w:highlight w:val="none"/>
              </w:rPr>
              <w:t>6</w:t>
            </w:r>
            <w:r>
              <w:rPr>
                <w:color w:val="auto"/>
                <w:highlight w:val="none"/>
              </w:rPr>
              <w:fldChar w:fldCharType="end"/>
            </w:r>
            <w:r>
              <w:rPr>
                <w:color w:val="auto"/>
                <w:szCs w:val="21"/>
                <w:highlight w:val="none"/>
              </w:rPr>
              <w:t>大气污染物排放标准</w:t>
            </w:r>
          </w:p>
          <w:tbl>
            <w:tblPr>
              <w:tblStyle w:val="33"/>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5"/>
              <w:gridCol w:w="840"/>
              <w:gridCol w:w="1080"/>
              <w:gridCol w:w="1155"/>
              <w:gridCol w:w="4314"/>
            </w:tblGrid>
            <w:tr w14:paraId="3DA89B3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18" w:type="pct"/>
                  <w:vAlign w:val="center"/>
                </w:tcPr>
                <w:p w14:paraId="2C5DC1C9">
                  <w:pPr>
                    <w:jc w:val="center"/>
                    <w:rPr>
                      <w:color w:val="auto"/>
                      <w:highlight w:val="none"/>
                    </w:rPr>
                  </w:pPr>
                  <w:r>
                    <w:rPr>
                      <w:rFonts w:hint="eastAsia"/>
                      <w:color w:val="auto"/>
                      <w:highlight w:val="none"/>
                    </w:rPr>
                    <w:t>类别</w:t>
                  </w:r>
                </w:p>
              </w:tc>
              <w:tc>
                <w:tcPr>
                  <w:tcW w:w="520" w:type="pct"/>
                  <w:vAlign w:val="center"/>
                </w:tcPr>
                <w:p w14:paraId="2EBCF477">
                  <w:pPr>
                    <w:jc w:val="center"/>
                    <w:rPr>
                      <w:color w:val="auto"/>
                      <w:highlight w:val="none"/>
                    </w:rPr>
                  </w:pPr>
                  <w:r>
                    <w:rPr>
                      <w:color w:val="auto"/>
                      <w:highlight w:val="none"/>
                    </w:rPr>
                    <w:t>污染源</w:t>
                  </w:r>
                </w:p>
              </w:tc>
              <w:tc>
                <w:tcPr>
                  <w:tcW w:w="669" w:type="pct"/>
                  <w:vAlign w:val="center"/>
                </w:tcPr>
                <w:p w14:paraId="1554BEF1">
                  <w:pPr>
                    <w:jc w:val="center"/>
                    <w:rPr>
                      <w:color w:val="auto"/>
                      <w:highlight w:val="none"/>
                    </w:rPr>
                  </w:pPr>
                  <w:r>
                    <w:rPr>
                      <w:color w:val="auto"/>
                      <w:highlight w:val="none"/>
                    </w:rPr>
                    <w:t>污染物</w:t>
                  </w:r>
                </w:p>
              </w:tc>
              <w:tc>
                <w:tcPr>
                  <w:tcW w:w="716" w:type="pct"/>
                  <w:vAlign w:val="center"/>
                </w:tcPr>
                <w:p w14:paraId="38D6BDFC">
                  <w:pPr>
                    <w:jc w:val="center"/>
                    <w:rPr>
                      <w:color w:val="auto"/>
                      <w:highlight w:val="none"/>
                    </w:rPr>
                  </w:pPr>
                  <w:r>
                    <w:rPr>
                      <w:color w:val="auto"/>
                      <w:highlight w:val="none"/>
                    </w:rPr>
                    <w:t>限值</w:t>
                  </w:r>
                </w:p>
              </w:tc>
              <w:tc>
                <w:tcPr>
                  <w:tcW w:w="2674" w:type="pct"/>
                  <w:vAlign w:val="center"/>
                </w:tcPr>
                <w:p w14:paraId="641891C9">
                  <w:pPr>
                    <w:jc w:val="center"/>
                    <w:rPr>
                      <w:color w:val="auto"/>
                      <w:highlight w:val="none"/>
                    </w:rPr>
                  </w:pPr>
                  <w:r>
                    <w:rPr>
                      <w:color w:val="auto"/>
                      <w:highlight w:val="none"/>
                    </w:rPr>
                    <w:t>标准来源</w:t>
                  </w:r>
                </w:p>
              </w:tc>
            </w:tr>
            <w:tr w14:paraId="678F486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74" w:hRule="atLeast"/>
              </w:trPr>
              <w:tc>
                <w:tcPr>
                  <w:tcW w:w="418" w:type="pct"/>
                  <w:vMerge w:val="restart"/>
                  <w:vAlign w:val="center"/>
                </w:tcPr>
                <w:p w14:paraId="08766F97">
                  <w:pPr>
                    <w:jc w:val="center"/>
                    <w:rPr>
                      <w:color w:val="auto"/>
                      <w:highlight w:val="none"/>
                    </w:rPr>
                  </w:pPr>
                  <w:r>
                    <w:rPr>
                      <w:rFonts w:hint="eastAsia"/>
                      <w:color w:val="auto"/>
                      <w:highlight w:val="none"/>
                    </w:rPr>
                    <w:t>有组织</w:t>
                  </w:r>
                </w:p>
              </w:tc>
              <w:tc>
                <w:tcPr>
                  <w:tcW w:w="520" w:type="pct"/>
                  <w:vAlign w:val="center"/>
                </w:tcPr>
                <w:p w14:paraId="5ADD58BB">
                  <w:pPr>
                    <w:jc w:val="center"/>
                    <w:rPr>
                      <w:color w:val="auto"/>
                      <w:highlight w:val="none"/>
                    </w:rPr>
                  </w:pPr>
                  <w:r>
                    <w:rPr>
                      <w:rFonts w:hint="eastAsia" w:cs="宋体"/>
                      <w:color w:val="auto"/>
                      <w:highlight w:val="none"/>
                    </w:rPr>
                    <w:t>抛丸废气</w:t>
                  </w:r>
                  <w:r>
                    <w:rPr>
                      <w:rFonts w:hint="eastAsia"/>
                      <w:b w:val="0"/>
                      <w:bCs w:val="0"/>
                      <w:color w:val="auto"/>
                      <w:kern w:val="0"/>
                      <w:sz w:val="21"/>
                      <w:szCs w:val="21"/>
                      <w:highlight w:val="none"/>
                      <w:lang w:val="en-US" w:eastAsia="zh-CN"/>
                    </w:rPr>
                    <w:t>排放口</w:t>
                  </w:r>
                </w:p>
              </w:tc>
              <w:tc>
                <w:tcPr>
                  <w:tcW w:w="669" w:type="pct"/>
                  <w:vAlign w:val="center"/>
                </w:tcPr>
                <w:p w14:paraId="5C7B69C7">
                  <w:pPr>
                    <w:jc w:val="center"/>
                    <w:rPr>
                      <w:color w:val="auto"/>
                      <w:highlight w:val="none"/>
                    </w:rPr>
                  </w:pPr>
                  <w:r>
                    <w:rPr>
                      <w:rFonts w:hint="eastAsia"/>
                      <w:color w:val="auto"/>
                      <w:highlight w:val="none"/>
                    </w:rPr>
                    <w:t>颗粒物</w:t>
                  </w:r>
                </w:p>
              </w:tc>
              <w:tc>
                <w:tcPr>
                  <w:tcW w:w="716" w:type="pct"/>
                  <w:vAlign w:val="center"/>
                </w:tcPr>
                <w:p w14:paraId="718D3A6F">
                  <w:pPr>
                    <w:jc w:val="center"/>
                    <w:rPr>
                      <w:color w:val="auto"/>
                      <w:highlight w:val="none"/>
                    </w:rPr>
                  </w:pPr>
                  <w:r>
                    <w:rPr>
                      <w:rFonts w:hint="eastAsia"/>
                      <w:color w:val="auto"/>
                      <w:highlight w:val="none"/>
                    </w:rPr>
                    <w:t>10</w:t>
                  </w:r>
                  <w:r>
                    <w:rPr>
                      <w:color w:val="auto"/>
                      <w:highlight w:val="none"/>
                    </w:rPr>
                    <w:t>mg/m</w:t>
                  </w:r>
                  <w:r>
                    <w:rPr>
                      <w:color w:val="auto"/>
                      <w:highlight w:val="none"/>
                      <w:vertAlign w:val="superscript"/>
                    </w:rPr>
                    <w:t>3</w:t>
                  </w:r>
                </w:p>
              </w:tc>
              <w:tc>
                <w:tcPr>
                  <w:tcW w:w="2674" w:type="pct"/>
                  <w:vAlign w:val="center"/>
                </w:tcPr>
                <w:p w14:paraId="26A3F7B7">
                  <w:pPr>
                    <w:jc w:val="center"/>
                    <w:rPr>
                      <w:color w:val="auto"/>
                      <w:highlight w:val="none"/>
                    </w:rPr>
                  </w:pPr>
                  <w:r>
                    <w:rPr>
                      <w:color w:val="auto"/>
                      <w:highlight w:val="none"/>
                    </w:rPr>
                    <w:t>《钢铁工业大气污染物超低排放标准》（DB13/2169-2018）表1轧钢</w:t>
                  </w:r>
                  <w:r>
                    <w:rPr>
                      <w:rFonts w:hint="eastAsia"/>
                      <w:color w:val="auto"/>
                      <w:highlight w:val="none"/>
                    </w:rPr>
                    <w:t>（</w:t>
                  </w:r>
                  <w:r>
                    <w:rPr>
                      <w:color w:val="auto"/>
                      <w:highlight w:val="none"/>
                    </w:rPr>
                    <w:t>热处理炉、拉矫、精整、抛丸、修磨、焊接机及其他生产设施</w:t>
                  </w:r>
                  <w:r>
                    <w:rPr>
                      <w:rFonts w:hint="eastAsia"/>
                      <w:color w:val="auto"/>
                      <w:highlight w:val="none"/>
                    </w:rPr>
                    <w:t>）</w:t>
                  </w:r>
                  <w:r>
                    <w:rPr>
                      <w:color w:val="auto"/>
                      <w:highlight w:val="none"/>
                    </w:rPr>
                    <w:t>颗粒物排放限值</w:t>
                  </w:r>
                </w:p>
              </w:tc>
            </w:tr>
            <w:tr w14:paraId="5449064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418" w:type="pct"/>
                  <w:vMerge w:val="continue"/>
                  <w:vAlign w:val="center"/>
                </w:tcPr>
                <w:p w14:paraId="4FC8318D">
                  <w:pPr>
                    <w:jc w:val="center"/>
                    <w:rPr>
                      <w:color w:val="auto"/>
                      <w:highlight w:val="none"/>
                    </w:rPr>
                  </w:pPr>
                </w:p>
              </w:tc>
              <w:tc>
                <w:tcPr>
                  <w:tcW w:w="520" w:type="pct"/>
                  <w:vMerge w:val="restart"/>
                  <w:vAlign w:val="center"/>
                </w:tcPr>
                <w:p w14:paraId="0ED375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color w:val="auto"/>
                      <w:highlight w:val="none"/>
                    </w:rPr>
                  </w:pPr>
                  <w:r>
                    <w:rPr>
                      <w:rFonts w:hint="eastAsia"/>
                      <w:b w:val="0"/>
                      <w:bCs w:val="0"/>
                      <w:color w:val="auto"/>
                      <w:kern w:val="0"/>
                      <w:sz w:val="21"/>
                      <w:szCs w:val="21"/>
                      <w:highlight w:val="none"/>
                      <w:lang w:val="en-US" w:eastAsia="zh-CN"/>
                    </w:rPr>
                    <w:t>燃气炉废气排放口</w:t>
                  </w:r>
                </w:p>
              </w:tc>
              <w:tc>
                <w:tcPr>
                  <w:tcW w:w="669" w:type="pct"/>
                  <w:vAlign w:val="center"/>
                </w:tcPr>
                <w:p w14:paraId="20DB5B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color w:val="auto"/>
                      <w:highlight w:val="none"/>
                    </w:rPr>
                  </w:pPr>
                  <w:r>
                    <w:rPr>
                      <w:rFonts w:hint="default" w:ascii="Times New Roman" w:hAnsi="Times New Roman" w:cs="Times New Roman"/>
                      <w:snapToGrid w:val="0"/>
                      <w:color w:val="auto"/>
                      <w:kern w:val="0"/>
                      <w:sz w:val="21"/>
                      <w:szCs w:val="21"/>
                      <w:highlight w:val="none"/>
                      <w:lang w:eastAsia="zh-CN"/>
                    </w:rPr>
                    <w:t>颗粒物</w:t>
                  </w:r>
                </w:p>
              </w:tc>
              <w:tc>
                <w:tcPr>
                  <w:tcW w:w="716" w:type="pct"/>
                  <w:vAlign w:val="center"/>
                </w:tcPr>
                <w:p w14:paraId="23B66B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color w:val="auto"/>
                      <w:highlight w:val="none"/>
                    </w:rPr>
                  </w:pPr>
                  <w:r>
                    <w:rPr>
                      <w:rFonts w:hint="eastAsia" w:ascii="Times New Roman" w:hAnsi="Times New Roman" w:cs="Times New Roman"/>
                      <w:snapToGrid w:val="0"/>
                      <w:color w:val="auto"/>
                      <w:kern w:val="0"/>
                      <w:sz w:val="21"/>
                      <w:szCs w:val="21"/>
                      <w:highlight w:val="none"/>
                      <w:lang w:val="en-US" w:eastAsia="zh-CN"/>
                    </w:rPr>
                    <w:t>3</w:t>
                  </w:r>
                  <w:r>
                    <w:rPr>
                      <w:rFonts w:hint="default" w:ascii="Times New Roman" w:hAnsi="Times New Roman" w:cs="Times New Roman"/>
                      <w:snapToGrid w:val="0"/>
                      <w:color w:val="auto"/>
                      <w:kern w:val="0"/>
                      <w:sz w:val="21"/>
                      <w:szCs w:val="21"/>
                      <w:highlight w:val="none"/>
                      <w:lang w:val="en-US" w:eastAsia="zh-CN"/>
                    </w:rPr>
                    <w:t>0mg/m</w:t>
                  </w:r>
                  <w:r>
                    <w:rPr>
                      <w:rFonts w:hint="default" w:ascii="Times New Roman" w:hAnsi="Times New Roman" w:cs="Times New Roman"/>
                      <w:snapToGrid w:val="0"/>
                      <w:color w:val="auto"/>
                      <w:kern w:val="0"/>
                      <w:sz w:val="21"/>
                      <w:szCs w:val="21"/>
                      <w:highlight w:val="none"/>
                      <w:vertAlign w:val="superscript"/>
                      <w:lang w:val="en-US" w:eastAsia="zh-CN"/>
                    </w:rPr>
                    <w:t>3</w:t>
                  </w:r>
                </w:p>
              </w:tc>
              <w:tc>
                <w:tcPr>
                  <w:tcW w:w="2674" w:type="pct"/>
                  <w:vMerge w:val="restart"/>
                  <w:vAlign w:val="center"/>
                </w:tcPr>
                <w:p w14:paraId="0A473152">
                  <w:pPr>
                    <w:jc w:val="center"/>
                    <w:rPr>
                      <w:color w:val="auto"/>
                      <w:highlight w:val="none"/>
                    </w:rPr>
                  </w:pPr>
                  <w:r>
                    <w:rPr>
                      <w:rFonts w:hint="eastAsia" w:ascii="Times New Roman" w:hAnsi="Times New Roman" w:cs="Times New Roman"/>
                      <w:b w:val="0"/>
                      <w:bCs w:val="0"/>
                      <w:color w:val="auto"/>
                      <w:sz w:val="21"/>
                      <w:szCs w:val="21"/>
                      <w:highlight w:val="none"/>
                      <w:lang w:eastAsia="zh-CN"/>
                    </w:rPr>
                    <w:t>《</w:t>
                  </w:r>
                  <w:r>
                    <w:rPr>
                      <w:rFonts w:hint="default" w:ascii="Times New Roman" w:hAnsi="Times New Roman" w:cs="Times New Roman"/>
                      <w:b w:val="0"/>
                      <w:bCs w:val="0"/>
                      <w:color w:val="auto"/>
                      <w:sz w:val="21"/>
                      <w:szCs w:val="21"/>
                      <w:highlight w:val="none"/>
                    </w:rPr>
                    <w:t>工业炉窑大气污染物排放标准》</w:t>
                  </w:r>
                  <w:r>
                    <w:rPr>
                      <w:rFonts w:hint="eastAsia" w:cs="Times New Roman"/>
                      <w:b w:val="0"/>
                      <w:bCs w:val="0"/>
                      <w:color w:val="auto"/>
                      <w:sz w:val="21"/>
                      <w:szCs w:val="21"/>
                      <w:highlight w:val="none"/>
                      <w:lang w:eastAsia="zh-CN"/>
                    </w:rPr>
                    <w:t>（DB13/1640—2012）</w:t>
                  </w:r>
                  <w:r>
                    <w:rPr>
                      <w:rFonts w:hint="default" w:ascii="Times New Roman" w:hAnsi="Times New Roman" w:cs="Times New Roman"/>
                      <w:b w:val="0"/>
                      <w:bCs w:val="0"/>
                      <w:color w:val="auto"/>
                      <w:spacing w:val="-4"/>
                      <w:sz w:val="21"/>
                      <w:szCs w:val="21"/>
                      <w:highlight w:val="none"/>
                    </w:rPr>
                    <w:t>排放限值</w:t>
                  </w:r>
                  <w:r>
                    <w:rPr>
                      <w:rFonts w:hint="eastAsia" w:cs="Times New Roman"/>
                      <w:b w:val="0"/>
                      <w:bCs w:val="0"/>
                      <w:color w:val="auto"/>
                      <w:spacing w:val="-4"/>
                      <w:sz w:val="21"/>
                      <w:szCs w:val="21"/>
                      <w:highlight w:val="none"/>
                      <w:lang w:eastAsia="zh-CN"/>
                    </w:rPr>
                    <w:t>，</w:t>
                  </w:r>
                  <w:r>
                    <w:rPr>
                      <w:rFonts w:hint="default" w:ascii="Times New Roman" w:hAnsi="Times New Roman" w:cs="Times New Roman"/>
                      <w:b w:val="0"/>
                      <w:bCs w:val="0"/>
                      <w:color w:val="auto"/>
                      <w:spacing w:val="-4"/>
                      <w:sz w:val="21"/>
                      <w:szCs w:val="21"/>
                      <w:highlight w:val="none"/>
                      <w:lang w:eastAsia="zh-CN"/>
                    </w:rPr>
                    <w:t>同时</w:t>
                  </w:r>
                  <w:r>
                    <w:rPr>
                      <w:rFonts w:hint="default" w:ascii="Times New Roman" w:hAnsi="Times New Roman" w:eastAsia="宋体" w:cs="Times New Roman"/>
                      <w:snapToGrid w:val="0"/>
                      <w:color w:val="auto"/>
                      <w:kern w:val="0"/>
                      <w:sz w:val="21"/>
                      <w:szCs w:val="21"/>
                      <w:highlight w:val="none"/>
                      <w:lang w:val="en-US" w:eastAsia="zh-CN"/>
                    </w:rPr>
                    <w:t>执行</w:t>
                  </w:r>
                  <w:r>
                    <w:rPr>
                      <w:rFonts w:hint="default" w:ascii="Times New Roman" w:hAnsi="Times New Roman" w:cs="Times New Roman"/>
                      <w:b w:val="0"/>
                      <w:bCs w:val="0"/>
                      <w:color w:val="auto"/>
                      <w:spacing w:val="-4"/>
                      <w:sz w:val="21"/>
                      <w:szCs w:val="21"/>
                      <w:highlight w:val="none"/>
                      <w:lang w:eastAsia="zh-CN"/>
                    </w:rPr>
                    <w:t>《工业炉窑大气污染综合治理方案》（环大气[2019]56 号）</w:t>
                  </w:r>
                  <w:r>
                    <w:rPr>
                      <w:rFonts w:hint="eastAsia" w:ascii="宋体" w:hAnsi="宋体" w:eastAsia="宋体" w:cs="宋体"/>
                      <w:b w:val="0"/>
                      <w:bCs w:val="0"/>
                      <w:color w:val="auto"/>
                      <w:spacing w:val="-4"/>
                      <w:sz w:val="21"/>
                      <w:szCs w:val="21"/>
                      <w:highlight w:val="none"/>
                      <w:lang w:eastAsia="zh-CN"/>
                    </w:rPr>
                    <w:t>中“重点区域”排</w:t>
                  </w:r>
                  <w:r>
                    <w:rPr>
                      <w:rFonts w:hint="default" w:ascii="Times New Roman" w:hAnsi="Times New Roman" w:cs="Times New Roman"/>
                      <w:b w:val="0"/>
                      <w:bCs w:val="0"/>
                      <w:color w:val="auto"/>
                      <w:spacing w:val="-4"/>
                      <w:sz w:val="21"/>
                      <w:szCs w:val="21"/>
                      <w:highlight w:val="none"/>
                      <w:lang w:eastAsia="zh-CN"/>
                    </w:rPr>
                    <w:t>放浓度要求</w:t>
                  </w:r>
                  <w:r>
                    <w:rPr>
                      <w:rFonts w:hint="eastAsia" w:cs="Times New Roman"/>
                      <w:b w:val="0"/>
                      <w:bCs w:val="0"/>
                      <w:color w:val="auto"/>
                      <w:spacing w:val="-4"/>
                      <w:sz w:val="21"/>
                      <w:szCs w:val="21"/>
                      <w:highlight w:val="none"/>
                      <w:lang w:eastAsia="zh-CN"/>
                    </w:rPr>
                    <w:t>（</w:t>
                  </w:r>
                  <w:r>
                    <w:rPr>
                      <w:rFonts w:hint="default" w:ascii="Times New Roman" w:hAnsi="Times New Roman" w:eastAsia="宋体" w:cs="Times New Roman"/>
                      <w:snapToGrid w:val="0"/>
                      <w:color w:val="auto"/>
                      <w:kern w:val="0"/>
                      <w:sz w:val="21"/>
                      <w:szCs w:val="21"/>
                      <w:highlight w:val="none"/>
                      <w:lang w:val="en-US" w:eastAsia="zh-CN"/>
                    </w:rPr>
                    <w:t>排气筒高度不低于15m，高于周围半径200m距离内建筑物</w:t>
                  </w:r>
                  <w:r>
                    <w:rPr>
                      <w:rFonts w:hint="eastAsia" w:cs="Times New Roman"/>
                      <w:snapToGrid w:val="0"/>
                      <w:color w:val="auto"/>
                      <w:kern w:val="0"/>
                      <w:sz w:val="21"/>
                      <w:szCs w:val="21"/>
                      <w:highlight w:val="none"/>
                      <w:lang w:val="en-US" w:eastAsia="zh-CN"/>
                    </w:rPr>
                    <w:t>3</w:t>
                  </w:r>
                  <w:r>
                    <w:rPr>
                      <w:rFonts w:hint="default" w:ascii="Times New Roman" w:hAnsi="Times New Roman" w:eastAsia="宋体" w:cs="Times New Roman"/>
                      <w:snapToGrid w:val="0"/>
                      <w:color w:val="auto"/>
                      <w:kern w:val="0"/>
                      <w:sz w:val="21"/>
                      <w:szCs w:val="21"/>
                      <w:highlight w:val="none"/>
                      <w:lang w:val="en-US" w:eastAsia="zh-CN"/>
                    </w:rPr>
                    <w:t>m以上</w:t>
                  </w:r>
                  <w:r>
                    <w:rPr>
                      <w:rFonts w:hint="eastAsia" w:cs="Times New Roman"/>
                      <w:b w:val="0"/>
                      <w:bCs w:val="0"/>
                      <w:color w:val="auto"/>
                      <w:spacing w:val="-4"/>
                      <w:sz w:val="21"/>
                      <w:szCs w:val="21"/>
                      <w:highlight w:val="none"/>
                      <w:lang w:eastAsia="zh-CN"/>
                    </w:rPr>
                    <w:t>）</w:t>
                  </w:r>
                </w:p>
              </w:tc>
            </w:tr>
            <w:tr w14:paraId="5189C98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418" w:type="pct"/>
                  <w:vMerge w:val="continue"/>
                  <w:vAlign w:val="center"/>
                </w:tcPr>
                <w:p w14:paraId="64F9B1DC">
                  <w:pPr>
                    <w:jc w:val="center"/>
                    <w:rPr>
                      <w:color w:val="auto"/>
                      <w:highlight w:val="none"/>
                    </w:rPr>
                  </w:pPr>
                </w:p>
              </w:tc>
              <w:tc>
                <w:tcPr>
                  <w:tcW w:w="520" w:type="pct"/>
                  <w:vMerge w:val="continue"/>
                  <w:vAlign w:val="center"/>
                </w:tcPr>
                <w:p w14:paraId="24F3EF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color w:val="auto"/>
                      <w:highlight w:val="none"/>
                    </w:rPr>
                  </w:pPr>
                </w:p>
              </w:tc>
              <w:tc>
                <w:tcPr>
                  <w:tcW w:w="669" w:type="pct"/>
                  <w:vAlign w:val="center"/>
                </w:tcPr>
                <w:p w14:paraId="2DFFF7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color w:val="auto"/>
                      <w:highlight w:val="none"/>
                    </w:rPr>
                  </w:pPr>
                  <w:r>
                    <w:rPr>
                      <w:rFonts w:hint="default" w:ascii="Times New Roman" w:hAnsi="Times New Roman" w:cs="Times New Roman"/>
                      <w:snapToGrid w:val="0"/>
                      <w:color w:val="auto"/>
                      <w:kern w:val="0"/>
                      <w:sz w:val="21"/>
                      <w:szCs w:val="21"/>
                      <w:highlight w:val="none"/>
                      <w:lang w:val="en-US" w:eastAsia="zh-CN"/>
                    </w:rPr>
                    <w:t>二氧化硫</w:t>
                  </w:r>
                </w:p>
              </w:tc>
              <w:tc>
                <w:tcPr>
                  <w:tcW w:w="716" w:type="pct"/>
                  <w:vAlign w:val="center"/>
                </w:tcPr>
                <w:p w14:paraId="2AA44F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color w:val="auto"/>
                      <w:highlight w:val="none"/>
                    </w:rPr>
                  </w:pPr>
                  <w:r>
                    <w:rPr>
                      <w:rFonts w:hint="default" w:ascii="Times New Roman" w:hAnsi="Times New Roman" w:cs="Times New Roman"/>
                      <w:snapToGrid w:val="0"/>
                      <w:color w:val="auto"/>
                      <w:kern w:val="0"/>
                      <w:sz w:val="21"/>
                      <w:szCs w:val="21"/>
                      <w:highlight w:val="none"/>
                      <w:lang w:val="en-US" w:eastAsia="zh-CN"/>
                    </w:rPr>
                    <w:t>200mg/m</w:t>
                  </w:r>
                  <w:r>
                    <w:rPr>
                      <w:rFonts w:hint="default" w:ascii="Times New Roman" w:hAnsi="Times New Roman" w:cs="Times New Roman"/>
                      <w:snapToGrid w:val="0"/>
                      <w:color w:val="auto"/>
                      <w:kern w:val="0"/>
                      <w:sz w:val="21"/>
                      <w:szCs w:val="21"/>
                      <w:highlight w:val="none"/>
                      <w:vertAlign w:val="superscript"/>
                      <w:lang w:val="en-US" w:eastAsia="zh-CN"/>
                    </w:rPr>
                    <w:t>3</w:t>
                  </w:r>
                </w:p>
              </w:tc>
              <w:tc>
                <w:tcPr>
                  <w:tcW w:w="2674" w:type="pct"/>
                  <w:vMerge w:val="continue"/>
                  <w:vAlign w:val="center"/>
                </w:tcPr>
                <w:p w14:paraId="114A2B2A">
                  <w:pPr>
                    <w:jc w:val="center"/>
                    <w:rPr>
                      <w:color w:val="auto"/>
                      <w:highlight w:val="none"/>
                    </w:rPr>
                  </w:pPr>
                </w:p>
              </w:tc>
            </w:tr>
            <w:tr w14:paraId="061F65E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418" w:type="pct"/>
                  <w:vMerge w:val="continue"/>
                  <w:vAlign w:val="center"/>
                </w:tcPr>
                <w:p w14:paraId="66542CEF">
                  <w:pPr>
                    <w:jc w:val="center"/>
                    <w:rPr>
                      <w:color w:val="auto"/>
                      <w:highlight w:val="none"/>
                    </w:rPr>
                  </w:pPr>
                </w:p>
              </w:tc>
              <w:tc>
                <w:tcPr>
                  <w:tcW w:w="520" w:type="pct"/>
                  <w:vMerge w:val="continue"/>
                  <w:vAlign w:val="center"/>
                </w:tcPr>
                <w:p w14:paraId="497839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color w:val="auto"/>
                      <w:highlight w:val="none"/>
                    </w:rPr>
                  </w:pPr>
                </w:p>
              </w:tc>
              <w:tc>
                <w:tcPr>
                  <w:tcW w:w="669" w:type="pct"/>
                  <w:shd w:val="clear" w:color="auto" w:fill="auto"/>
                  <w:vAlign w:val="center"/>
                </w:tcPr>
                <w:p w14:paraId="15AB59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snapToGrid w:val="0"/>
                      <w:color w:val="auto"/>
                      <w:kern w:val="0"/>
                      <w:sz w:val="21"/>
                      <w:szCs w:val="21"/>
                      <w:highlight w:val="none"/>
                      <w:lang w:eastAsia="zh-CN"/>
                    </w:rPr>
                    <w:t>氮氧化物</w:t>
                  </w:r>
                </w:p>
              </w:tc>
              <w:tc>
                <w:tcPr>
                  <w:tcW w:w="716" w:type="pct"/>
                  <w:shd w:val="clear" w:color="auto" w:fill="auto"/>
                  <w:vAlign w:val="center"/>
                </w:tcPr>
                <w:p w14:paraId="33A916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snapToGrid w:val="0"/>
                      <w:color w:val="auto"/>
                      <w:kern w:val="0"/>
                      <w:sz w:val="21"/>
                      <w:szCs w:val="21"/>
                      <w:highlight w:val="none"/>
                      <w:lang w:val="en-US" w:eastAsia="zh-CN"/>
                    </w:rPr>
                    <w:t>300mg/m</w:t>
                  </w:r>
                  <w:r>
                    <w:rPr>
                      <w:rFonts w:hint="default" w:ascii="Times New Roman" w:hAnsi="Times New Roman" w:cs="Times New Roman"/>
                      <w:snapToGrid w:val="0"/>
                      <w:color w:val="auto"/>
                      <w:kern w:val="0"/>
                      <w:sz w:val="21"/>
                      <w:szCs w:val="21"/>
                      <w:highlight w:val="none"/>
                      <w:vertAlign w:val="superscript"/>
                      <w:lang w:val="en-US" w:eastAsia="zh-CN"/>
                    </w:rPr>
                    <w:t>3</w:t>
                  </w:r>
                </w:p>
              </w:tc>
              <w:tc>
                <w:tcPr>
                  <w:tcW w:w="2674" w:type="pct"/>
                  <w:vMerge w:val="continue"/>
                  <w:vAlign w:val="center"/>
                </w:tcPr>
                <w:p w14:paraId="7D896EBD">
                  <w:pPr>
                    <w:jc w:val="center"/>
                    <w:rPr>
                      <w:color w:val="auto"/>
                      <w:highlight w:val="none"/>
                    </w:rPr>
                  </w:pPr>
                </w:p>
              </w:tc>
            </w:tr>
            <w:tr w14:paraId="53F496C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418" w:type="pct"/>
                  <w:vMerge w:val="continue"/>
                  <w:vAlign w:val="center"/>
                </w:tcPr>
                <w:p w14:paraId="61DA698A">
                  <w:pPr>
                    <w:jc w:val="center"/>
                    <w:rPr>
                      <w:color w:val="auto"/>
                      <w:highlight w:val="none"/>
                    </w:rPr>
                  </w:pPr>
                </w:p>
              </w:tc>
              <w:tc>
                <w:tcPr>
                  <w:tcW w:w="520" w:type="pct"/>
                  <w:vMerge w:val="continue"/>
                  <w:vAlign w:val="center"/>
                </w:tcPr>
                <w:p w14:paraId="40A8D7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color w:val="auto"/>
                      <w:highlight w:val="none"/>
                    </w:rPr>
                  </w:pPr>
                </w:p>
              </w:tc>
              <w:tc>
                <w:tcPr>
                  <w:tcW w:w="669" w:type="pct"/>
                  <w:shd w:val="clear" w:color="auto" w:fill="auto"/>
                  <w:vAlign w:val="center"/>
                </w:tcPr>
                <w:p w14:paraId="52932DA8">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烟气黑度</w:t>
                  </w:r>
                </w:p>
              </w:tc>
              <w:tc>
                <w:tcPr>
                  <w:tcW w:w="716" w:type="pct"/>
                  <w:shd w:val="clear" w:color="auto" w:fill="auto"/>
                  <w:vAlign w:val="center"/>
                </w:tcPr>
                <w:p w14:paraId="3CDE4F71">
                  <w:pPr>
                    <w:jc w:val="center"/>
                    <w:rPr>
                      <w:rFonts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＜1级</w:t>
                  </w:r>
                </w:p>
              </w:tc>
              <w:tc>
                <w:tcPr>
                  <w:tcW w:w="2674" w:type="pct"/>
                  <w:vMerge w:val="continue"/>
                  <w:vAlign w:val="center"/>
                </w:tcPr>
                <w:p w14:paraId="37EB0743">
                  <w:pPr>
                    <w:jc w:val="center"/>
                    <w:rPr>
                      <w:color w:val="auto"/>
                      <w:highlight w:val="none"/>
                    </w:rPr>
                  </w:pPr>
                </w:p>
              </w:tc>
            </w:tr>
            <w:tr w14:paraId="582DCAF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8" w:type="pct"/>
                  <w:vAlign w:val="center"/>
                </w:tcPr>
                <w:p w14:paraId="5E586A7F">
                  <w:pPr>
                    <w:jc w:val="center"/>
                    <w:rPr>
                      <w:color w:val="auto"/>
                      <w:highlight w:val="none"/>
                    </w:rPr>
                  </w:pPr>
                  <w:r>
                    <w:rPr>
                      <w:color w:val="auto"/>
                      <w:highlight w:val="none"/>
                    </w:rPr>
                    <w:t>无组织</w:t>
                  </w:r>
                </w:p>
              </w:tc>
              <w:tc>
                <w:tcPr>
                  <w:tcW w:w="520" w:type="pct"/>
                  <w:vAlign w:val="center"/>
                </w:tcPr>
                <w:p w14:paraId="4073A377">
                  <w:pPr>
                    <w:jc w:val="center"/>
                    <w:rPr>
                      <w:color w:val="auto"/>
                      <w:highlight w:val="none"/>
                    </w:rPr>
                  </w:pPr>
                  <w:r>
                    <w:rPr>
                      <w:color w:val="auto"/>
                      <w:highlight w:val="none"/>
                    </w:rPr>
                    <w:t>厂界</w:t>
                  </w:r>
                </w:p>
              </w:tc>
              <w:tc>
                <w:tcPr>
                  <w:tcW w:w="669" w:type="pct"/>
                  <w:vAlign w:val="center"/>
                </w:tcPr>
                <w:p w14:paraId="3C22FFBF">
                  <w:pPr>
                    <w:jc w:val="center"/>
                    <w:rPr>
                      <w:color w:val="auto"/>
                      <w:highlight w:val="none"/>
                    </w:rPr>
                  </w:pPr>
                  <w:r>
                    <w:rPr>
                      <w:rFonts w:hint="eastAsia"/>
                      <w:color w:val="auto"/>
                      <w:highlight w:val="none"/>
                    </w:rPr>
                    <w:t>颗粒物</w:t>
                  </w:r>
                </w:p>
              </w:tc>
              <w:tc>
                <w:tcPr>
                  <w:tcW w:w="716" w:type="pct"/>
                  <w:vAlign w:val="center"/>
                </w:tcPr>
                <w:p w14:paraId="2DBA5FC5">
                  <w:pPr>
                    <w:jc w:val="center"/>
                    <w:rPr>
                      <w:color w:val="auto"/>
                      <w:highlight w:val="none"/>
                    </w:rPr>
                  </w:pPr>
                  <w:r>
                    <w:rPr>
                      <w:rFonts w:hint="eastAsia"/>
                      <w:color w:val="auto"/>
                      <w:highlight w:val="none"/>
                    </w:rPr>
                    <w:t>1.0</w:t>
                  </w:r>
                  <w:r>
                    <w:rPr>
                      <w:color w:val="auto"/>
                      <w:highlight w:val="none"/>
                    </w:rPr>
                    <w:t>mg/m</w:t>
                  </w:r>
                  <w:r>
                    <w:rPr>
                      <w:color w:val="auto"/>
                      <w:highlight w:val="none"/>
                      <w:vertAlign w:val="superscript"/>
                    </w:rPr>
                    <w:t>3</w:t>
                  </w:r>
                </w:p>
              </w:tc>
              <w:tc>
                <w:tcPr>
                  <w:tcW w:w="2674" w:type="pct"/>
                  <w:vAlign w:val="center"/>
                </w:tcPr>
                <w:p w14:paraId="6E33EA77">
                  <w:pPr>
                    <w:jc w:val="center"/>
                    <w:rPr>
                      <w:color w:val="auto"/>
                      <w:highlight w:val="none"/>
                    </w:rPr>
                  </w:pPr>
                  <w:r>
                    <w:rPr>
                      <w:color w:val="auto"/>
                      <w:highlight w:val="none"/>
                    </w:rPr>
                    <w:t>《钢铁工业大气污染物超低排放标准》（DB13/2169-2018）表</w:t>
                  </w:r>
                  <w:r>
                    <w:rPr>
                      <w:rFonts w:hint="eastAsia"/>
                      <w:color w:val="auto"/>
                      <w:highlight w:val="none"/>
                    </w:rPr>
                    <w:t>5企业大气污染物无组织排放浓度限值</w:t>
                  </w:r>
                </w:p>
              </w:tc>
            </w:tr>
          </w:tbl>
          <w:p w14:paraId="13E604F5">
            <w:pPr>
              <w:pStyle w:val="119"/>
              <w:rPr>
                <w:color w:val="auto"/>
              </w:rPr>
            </w:pPr>
            <w:r>
              <w:rPr>
                <w:rFonts w:hint="eastAsia"/>
                <w:color w:val="auto"/>
              </w:rPr>
              <w:t>2.2</w:t>
            </w:r>
            <w:r>
              <w:rPr>
                <w:rFonts w:hint="eastAsia"/>
                <w:color w:val="auto"/>
                <w:lang w:val="en-US" w:eastAsia="zh-CN"/>
              </w:rPr>
              <w:t xml:space="preserve"> </w:t>
            </w:r>
            <w:r>
              <w:rPr>
                <w:color w:val="auto"/>
              </w:rPr>
              <w:t>噪声</w:t>
            </w:r>
            <w:r>
              <w:rPr>
                <w:rFonts w:hint="eastAsia"/>
                <w:color w:val="auto"/>
              </w:rPr>
              <w:t>排放标准</w:t>
            </w:r>
          </w:p>
          <w:p w14:paraId="0CF0F48E">
            <w:pPr>
              <w:pStyle w:val="116"/>
              <w:ind w:firstLine="420"/>
              <w:jc w:val="both"/>
              <w:rPr>
                <w:color w:val="auto"/>
              </w:rPr>
            </w:pPr>
            <w:r>
              <w:rPr>
                <w:rFonts w:hint="eastAsia"/>
                <w:color w:val="auto"/>
              </w:rPr>
              <w:t>本项目南侧、西侧、北侧</w:t>
            </w:r>
            <w:r>
              <w:rPr>
                <w:color w:val="auto"/>
              </w:rPr>
              <w:t>厂界</w:t>
            </w:r>
            <w:r>
              <w:rPr>
                <w:rFonts w:hint="eastAsia"/>
                <w:color w:val="auto"/>
              </w:rPr>
              <w:t>噪声排放执行</w:t>
            </w:r>
            <w:r>
              <w:rPr>
                <w:color w:val="auto"/>
              </w:rPr>
              <w:t>《工业企业厂界环境噪声排放标准》（GB12348</w:t>
            </w:r>
            <w:r>
              <w:rPr>
                <w:rFonts w:hint="eastAsia"/>
                <w:color w:val="auto"/>
              </w:rPr>
              <w:t xml:space="preserve"> </w:t>
            </w:r>
            <w:r>
              <w:rPr>
                <w:color w:val="auto"/>
              </w:rPr>
              <w:t>-2008）中</w:t>
            </w:r>
            <w:r>
              <w:rPr>
                <w:rFonts w:hint="eastAsia"/>
                <w:color w:val="auto"/>
              </w:rPr>
              <w:t>3</w:t>
            </w:r>
            <w:r>
              <w:rPr>
                <w:color w:val="auto"/>
              </w:rPr>
              <w:t>类限值要求</w:t>
            </w:r>
            <w:r>
              <w:rPr>
                <w:rFonts w:hint="eastAsia"/>
                <w:color w:val="auto"/>
              </w:rPr>
              <w:t>，东侧</w:t>
            </w:r>
            <w:r>
              <w:rPr>
                <w:color w:val="auto"/>
              </w:rPr>
              <w:t>厂界</w:t>
            </w:r>
            <w:r>
              <w:rPr>
                <w:rFonts w:hint="eastAsia"/>
                <w:color w:val="auto"/>
              </w:rPr>
              <w:t>噪声排放执行</w:t>
            </w:r>
            <w:r>
              <w:rPr>
                <w:color w:val="auto"/>
              </w:rPr>
              <w:t>《工业企业厂界环境噪声排放标准》（GB12348-2008）中</w:t>
            </w:r>
            <w:r>
              <w:rPr>
                <w:rFonts w:hint="eastAsia"/>
                <w:color w:val="auto"/>
              </w:rPr>
              <w:t>4类</w:t>
            </w:r>
            <w:r>
              <w:rPr>
                <w:color w:val="auto"/>
              </w:rPr>
              <w:t>限值要求</w:t>
            </w:r>
            <w:r>
              <w:rPr>
                <w:rFonts w:hint="eastAsia"/>
                <w:color w:val="auto"/>
              </w:rPr>
              <w:t>，</w:t>
            </w:r>
            <w:r>
              <w:rPr>
                <w:color w:val="auto"/>
              </w:rPr>
              <w:t>具体标准见下表。</w:t>
            </w:r>
          </w:p>
          <w:p w14:paraId="0677EA22">
            <w:pPr>
              <w:pStyle w:val="10"/>
              <w:rPr>
                <w:bCs/>
                <w:color w:val="auto"/>
              </w:rPr>
            </w:pPr>
            <w:bookmarkStart w:id="19" w:name="_Ref131415572"/>
            <w:r>
              <w:rPr>
                <w:rFonts w:hint="eastAsia"/>
                <w:color w:val="auto"/>
              </w:rPr>
              <w:t>表3</w:t>
            </w:r>
            <w:r>
              <w:rPr>
                <w:rFonts w:hint="eastAsia"/>
                <w:color w:val="auto"/>
                <w:lang w:eastAsia="zh-CN"/>
              </w:rPr>
              <w:t>-</w:t>
            </w:r>
            <w:r>
              <w:rPr>
                <w:color w:val="auto"/>
              </w:rPr>
              <w:fldChar w:fldCharType="begin"/>
            </w:r>
            <w:r>
              <w:rPr>
                <w:color w:val="auto"/>
              </w:rPr>
              <w:instrText xml:space="preserve"> </w:instrText>
            </w:r>
            <w:r>
              <w:rPr>
                <w:rFonts w:hint="eastAsia"/>
                <w:color w:val="auto"/>
              </w:rPr>
              <w:instrText xml:space="preserve">SEQ 表3- \* ARABIC</w:instrText>
            </w:r>
            <w:r>
              <w:rPr>
                <w:color w:val="auto"/>
              </w:rPr>
              <w:instrText xml:space="preserve"> </w:instrText>
            </w:r>
            <w:r>
              <w:rPr>
                <w:color w:val="auto"/>
              </w:rPr>
              <w:fldChar w:fldCharType="separate"/>
            </w:r>
            <w:r>
              <w:rPr>
                <w:color w:val="auto"/>
              </w:rPr>
              <w:t>7</w:t>
            </w:r>
            <w:r>
              <w:rPr>
                <w:color w:val="auto"/>
              </w:rPr>
              <w:fldChar w:fldCharType="end"/>
            </w:r>
            <w:bookmarkEnd w:id="19"/>
            <w:r>
              <w:rPr>
                <w:rFonts w:hint="eastAsia"/>
                <w:bCs/>
                <w:color w:val="auto"/>
              </w:rPr>
              <w:t xml:space="preserve">本项目厂界环境噪声排放执行标准 </w:t>
            </w:r>
            <w:r>
              <w:rPr>
                <w:rFonts w:hint="eastAsia"/>
                <w:bCs/>
                <w:color w:val="auto"/>
                <w:lang w:val="en-US" w:eastAsia="zh-CN"/>
              </w:rPr>
              <w:t xml:space="preserve">   </w:t>
            </w:r>
            <w:r>
              <w:rPr>
                <w:rFonts w:hint="eastAsia"/>
                <w:bCs/>
                <w:color w:val="auto"/>
              </w:rPr>
              <w:t xml:space="preserve"> 单位：dB(A)</w:t>
            </w:r>
          </w:p>
          <w:tbl>
            <w:tblPr>
              <w:tblStyle w:val="33"/>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44"/>
              <w:gridCol w:w="796"/>
              <w:gridCol w:w="854"/>
              <w:gridCol w:w="5170"/>
            </w:tblGrid>
            <w:tr w14:paraId="36AB228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90" w:hRule="atLeast"/>
              </w:trPr>
              <w:tc>
                <w:tcPr>
                  <w:tcW w:w="771" w:type="pct"/>
                  <w:vAlign w:val="center"/>
                </w:tcPr>
                <w:p w14:paraId="0E61341C">
                  <w:pPr>
                    <w:jc w:val="center"/>
                    <w:rPr>
                      <w:color w:val="auto"/>
                      <w:szCs w:val="21"/>
                    </w:rPr>
                  </w:pPr>
                  <w:r>
                    <w:rPr>
                      <w:rFonts w:hint="eastAsia"/>
                      <w:color w:val="auto"/>
                      <w:szCs w:val="21"/>
                    </w:rPr>
                    <w:t>位置</w:t>
                  </w:r>
                </w:p>
              </w:tc>
              <w:tc>
                <w:tcPr>
                  <w:tcW w:w="493" w:type="pct"/>
                  <w:vAlign w:val="center"/>
                </w:tcPr>
                <w:p w14:paraId="0C2074F3">
                  <w:pPr>
                    <w:jc w:val="center"/>
                    <w:rPr>
                      <w:color w:val="auto"/>
                      <w:szCs w:val="21"/>
                    </w:rPr>
                  </w:pPr>
                  <w:r>
                    <w:rPr>
                      <w:color w:val="auto"/>
                      <w:szCs w:val="21"/>
                    </w:rPr>
                    <w:t>昼间</w:t>
                  </w:r>
                </w:p>
              </w:tc>
              <w:tc>
                <w:tcPr>
                  <w:tcW w:w="529" w:type="pct"/>
                  <w:vAlign w:val="center"/>
                </w:tcPr>
                <w:p w14:paraId="112FB91D">
                  <w:pPr>
                    <w:jc w:val="center"/>
                    <w:rPr>
                      <w:rFonts w:hint="eastAsia" w:eastAsia="宋体"/>
                      <w:color w:val="auto"/>
                      <w:szCs w:val="21"/>
                      <w:lang w:val="en-US" w:eastAsia="zh-CN"/>
                    </w:rPr>
                  </w:pPr>
                  <w:r>
                    <w:rPr>
                      <w:rFonts w:hint="eastAsia"/>
                      <w:color w:val="auto"/>
                      <w:szCs w:val="21"/>
                      <w:lang w:val="en-US" w:eastAsia="zh-CN"/>
                    </w:rPr>
                    <w:t>夜间</w:t>
                  </w:r>
                </w:p>
              </w:tc>
              <w:tc>
                <w:tcPr>
                  <w:tcW w:w="3204" w:type="pct"/>
                  <w:vAlign w:val="center"/>
                </w:tcPr>
                <w:p w14:paraId="70D092A1">
                  <w:pPr>
                    <w:jc w:val="center"/>
                    <w:rPr>
                      <w:color w:val="auto"/>
                      <w:szCs w:val="21"/>
                    </w:rPr>
                  </w:pPr>
                  <w:r>
                    <w:rPr>
                      <w:color w:val="auto"/>
                      <w:szCs w:val="21"/>
                    </w:rPr>
                    <w:t>执行标准</w:t>
                  </w:r>
                </w:p>
              </w:tc>
            </w:tr>
            <w:tr w14:paraId="77FC7B0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1" w:type="pct"/>
                  <w:vAlign w:val="center"/>
                </w:tcPr>
                <w:p w14:paraId="1885C362">
                  <w:pPr>
                    <w:jc w:val="center"/>
                    <w:rPr>
                      <w:color w:val="auto"/>
                      <w:szCs w:val="21"/>
                    </w:rPr>
                  </w:pPr>
                  <w:r>
                    <w:rPr>
                      <w:rFonts w:hint="eastAsia"/>
                      <w:color w:val="auto"/>
                      <w:szCs w:val="21"/>
                    </w:rPr>
                    <w:t>南、西、北厂界</w:t>
                  </w:r>
                </w:p>
              </w:tc>
              <w:tc>
                <w:tcPr>
                  <w:tcW w:w="493" w:type="pct"/>
                  <w:vAlign w:val="center"/>
                </w:tcPr>
                <w:p w14:paraId="1F4C3154">
                  <w:pPr>
                    <w:jc w:val="center"/>
                    <w:rPr>
                      <w:color w:val="auto"/>
                      <w:szCs w:val="21"/>
                    </w:rPr>
                  </w:pPr>
                  <w:r>
                    <w:rPr>
                      <w:color w:val="auto"/>
                      <w:szCs w:val="21"/>
                    </w:rPr>
                    <w:t>6</w:t>
                  </w:r>
                  <w:r>
                    <w:rPr>
                      <w:rFonts w:hint="eastAsia"/>
                      <w:color w:val="auto"/>
                      <w:szCs w:val="21"/>
                    </w:rPr>
                    <w:t>5</w:t>
                  </w:r>
                </w:p>
              </w:tc>
              <w:tc>
                <w:tcPr>
                  <w:tcW w:w="529" w:type="pct"/>
                  <w:vAlign w:val="center"/>
                </w:tcPr>
                <w:p w14:paraId="28B21668">
                  <w:pPr>
                    <w:jc w:val="center"/>
                    <w:rPr>
                      <w:rFonts w:hint="default" w:eastAsia="宋体"/>
                      <w:color w:val="auto"/>
                      <w:szCs w:val="21"/>
                      <w:lang w:val="en-US" w:eastAsia="zh-CN"/>
                    </w:rPr>
                  </w:pPr>
                  <w:r>
                    <w:rPr>
                      <w:rFonts w:hint="eastAsia"/>
                      <w:color w:val="auto"/>
                      <w:szCs w:val="21"/>
                      <w:lang w:val="en-US" w:eastAsia="zh-CN"/>
                    </w:rPr>
                    <w:t>55</w:t>
                  </w:r>
                </w:p>
              </w:tc>
              <w:tc>
                <w:tcPr>
                  <w:tcW w:w="3204" w:type="pct"/>
                  <w:vAlign w:val="center"/>
                </w:tcPr>
                <w:p w14:paraId="1AC93EAA">
                  <w:pPr>
                    <w:jc w:val="center"/>
                    <w:rPr>
                      <w:color w:val="auto"/>
                      <w:szCs w:val="21"/>
                    </w:rPr>
                  </w:pPr>
                  <w:r>
                    <w:rPr>
                      <w:rFonts w:hint="eastAsia" w:cs="宋体"/>
                      <w:color w:val="auto"/>
                    </w:rPr>
                    <w:t>《工业企业厂界环境噪声排放标准》（GB12348-2008）表1工业企业厂界环境噪声3类排放限值</w:t>
                  </w:r>
                </w:p>
              </w:tc>
            </w:tr>
            <w:tr w14:paraId="44B3FB1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1" w:type="pct"/>
                  <w:vAlign w:val="center"/>
                </w:tcPr>
                <w:p w14:paraId="04565964">
                  <w:pPr>
                    <w:jc w:val="center"/>
                    <w:rPr>
                      <w:color w:val="auto"/>
                      <w:szCs w:val="21"/>
                    </w:rPr>
                  </w:pPr>
                  <w:r>
                    <w:rPr>
                      <w:rFonts w:hint="eastAsia"/>
                      <w:color w:val="auto"/>
                      <w:szCs w:val="21"/>
                    </w:rPr>
                    <w:t>东厂界</w:t>
                  </w:r>
                </w:p>
              </w:tc>
              <w:tc>
                <w:tcPr>
                  <w:tcW w:w="493" w:type="pct"/>
                  <w:vAlign w:val="center"/>
                </w:tcPr>
                <w:p w14:paraId="2944AD6C">
                  <w:pPr>
                    <w:jc w:val="center"/>
                    <w:rPr>
                      <w:color w:val="auto"/>
                      <w:szCs w:val="21"/>
                    </w:rPr>
                  </w:pPr>
                  <w:r>
                    <w:rPr>
                      <w:rFonts w:hint="eastAsia"/>
                      <w:color w:val="auto"/>
                      <w:szCs w:val="21"/>
                    </w:rPr>
                    <w:t>70</w:t>
                  </w:r>
                </w:p>
              </w:tc>
              <w:tc>
                <w:tcPr>
                  <w:tcW w:w="529" w:type="pct"/>
                  <w:vAlign w:val="center"/>
                </w:tcPr>
                <w:p w14:paraId="3CA5B717">
                  <w:pPr>
                    <w:jc w:val="center"/>
                    <w:rPr>
                      <w:rFonts w:hint="default" w:eastAsia="宋体"/>
                      <w:color w:val="auto"/>
                      <w:szCs w:val="21"/>
                      <w:lang w:val="en-US" w:eastAsia="zh-CN"/>
                    </w:rPr>
                  </w:pPr>
                  <w:r>
                    <w:rPr>
                      <w:rFonts w:hint="eastAsia"/>
                      <w:color w:val="auto"/>
                      <w:szCs w:val="21"/>
                      <w:lang w:val="en-US" w:eastAsia="zh-CN"/>
                    </w:rPr>
                    <w:t>55</w:t>
                  </w:r>
                </w:p>
              </w:tc>
              <w:tc>
                <w:tcPr>
                  <w:tcW w:w="3204" w:type="pct"/>
                  <w:vAlign w:val="center"/>
                </w:tcPr>
                <w:p w14:paraId="13A26382">
                  <w:pPr>
                    <w:jc w:val="center"/>
                    <w:rPr>
                      <w:color w:val="auto"/>
                      <w:szCs w:val="21"/>
                    </w:rPr>
                  </w:pPr>
                  <w:r>
                    <w:rPr>
                      <w:rFonts w:hint="eastAsia" w:cs="宋体"/>
                      <w:color w:val="auto"/>
                    </w:rPr>
                    <w:t>《工业企业厂界环境噪声排放标准》（GB12348-2008）表1工业企业厂界环境噪声4类排放限值</w:t>
                  </w:r>
                </w:p>
              </w:tc>
            </w:tr>
          </w:tbl>
          <w:p w14:paraId="721F82A3">
            <w:pPr>
              <w:pStyle w:val="119"/>
              <w:rPr>
                <w:color w:val="auto"/>
              </w:rPr>
            </w:pPr>
            <w:r>
              <w:rPr>
                <w:rFonts w:hint="eastAsia"/>
                <w:color w:val="auto"/>
              </w:rPr>
              <w:t>2.3</w:t>
            </w:r>
            <w:r>
              <w:rPr>
                <w:rFonts w:hint="eastAsia"/>
                <w:color w:val="auto"/>
                <w:lang w:val="en-US" w:eastAsia="zh-CN"/>
              </w:rPr>
              <w:t xml:space="preserve"> </w:t>
            </w:r>
            <w:r>
              <w:rPr>
                <w:color w:val="auto"/>
              </w:rPr>
              <w:t>固废</w:t>
            </w:r>
          </w:p>
          <w:p w14:paraId="48C914BA">
            <w:pPr>
              <w:pStyle w:val="116"/>
              <w:ind w:firstLine="420"/>
              <w:rPr>
                <w:color w:val="auto"/>
              </w:rPr>
            </w:pPr>
            <w:r>
              <w:rPr>
                <w:rFonts w:hint="eastAsia"/>
                <w:color w:val="auto"/>
              </w:rPr>
              <w:t>本项目的固体废物主要包括一般工业固体废物和危险废物，一般工业固体废物处置参照执行《中华人民共和国固体废物污染环境防治法》中的相关要求</w:t>
            </w:r>
            <w:r>
              <w:rPr>
                <w:rFonts w:hint="eastAsia"/>
                <w:color w:val="auto"/>
                <w:lang w:eastAsia="zh-CN"/>
              </w:rPr>
              <w:t>；</w:t>
            </w:r>
            <w:r>
              <w:rPr>
                <w:rFonts w:hint="eastAsia"/>
                <w:color w:val="auto"/>
              </w:rPr>
              <w:t>危险废物执行《危险废物贮存污染控制标准》（GB18597-2023）中的有关规定和要求。</w:t>
            </w:r>
          </w:p>
        </w:tc>
      </w:tr>
      <w:tr w14:paraId="241102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781" w:type="dxa"/>
            <w:noWrap/>
            <w:vAlign w:val="center"/>
          </w:tcPr>
          <w:p w14:paraId="4B275391">
            <w:pPr>
              <w:pStyle w:val="30"/>
              <w:adjustRightInd w:val="0"/>
              <w:snapToGrid w:val="0"/>
              <w:spacing w:before="0" w:beforeAutospacing="0" w:after="0" w:afterAutospacing="0"/>
              <w:jc w:val="center"/>
              <w:rPr>
                <w:rFonts w:ascii="Times New Roman" w:hAnsi="Times New Roman"/>
                <w:color w:val="auto"/>
                <w:kern w:val="2"/>
                <w:sz w:val="21"/>
                <w:szCs w:val="21"/>
              </w:rPr>
            </w:pPr>
            <w:r>
              <w:rPr>
                <w:rFonts w:ascii="Times New Roman" w:hAnsi="Times New Roman"/>
                <w:color w:val="auto"/>
                <w:kern w:val="2"/>
                <w:sz w:val="21"/>
                <w:szCs w:val="21"/>
              </w:rPr>
              <w:t>总量</w:t>
            </w:r>
          </w:p>
          <w:p w14:paraId="11867D20">
            <w:pPr>
              <w:pStyle w:val="30"/>
              <w:adjustRightInd w:val="0"/>
              <w:snapToGrid w:val="0"/>
              <w:spacing w:before="0" w:beforeAutospacing="0" w:after="0" w:afterAutospacing="0"/>
              <w:jc w:val="center"/>
              <w:rPr>
                <w:rFonts w:ascii="Times New Roman" w:hAnsi="Times New Roman"/>
                <w:color w:val="auto"/>
                <w:kern w:val="2"/>
                <w:sz w:val="21"/>
                <w:szCs w:val="21"/>
              </w:rPr>
            </w:pPr>
            <w:r>
              <w:rPr>
                <w:rFonts w:ascii="Times New Roman" w:hAnsi="Times New Roman"/>
                <w:color w:val="auto"/>
                <w:kern w:val="2"/>
                <w:sz w:val="21"/>
                <w:szCs w:val="21"/>
              </w:rPr>
              <w:t>控制</w:t>
            </w:r>
          </w:p>
          <w:p w14:paraId="40EB45E1">
            <w:pPr>
              <w:pStyle w:val="30"/>
              <w:adjustRightInd w:val="0"/>
              <w:snapToGrid w:val="0"/>
              <w:spacing w:before="0" w:beforeAutospacing="0" w:after="0" w:afterAutospacing="0"/>
              <w:jc w:val="center"/>
              <w:rPr>
                <w:rFonts w:ascii="Times New Roman" w:hAnsi="Times New Roman"/>
                <w:color w:val="auto"/>
                <w:sz w:val="21"/>
                <w:szCs w:val="21"/>
              </w:rPr>
            </w:pPr>
            <w:r>
              <w:rPr>
                <w:rFonts w:ascii="Times New Roman" w:hAnsi="Times New Roman"/>
                <w:color w:val="auto"/>
                <w:kern w:val="2"/>
                <w:sz w:val="21"/>
                <w:szCs w:val="21"/>
              </w:rPr>
              <w:t>指标</w:t>
            </w:r>
          </w:p>
        </w:tc>
        <w:tc>
          <w:tcPr>
            <w:tcW w:w="8280" w:type="dxa"/>
            <w:noWrap/>
            <w:vAlign w:val="center"/>
          </w:tcPr>
          <w:p w14:paraId="1E7CDF39">
            <w:pPr>
              <w:pStyle w:val="116"/>
              <w:ind w:firstLine="420"/>
              <w:rPr>
                <w:color w:val="auto"/>
              </w:rPr>
            </w:pPr>
            <w:r>
              <w:rPr>
                <w:rFonts w:hint="eastAsia"/>
                <w:color w:val="auto"/>
              </w:rPr>
              <w:t>根据《国务院关于印发大气污染防治行动计划的通知》（国发〔2013〕37号）、《国务院关于印发水污染防治行动计划的通知》（国发〔2015〕17号），总量指标污染物为SO</w:t>
            </w:r>
            <w:r>
              <w:rPr>
                <w:rFonts w:hint="eastAsia"/>
                <w:color w:val="auto"/>
                <w:vertAlign w:val="subscript"/>
              </w:rPr>
              <w:t>2</w:t>
            </w:r>
            <w:r>
              <w:rPr>
                <w:rFonts w:hint="eastAsia"/>
                <w:color w:val="auto"/>
              </w:rPr>
              <w:t>、NO</w:t>
            </w:r>
            <w:r>
              <w:rPr>
                <w:rFonts w:hint="eastAsia"/>
                <w:color w:val="auto"/>
                <w:vertAlign w:val="subscript"/>
              </w:rPr>
              <w:t>x</w:t>
            </w:r>
            <w:r>
              <w:rPr>
                <w:rFonts w:hint="eastAsia"/>
                <w:color w:val="auto"/>
              </w:rPr>
              <w:t>、非甲烷总烃、颗粒物、COD、氨氮。</w:t>
            </w:r>
          </w:p>
          <w:p w14:paraId="3172F1C5">
            <w:pPr>
              <w:pStyle w:val="116"/>
              <w:ind w:firstLine="420"/>
              <w:rPr>
                <w:color w:val="auto"/>
              </w:rPr>
            </w:pPr>
            <w:r>
              <w:rPr>
                <w:rFonts w:hint="eastAsia"/>
                <w:color w:val="auto"/>
              </w:rPr>
              <w:t>（1）废水</w:t>
            </w:r>
          </w:p>
          <w:p w14:paraId="1164B723">
            <w:pPr>
              <w:pStyle w:val="116"/>
              <w:ind w:firstLine="420"/>
              <w:jc w:val="both"/>
              <w:rPr>
                <w:rFonts w:hint="eastAsia" w:cs="宋体"/>
                <w:color w:val="auto"/>
                <w:highlight w:val="none"/>
              </w:rPr>
            </w:pPr>
            <w:r>
              <w:rPr>
                <w:rFonts w:hint="eastAsia"/>
                <w:color w:val="auto"/>
                <w:highlight w:val="none"/>
                <w:lang w:val="en-US" w:eastAsia="zh-CN"/>
              </w:rPr>
              <w:t>现有工程生活污水</w:t>
            </w:r>
            <w:r>
              <w:rPr>
                <w:color w:val="auto"/>
              </w:rPr>
              <w:t>通过隔油、化粪池处理后经市政污水管网排入唐山市东北郊污水处理</w:t>
            </w:r>
            <w:r>
              <w:rPr>
                <w:color w:val="auto"/>
                <w:lang w:val="zh-CN" w:bidi="zh-CN"/>
              </w:rPr>
              <w:t>厂统</w:t>
            </w:r>
            <w:r>
              <w:rPr>
                <w:rFonts w:hint="eastAsia"/>
                <w:color w:val="auto"/>
                <w:lang w:bidi="zh-CN"/>
              </w:rPr>
              <w:t>一</w:t>
            </w:r>
            <w:r>
              <w:rPr>
                <w:color w:val="auto"/>
              </w:rPr>
              <w:t>处理</w:t>
            </w:r>
            <w:r>
              <w:rPr>
                <w:rFonts w:hint="eastAsia"/>
                <w:color w:val="auto"/>
                <w:lang w:eastAsia="zh-CN"/>
              </w:rPr>
              <w:t>，</w:t>
            </w:r>
            <w:r>
              <w:rPr>
                <w:rFonts w:hint="eastAsia"/>
                <w:color w:val="auto"/>
                <w:lang w:val="en-US" w:eastAsia="zh-CN"/>
              </w:rPr>
              <w:t>生产废水不外排。</w:t>
            </w:r>
            <w:r>
              <w:rPr>
                <w:rFonts w:hint="eastAsia"/>
                <w:color w:val="auto"/>
                <w:highlight w:val="none"/>
              </w:rPr>
              <w:t>本项目</w:t>
            </w:r>
            <w:r>
              <w:rPr>
                <w:rFonts w:hint="eastAsia"/>
                <w:color w:val="auto"/>
                <w:highlight w:val="none"/>
                <w:lang w:eastAsia="zh-CN"/>
              </w:rPr>
              <w:t>生产用水主要为设备循环冷却用水，生产废水循环使用</w:t>
            </w:r>
            <w:r>
              <w:rPr>
                <w:rFonts w:hint="eastAsia"/>
                <w:color w:val="auto"/>
                <w:highlight w:val="none"/>
              </w:rPr>
              <w:t>，不新增劳动定员</w:t>
            </w:r>
            <w:r>
              <w:rPr>
                <w:rFonts w:hint="eastAsia" w:cs="宋体"/>
                <w:color w:val="auto"/>
                <w:highlight w:val="none"/>
              </w:rPr>
              <w:t>。依据《建设项目主要污染物排放总量指标审核及管理暂行办法》（环发〔2014〕197号）及生态环境部2025年9月15日官方答复：本项目无新增生产废水，现有生活污水经预处理后全部排入城镇（园区）污水处理厂，不直接向环境排放水污染物。生活污水纳入城镇污水处理厂统一处理、统一执行总量控制，按国家规定不纳入建设项目主要污染物（COD、氨氮）总量指标管理范畴，无需购买COD、氨氮排污总量指标。</w:t>
            </w:r>
          </w:p>
          <w:p w14:paraId="03A5F3E7">
            <w:pPr>
              <w:pStyle w:val="116"/>
              <w:ind w:firstLine="420"/>
              <w:rPr>
                <w:color w:val="auto"/>
              </w:rPr>
            </w:pPr>
            <w:r>
              <w:rPr>
                <w:rFonts w:hint="eastAsia"/>
                <w:color w:val="auto"/>
              </w:rPr>
              <w:t>因此，本项目不涉及废水外排，不需核算化学需氧量和氨氮的排放总量。</w:t>
            </w:r>
          </w:p>
          <w:p w14:paraId="78642897">
            <w:pPr>
              <w:pStyle w:val="116"/>
              <w:ind w:firstLine="420"/>
              <w:rPr>
                <w:color w:val="auto"/>
                <w:kern w:val="0"/>
              </w:rPr>
            </w:pPr>
            <w:r>
              <w:rPr>
                <w:rFonts w:hint="eastAsia"/>
                <w:color w:val="auto"/>
                <w:kern w:val="0"/>
              </w:rPr>
              <w:t>（2）废气</w:t>
            </w:r>
          </w:p>
          <w:p w14:paraId="3165EAB7">
            <w:pPr>
              <w:pStyle w:val="116"/>
              <w:ind w:firstLine="420"/>
              <w:rPr>
                <w:rFonts w:hint="eastAsia" w:cs="Times New Roman"/>
                <w:color w:val="auto"/>
                <w:spacing w:val="-3"/>
                <w:sz w:val="21"/>
                <w:szCs w:val="21"/>
                <w:highlight w:val="none"/>
                <w:lang w:val="en-US" w:eastAsia="zh-CN"/>
              </w:rPr>
            </w:pPr>
            <w:r>
              <w:rPr>
                <w:rFonts w:hint="eastAsia"/>
                <w:color w:val="auto"/>
                <w:kern w:val="0"/>
                <w:szCs w:val="24"/>
                <w:highlight w:val="none"/>
              </w:rPr>
              <w:t>经过工程分析，</w:t>
            </w:r>
            <w:r>
              <w:rPr>
                <w:rFonts w:hint="eastAsia"/>
                <w:color w:val="auto"/>
                <w:highlight w:val="none"/>
                <w:lang w:eastAsia="zh-CN"/>
              </w:rPr>
              <w:t>本项目产生的废气</w:t>
            </w:r>
            <w:r>
              <w:rPr>
                <w:rFonts w:hint="eastAsia"/>
                <w:color w:val="auto"/>
                <w:highlight w:val="none"/>
              </w:rPr>
              <w:t>主要为</w:t>
            </w:r>
            <w:r>
              <w:rPr>
                <w:rFonts w:hint="default" w:ascii="Times New Roman" w:hAnsi="Times New Roman" w:cs="Times New Roman"/>
                <w:color w:val="auto"/>
                <w:spacing w:val="-2"/>
                <w:sz w:val="21"/>
                <w:szCs w:val="21"/>
                <w:highlight w:val="none"/>
              </w:rPr>
              <w:t>钢球生产</w:t>
            </w:r>
            <w:r>
              <w:rPr>
                <w:rFonts w:hint="eastAsia" w:ascii="Times New Roman" w:hAnsi="Times New Roman" w:cs="Times New Roman"/>
                <w:color w:val="auto"/>
                <w:spacing w:val="-2"/>
                <w:sz w:val="21"/>
                <w:szCs w:val="21"/>
                <w:highlight w:val="none"/>
                <w:lang w:val="en-US" w:eastAsia="zh-CN"/>
              </w:rPr>
              <w:t>线</w:t>
            </w:r>
            <w:r>
              <w:rPr>
                <w:rFonts w:hint="eastAsia" w:ascii="Times New Roman" w:hAnsi="Times New Roman" w:eastAsia="宋体" w:cs="Times New Roman"/>
                <w:color w:val="auto"/>
                <w:spacing w:val="-3"/>
                <w:sz w:val="21"/>
                <w:szCs w:val="21"/>
                <w:highlight w:val="none"/>
                <w:lang w:val="en-US" w:eastAsia="zh-CN"/>
              </w:rPr>
              <w:t>燃气回火炉、燃气环形炉，</w:t>
            </w:r>
            <w:r>
              <w:rPr>
                <w:rFonts w:hint="default" w:ascii="Times New Roman" w:hAnsi="Times New Roman" w:cs="Times New Roman"/>
                <w:color w:val="auto"/>
                <w:spacing w:val="-2"/>
                <w:sz w:val="21"/>
                <w:szCs w:val="21"/>
                <w:highlight w:val="none"/>
              </w:rPr>
              <w:t>自由锻</w:t>
            </w:r>
            <w:r>
              <w:rPr>
                <w:rFonts w:hint="eastAsia" w:ascii="Times New Roman" w:hAnsi="Times New Roman" w:cs="Times New Roman"/>
                <w:color w:val="auto"/>
                <w:spacing w:val="-2"/>
                <w:sz w:val="21"/>
                <w:szCs w:val="21"/>
                <w:highlight w:val="none"/>
                <w:lang w:val="en-US" w:eastAsia="zh-CN"/>
              </w:rPr>
              <w:t>生产线</w:t>
            </w:r>
            <w:r>
              <w:rPr>
                <w:rFonts w:hint="eastAsia" w:ascii="Times New Roman" w:hAnsi="Times New Roman" w:eastAsia="宋体" w:cs="Times New Roman"/>
                <w:color w:val="auto"/>
                <w:spacing w:val="-3"/>
                <w:sz w:val="21"/>
                <w:szCs w:val="21"/>
                <w:highlight w:val="none"/>
                <w:lang w:val="en-US" w:eastAsia="zh-CN"/>
              </w:rPr>
              <w:t>燃气加热炉、燃气回火炉，</w:t>
            </w:r>
            <w:r>
              <w:rPr>
                <w:rFonts w:hint="default" w:ascii="Times New Roman" w:hAnsi="Times New Roman" w:eastAsia="宋体" w:cs="Times New Roman"/>
                <w:color w:val="auto"/>
                <w:spacing w:val="-2"/>
                <w:sz w:val="21"/>
                <w:szCs w:val="21"/>
                <w:highlight w:val="none"/>
              </w:rPr>
              <w:t>燃烧</w:t>
            </w:r>
            <w:r>
              <w:rPr>
                <w:rFonts w:hint="default" w:ascii="Times New Roman" w:hAnsi="Times New Roman" w:eastAsia="宋体" w:cs="Times New Roman"/>
                <w:color w:val="auto"/>
                <w:spacing w:val="-2"/>
                <w:sz w:val="21"/>
                <w:szCs w:val="21"/>
                <w:highlight w:val="none"/>
                <w:lang w:val="en-US" w:eastAsia="zh-CN"/>
              </w:rPr>
              <w:t>天然气</w:t>
            </w:r>
            <w:r>
              <w:rPr>
                <w:rFonts w:hint="default" w:ascii="Times New Roman" w:hAnsi="Times New Roman" w:eastAsia="宋体" w:cs="Times New Roman"/>
                <w:color w:val="auto"/>
                <w:spacing w:val="-3"/>
                <w:sz w:val="21"/>
                <w:szCs w:val="21"/>
                <w:highlight w:val="none"/>
              </w:rPr>
              <w:t>产生</w:t>
            </w:r>
            <w:r>
              <w:rPr>
                <w:rFonts w:hint="eastAsia" w:cs="Times New Roman"/>
                <w:color w:val="auto"/>
                <w:spacing w:val="-3"/>
                <w:sz w:val="21"/>
                <w:szCs w:val="21"/>
                <w:highlight w:val="none"/>
                <w:lang w:val="en-US" w:eastAsia="zh-CN"/>
              </w:rPr>
              <w:t>的</w:t>
            </w:r>
            <w:r>
              <w:rPr>
                <w:rFonts w:hint="default" w:ascii="Times New Roman" w:hAnsi="Times New Roman" w:eastAsia="宋体" w:cs="Times New Roman"/>
                <w:color w:val="auto"/>
                <w:spacing w:val="-3"/>
                <w:sz w:val="21"/>
                <w:szCs w:val="21"/>
                <w:highlight w:val="none"/>
              </w:rPr>
              <w:t>废气</w:t>
            </w:r>
            <w:r>
              <w:rPr>
                <w:rFonts w:hint="eastAsia" w:cs="Times New Roman"/>
                <w:color w:val="auto"/>
                <w:spacing w:val="-3"/>
                <w:sz w:val="21"/>
                <w:szCs w:val="21"/>
                <w:highlight w:val="none"/>
                <w:lang w:eastAsia="zh-CN"/>
              </w:rPr>
              <w:t>，</w:t>
            </w:r>
            <w:r>
              <w:rPr>
                <w:rFonts w:hint="eastAsia" w:ascii="Times New Roman" w:hAnsi="Times New Roman" w:cs="Times New Roman"/>
                <w:color w:val="auto"/>
                <w:spacing w:val="-2"/>
                <w:sz w:val="21"/>
                <w:szCs w:val="21"/>
                <w:highlight w:val="none"/>
                <w:lang w:val="en-US" w:eastAsia="zh-CN"/>
              </w:rPr>
              <w:t>以及</w:t>
            </w:r>
            <w:r>
              <w:rPr>
                <w:rFonts w:hint="eastAsia"/>
                <w:color w:val="auto"/>
                <w:highlight w:val="none"/>
              </w:rPr>
              <w:t>抛丸工序产生的粉尘</w:t>
            </w:r>
            <w:r>
              <w:rPr>
                <w:rFonts w:hint="eastAsia" w:cs="Times New Roman"/>
                <w:color w:val="auto"/>
                <w:spacing w:val="-3"/>
                <w:sz w:val="21"/>
                <w:szCs w:val="21"/>
                <w:highlight w:val="none"/>
                <w:lang w:val="en-US" w:eastAsia="zh-CN"/>
              </w:rPr>
              <w:t>。</w:t>
            </w:r>
          </w:p>
          <w:p w14:paraId="70450E05">
            <w:pPr>
              <w:pStyle w:val="116"/>
              <w:ind w:firstLine="420"/>
              <w:rPr>
                <w:color w:val="auto"/>
                <w:kern w:val="0"/>
                <w:szCs w:val="24"/>
                <w:highlight w:val="none"/>
              </w:rPr>
            </w:pPr>
            <w:r>
              <w:rPr>
                <w:rFonts w:hint="default" w:ascii="Times New Roman" w:hAnsi="Times New Roman" w:eastAsia="宋体" w:cs="Times New Roman"/>
                <w:color w:val="auto"/>
                <w:spacing w:val="-3"/>
                <w:sz w:val="21"/>
                <w:szCs w:val="21"/>
                <w:highlight w:val="none"/>
              </w:rPr>
              <w:t>本项目使用</w:t>
            </w:r>
            <w:r>
              <w:rPr>
                <w:rFonts w:hint="default" w:ascii="Times New Roman" w:hAnsi="Times New Roman" w:eastAsia="宋体" w:cs="Times New Roman"/>
                <w:color w:val="auto"/>
                <w:spacing w:val="-3"/>
                <w:sz w:val="21"/>
                <w:szCs w:val="21"/>
                <w:highlight w:val="none"/>
                <w:lang w:val="en-US" w:eastAsia="zh-CN"/>
              </w:rPr>
              <w:t>天然气</w:t>
            </w:r>
            <w:r>
              <w:rPr>
                <w:rFonts w:hint="default" w:ascii="Times New Roman" w:hAnsi="Times New Roman" w:eastAsia="宋体" w:cs="Times New Roman"/>
                <w:color w:val="auto"/>
                <w:spacing w:val="-3"/>
                <w:sz w:val="21"/>
                <w:szCs w:val="21"/>
                <w:highlight w:val="none"/>
              </w:rPr>
              <w:t>作为燃料，参考《排放源统计调查产排污核算方法和系数手册》（</w:t>
            </w:r>
            <w:r>
              <w:rPr>
                <w:rFonts w:hint="default" w:ascii="Times New Roman" w:hAnsi="Times New Roman" w:eastAsia="Times New Roman" w:cs="Times New Roman"/>
                <w:color w:val="auto"/>
                <w:spacing w:val="-3"/>
                <w:sz w:val="21"/>
                <w:szCs w:val="21"/>
                <w:highlight w:val="none"/>
              </w:rPr>
              <w:t>2021</w:t>
            </w:r>
            <w:r>
              <w:rPr>
                <w:rFonts w:hint="default" w:ascii="Times New Roman" w:hAnsi="Times New Roman" w:eastAsia="宋体" w:cs="Times New Roman"/>
                <w:color w:val="auto"/>
                <w:spacing w:val="-3"/>
                <w:sz w:val="21"/>
                <w:szCs w:val="21"/>
                <w:highlight w:val="none"/>
              </w:rPr>
              <w:t>年</w:t>
            </w:r>
            <w:r>
              <w:rPr>
                <w:rFonts w:hint="default" w:ascii="Times New Roman" w:hAnsi="Times New Roman" w:eastAsia="Times New Roman" w:cs="Times New Roman"/>
                <w:color w:val="auto"/>
                <w:spacing w:val="-3"/>
                <w:sz w:val="21"/>
                <w:szCs w:val="21"/>
                <w:highlight w:val="none"/>
              </w:rPr>
              <w:t>6</w:t>
            </w:r>
            <w:r>
              <w:rPr>
                <w:rFonts w:hint="default" w:ascii="Times New Roman" w:hAnsi="Times New Roman" w:eastAsia="宋体" w:cs="Times New Roman"/>
                <w:color w:val="auto"/>
                <w:spacing w:val="-3"/>
                <w:sz w:val="21"/>
                <w:szCs w:val="21"/>
                <w:highlight w:val="none"/>
              </w:rPr>
              <w:t>月</w:t>
            </w:r>
            <w:r>
              <w:rPr>
                <w:rFonts w:hint="default" w:ascii="Times New Roman" w:hAnsi="Times New Roman" w:eastAsia="Times New Roman" w:cs="Times New Roman"/>
                <w:color w:val="auto"/>
                <w:spacing w:val="-3"/>
                <w:sz w:val="21"/>
                <w:szCs w:val="21"/>
                <w:highlight w:val="none"/>
              </w:rPr>
              <w:t>11</w:t>
            </w:r>
            <w:r>
              <w:rPr>
                <w:rFonts w:hint="default" w:ascii="Times New Roman" w:hAnsi="Times New Roman" w:eastAsia="宋体" w:cs="Times New Roman"/>
                <w:color w:val="auto"/>
                <w:spacing w:val="-3"/>
                <w:sz w:val="21"/>
                <w:szCs w:val="21"/>
                <w:highlight w:val="none"/>
              </w:rPr>
              <w:t>日，生态环境部印发）中</w:t>
            </w:r>
            <w:r>
              <w:rPr>
                <w:rFonts w:hint="default" w:ascii="Times New Roman" w:hAnsi="Times New Roman" w:eastAsia="宋体" w:cs="Times New Roman"/>
                <w:color w:val="auto"/>
                <w:spacing w:val="1"/>
                <w:sz w:val="21"/>
                <w:szCs w:val="21"/>
                <w:highlight w:val="none"/>
              </w:rPr>
              <w:t>产污系数表</w:t>
            </w:r>
            <w:r>
              <w:rPr>
                <w:rFonts w:hint="default" w:ascii="Times New Roman" w:hAnsi="Times New Roman" w:eastAsia="Times New Roman" w:cs="Times New Roman"/>
                <w:color w:val="auto"/>
                <w:spacing w:val="1"/>
                <w:sz w:val="21"/>
                <w:szCs w:val="21"/>
                <w:highlight w:val="none"/>
              </w:rPr>
              <w:t>-</w:t>
            </w:r>
            <w:r>
              <w:rPr>
                <w:rFonts w:hint="default" w:ascii="Times New Roman" w:hAnsi="Times New Roman" w:eastAsia="宋体" w:cs="Times New Roman"/>
                <w:color w:val="auto"/>
                <w:spacing w:val="1"/>
                <w:sz w:val="21"/>
                <w:szCs w:val="21"/>
                <w:highlight w:val="none"/>
              </w:rPr>
              <w:t>天然气工业炉窑</w:t>
            </w:r>
            <w:r>
              <w:rPr>
                <w:rFonts w:hint="eastAsia" w:ascii="Times New Roman" w:hAnsi="Times New Roman" w:eastAsia="宋体" w:cs="Times New Roman"/>
                <w:color w:val="auto"/>
                <w:spacing w:val="1"/>
                <w:sz w:val="21"/>
                <w:szCs w:val="21"/>
                <w:highlight w:val="none"/>
                <w:lang w:eastAsia="zh-CN"/>
              </w:rPr>
              <w:t>：</w:t>
            </w:r>
            <w:r>
              <w:rPr>
                <w:rFonts w:hint="default" w:ascii="Times New Roman" w:hAnsi="Times New Roman" w:eastAsia="宋体" w:cs="Times New Roman"/>
                <w:color w:val="auto"/>
                <w:spacing w:val="-3"/>
                <w:sz w:val="21"/>
                <w:szCs w:val="21"/>
                <w:highlight w:val="none"/>
              </w:rPr>
              <w:t>工业废气量产污系数为</w:t>
            </w:r>
            <w:r>
              <w:rPr>
                <w:rFonts w:hint="eastAsia" w:ascii="Times New Roman" w:hAnsi="Times New Roman" w:eastAsia="宋体" w:cs="Times New Roman"/>
                <w:color w:val="auto"/>
                <w:spacing w:val="-3"/>
                <w:sz w:val="21"/>
                <w:szCs w:val="21"/>
                <w:highlight w:val="none"/>
                <w:lang w:val="en-US" w:eastAsia="zh-CN"/>
              </w:rPr>
              <w:t>13.6</w:t>
            </w:r>
            <w:r>
              <w:rPr>
                <w:rFonts w:hint="default" w:ascii="Times New Roman" w:hAnsi="Times New Roman" w:eastAsia="Times New Roman" w:cs="Times New Roman"/>
                <w:color w:val="auto"/>
                <w:spacing w:val="-3"/>
                <w:sz w:val="21"/>
                <w:szCs w:val="21"/>
                <w:highlight w:val="none"/>
              </w:rPr>
              <w:t>m</w:t>
            </w:r>
            <w:r>
              <w:rPr>
                <w:rFonts w:hint="eastAsia" w:ascii="Times New Roman" w:hAnsi="Times New Roman" w:eastAsia="宋体" w:cs="Times New Roman"/>
                <w:color w:val="auto"/>
                <w:spacing w:val="-3"/>
                <w:sz w:val="21"/>
                <w:szCs w:val="21"/>
                <w:highlight w:val="none"/>
                <w:vertAlign w:val="superscript"/>
                <w:lang w:val="en-US" w:eastAsia="zh-CN"/>
              </w:rPr>
              <w:t>3</w:t>
            </w:r>
            <w:r>
              <w:rPr>
                <w:rFonts w:hint="default" w:ascii="Times New Roman" w:hAnsi="Times New Roman" w:eastAsia="Times New Roman" w:cs="Times New Roman"/>
                <w:color w:val="auto"/>
                <w:spacing w:val="-3"/>
                <w:sz w:val="21"/>
                <w:szCs w:val="21"/>
                <w:highlight w:val="none"/>
              </w:rPr>
              <w:t>/m</w:t>
            </w:r>
            <w:r>
              <w:rPr>
                <w:rFonts w:hint="eastAsia" w:ascii="Times New Roman" w:hAnsi="Times New Roman" w:eastAsia="宋体" w:cs="Times New Roman"/>
                <w:color w:val="auto"/>
                <w:spacing w:val="-3"/>
                <w:sz w:val="21"/>
                <w:szCs w:val="21"/>
                <w:highlight w:val="none"/>
                <w:vertAlign w:val="superscript"/>
                <w:lang w:val="en-US" w:eastAsia="zh-CN"/>
              </w:rPr>
              <w:t>3</w:t>
            </w:r>
            <w:r>
              <w:rPr>
                <w:rFonts w:hint="default" w:ascii="Times New Roman" w:hAnsi="Times New Roman" w:eastAsia="Times New Roman" w:cs="Times New Roman"/>
                <w:color w:val="auto"/>
                <w:spacing w:val="-3"/>
                <w:sz w:val="21"/>
                <w:szCs w:val="21"/>
                <w:highlight w:val="none"/>
              </w:rPr>
              <w:t>-</w:t>
            </w:r>
            <w:r>
              <w:rPr>
                <w:rFonts w:hint="default" w:ascii="Times New Roman" w:hAnsi="Times New Roman" w:eastAsia="宋体" w:cs="Times New Roman"/>
                <w:color w:val="auto"/>
                <w:spacing w:val="-3"/>
                <w:sz w:val="21"/>
                <w:szCs w:val="21"/>
                <w:highlight w:val="none"/>
              </w:rPr>
              <w:t>原料</w:t>
            </w:r>
            <w:r>
              <w:rPr>
                <w:rFonts w:hint="eastAsia" w:cs="Times New Roman"/>
                <w:color w:val="auto"/>
                <w:spacing w:val="-3"/>
                <w:sz w:val="21"/>
                <w:szCs w:val="21"/>
                <w:highlight w:val="none"/>
                <w:lang w:eastAsia="zh-CN"/>
              </w:rPr>
              <w:t>。</w:t>
            </w:r>
            <w:r>
              <w:rPr>
                <w:rFonts w:hint="eastAsia"/>
                <w:color w:val="auto"/>
                <w:kern w:val="0"/>
                <w:szCs w:val="24"/>
                <w:highlight w:val="none"/>
                <w:lang w:val="en-US" w:eastAsia="zh-CN"/>
              </w:rPr>
              <w:t>燃气</w:t>
            </w:r>
            <w:r>
              <w:rPr>
                <w:rFonts w:hint="eastAsia"/>
                <w:color w:val="auto"/>
                <w:kern w:val="0"/>
                <w:szCs w:val="24"/>
                <w:highlight w:val="none"/>
              </w:rPr>
              <w:t>涉及颗粒物</w:t>
            </w:r>
            <w:r>
              <w:rPr>
                <w:rFonts w:hint="eastAsia"/>
                <w:color w:val="auto"/>
                <w:kern w:val="0"/>
                <w:szCs w:val="24"/>
                <w:highlight w:val="none"/>
                <w:lang w:eastAsia="zh-CN"/>
              </w:rPr>
              <w:t>、</w:t>
            </w:r>
            <w:r>
              <w:rPr>
                <w:rFonts w:hint="eastAsia"/>
                <w:color w:val="auto"/>
                <w:kern w:val="0"/>
                <w:szCs w:val="24"/>
                <w:highlight w:val="none"/>
              </w:rPr>
              <w:t>二氧化硫、氮氧化物的排放，本项目</w:t>
            </w:r>
            <w:r>
              <w:rPr>
                <w:rFonts w:hint="eastAsia"/>
                <w:color w:val="auto"/>
                <w:kern w:val="0"/>
                <w:szCs w:val="24"/>
                <w:highlight w:val="none"/>
                <w:lang w:val="en-US" w:eastAsia="zh-CN"/>
              </w:rPr>
              <w:t>废气污染物</w:t>
            </w:r>
            <w:r>
              <w:rPr>
                <w:rFonts w:hint="eastAsia"/>
                <w:color w:val="auto"/>
                <w:kern w:val="0"/>
                <w:szCs w:val="24"/>
                <w:highlight w:val="none"/>
              </w:rPr>
              <w:t>排放总量控制指标核算见</w:t>
            </w:r>
            <w:r>
              <w:rPr>
                <w:rFonts w:hint="eastAsia"/>
                <w:color w:val="auto"/>
                <w:highlight w:val="none"/>
              </w:rPr>
              <w:t>下表</w:t>
            </w:r>
            <w:r>
              <w:rPr>
                <w:rFonts w:hint="eastAsia"/>
                <w:color w:val="auto"/>
                <w:kern w:val="0"/>
                <w:szCs w:val="24"/>
                <w:highlight w:val="none"/>
              </w:rPr>
              <w:t>。</w:t>
            </w:r>
          </w:p>
          <w:p w14:paraId="4D8DB174">
            <w:pPr>
              <w:pStyle w:val="10"/>
              <w:rPr>
                <w:bCs/>
                <w:color w:val="auto"/>
                <w:highlight w:val="none"/>
              </w:rPr>
            </w:pPr>
            <w:bookmarkStart w:id="20" w:name="_Ref133413353"/>
            <w:r>
              <w:rPr>
                <w:rFonts w:hint="eastAsia"/>
                <w:color w:val="auto"/>
                <w:highlight w:val="none"/>
              </w:rPr>
              <w:t>表3</w:t>
            </w:r>
            <w:r>
              <w:rPr>
                <w:rFonts w:hint="eastAsia"/>
                <w:color w:val="auto"/>
                <w:highlight w:val="none"/>
                <w:lang w:eastAsia="zh-CN"/>
              </w:rPr>
              <w:t>-</w:t>
            </w:r>
            <w:r>
              <w:rPr>
                <w:color w:val="auto"/>
                <w:highlight w:val="none"/>
              </w:rPr>
              <w:fldChar w:fldCharType="begin"/>
            </w:r>
            <w:r>
              <w:rPr>
                <w:color w:val="auto"/>
                <w:highlight w:val="none"/>
              </w:rPr>
              <w:instrText xml:space="preserve"> </w:instrText>
            </w:r>
            <w:r>
              <w:rPr>
                <w:rFonts w:hint="eastAsia"/>
                <w:color w:val="auto"/>
                <w:highlight w:val="none"/>
              </w:rPr>
              <w:instrText xml:space="preserve">SEQ 表3- \* ARABIC</w:instrText>
            </w:r>
            <w:r>
              <w:rPr>
                <w:color w:val="auto"/>
                <w:highlight w:val="none"/>
              </w:rPr>
              <w:instrText xml:space="preserve"> </w:instrText>
            </w:r>
            <w:r>
              <w:rPr>
                <w:color w:val="auto"/>
                <w:highlight w:val="none"/>
              </w:rPr>
              <w:fldChar w:fldCharType="separate"/>
            </w:r>
            <w:r>
              <w:rPr>
                <w:color w:val="auto"/>
                <w:highlight w:val="none"/>
              </w:rPr>
              <w:t>8</w:t>
            </w:r>
            <w:r>
              <w:rPr>
                <w:color w:val="auto"/>
                <w:highlight w:val="none"/>
              </w:rPr>
              <w:fldChar w:fldCharType="end"/>
            </w:r>
            <w:bookmarkEnd w:id="20"/>
            <w:r>
              <w:rPr>
                <w:rFonts w:hint="eastAsia"/>
                <w:bCs/>
                <w:color w:val="auto"/>
                <w:highlight w:val="none"/>
                <w:lang w:eastAsia="zh-CN"/>
              </w:rPr>
              <w:t>本项目</w:t>
            </w:r>
            <w:r>
              <w:rPr>
                <w:rFonts w:hint="eastAsia"/>
                <w:bCs/>
                <w:color w:val="auto"/>
                <w:highlight w:val="none"/>
              </w:rPr>
              <w:t>废气污染物总量控制指标核算一览表</w:t>
            </w:r>
          </w:p>
          <w:tbl>
            <w:tblPr>
              <w:tblStyle w:val="33"/>
              <w:tblW w:w="4996"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8"/>
              <w:gridCol w:w="1145"/>
              <w:gridCol w:w="1296"/>
              <w:gridCol w:w="873"/>
              <w:gridCol w:w="927"/>
              <w:gridCol w:w="1023"/>
              <w:gridCol w:w="913"/>
              <w:gridCol w:w="1024"/>
            </w:tblGrid>
            <w:tr w14:paraId="332093B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242" w:type="pct"/>
                  <w:gridSpan w:val="2"/>
                  <w:vAlign w:val="center"/>
                </w:tcPr>
                <w:p w14:paraId="56E7CC88">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污染源</w:t>
                  </w:r>
                </w:p>
              </w:tc>
              <w:tc>
                <w:tcPr>
                  <w:tcW w:w="804" w:type="pct"/>
                  <w:vAlign w:val="center"/>
                </w:tcPr>
                <w:p w14:paraId="73349B25">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天然气用量</w:t>
                  </w:r>
                  <w:r>
                    <w:rPr>
                      <w:rStyle w:val="137"/>
                      <w:rFonts w:hint="default" w:ascii="Times New Roman" w:hAnsi="Times New Roman" w:cs="Times New Roman"/>
                      <w:color w:val="auto"/>
                      <w:sz w:val="21"/>
                      <w:szCs w:val="21"/>
                      <w:highlight w:val="none"/>
                      <w:lang w:val="en-US" w:eastAsia="zh-CN" w:bidi="ar"/>
                    </w:rPr>
                    <w:t>（万</w:t>
                  </w:r>
                  <w:r>
                    <w:rPr>
                      <w:rStyle w:val="138"/>
                      <w:rFonts w:hint="default" w:ascii="Times New Roman" w:hAnsi="Times New Roman" w:eastAsia="宋体" w:cs="Times New Roman"/>
                      <w:color w:val="auto"/>
                      <w:sz w:val="21"/>
                      <w:szCs w:val="21"/>
                      <w:highlight w:val="none"/>
                      <w:lang w:val="en-US" w:eastAsia="zh-CN" w:bidi="ar"/>
                    </w:rPr>
                    <w:t>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r>
                    <w:rPr>
                      <w:rStyle w:val="138"/>
                      <w:rFonts w:hint="default" w:ascii="Times New Roman" w:hAnsi="Times New Roman" w:eastAsia="宋体" w:cs="Times New Roman"/>
                      <w:color w:val="auto"/>
                      <w:sz w:val="21"/>
                      <w:szCs w:val="21"/>
                      <w:highlight w:val="none"/>
                      <w:lang w:val="en-US" w:eastAsia="zh-CN" w:bidi="ar"/>
                    </w:rPr>
                    <w:t>/a</w:t>
                  </w:r>
                  <w:r>
                    <w:rPr>
                      <w:rStyle w:val="137"/>
                      <w:rFonts w:hint="default" w:ascii="Times New Roman" w:hAnsi="Times New Roman" w:cs="Times New Roman"/>
                      <w:color w:val="auto"/>
                      <w:sz w:val="21"/>
                      <w:szCs w:val="21"/>
                      <w:highlight w:val="none"/>
                      <w:lang w:val="en-US" w:eastAsia="zh-CN" w:bidi="ar"/>
                    </w:rPr>
                    <w:t>）</w:t>
                  </w:r>
                </w:p>
              </w:tc>
              <w:tc>
                <w:tcPr>
                  <w:tcW w:w="541" w:type="pct"/>
                  <w:tcMar>
                    <w:left w:w="28" w:type="dxa"/>
                    <w:right w:w="28" w:type="dxa"/>
                  </w:tcMar>
                  <w:vAlign w:val="center"/>
                </w:tcPr>
                <w:p w14:paraId="75F78DC4">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w:t>
                  </w:r>
                </w:p>
              </w:tc>
              <w:tc>
                <w:tcPr>
                  <w:tcW w:w="575" w:type="pct"/>
                  <w:tcMar>
                    <w:left w:w="28" w:type="dxa"/>
                    <w:right w:w="28" w:type="dxa"/>
                  </w:tcMar>
                  <w:vAlign w:val="center"/>
                </w:tcPr>
                <w:p w14:paraId="635C35CE">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排放标准(mg/m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w:t>
                  </w:r>
                </w:p>
              </w:tc>
              <w:tc>
                <w:tcPr>
                  <w:tcW w:w="634" w:type="pct"/>
                  <w:tcMar>
                    <w:left w:w="28" w:type="dxa"/>
                    <w:right w:w="28" w:type="dxa"/>
                  </w:tcMar>
                  <w:vAlign w:val="center"/>
                </w:tcPr>
                <w:p w14:paraId="2FF8B9BC">
                  <w:pPr>
                    <w:pBdr>
                      <w:top w:val="none" w:color="auto" w:sz="0" w:space="1"/>
                      <w:left w:val="none" w:color="auto" w:sz="0" w:space="4"/>
                      <w:bottom w:val="none" w:color="auto" w:sz="0" w:space="1"/>
                      <w:right w:val="none" w:color="auto" w:sz="0" w:space="4"/>
                    </w:pBdr>
                    <w:autoSpaceDE w:val="0"/>
                    <w:autoSpaceDN w:val="0"/>
                    <w:adjustRightInd w:val="0"/>
                    <w:snapToGrid w:val="0"/>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烟气</w:t>
                  </w:r>
                  <w:r>
                    <w:rPr>
                      <w:rFonts w:hint="default" w:ascii="Times New Roman" w:hAnsi="Times New Roman" w:cs="Times New Roman"/>
                      <w:color w:val="auto"/>
                      <w:sz w:val="21"/>
                      <w:szCs w:val="21"/>
                      <w:highlight w:val="none"/>
                      <w:lang w:val="zh-CN"/>
                    </w:rPr>
                    <w:t>排放量</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/h)</w:t>
                  </w:r>
                </w:p>
              </w:tc>
              <w:tc>
                <w:tcPr>
                  <w:tcW w:w="566" w:type="pct"/>
                  <w:tcMar>
                    <w:left w:w="28" w:type="dxa"/>
                    <w:right w:w="28" w:type="dxa"/>
                  </w:tcMar>
                  <w:vAlign w:val="center"/>
                </w:tcPr>
                <w:p w14:paraId="40ACA74C">
                  <w:pPr>
                    <w:pBdr>
                      <w:top w:val="none" w:color="auto" w:sz="0" w:space="1"/>
                      <w:left w:val="none" w:color="auto" w:sz="0" w:space="4"/>
                      <w:bottom w:val="none" w:color="auto" w:sz="0" w:space="1"/>
                      <w:right w:val="none" w:color="auto" w:sz="0" w:space="4"/>
                    </w:pBdr>
                    <w:autoSpaceDE w:val="0"/>
                    <w:autoSpaceDN w:val="0"/>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运行时间</w:t>
                  </w:r>
                </w:p>
                <w:p w14:paraId="6FA82A69">
                  <w:pPr>
                    <w:pBdr>
                      <w:top w:val="none" w:color="auto" w:sz="0" w:space="1"/>
                      <w:left w:val="none" w:color="auto" w:sz="0" w:space="4"/>
                      <w:bottom w:val="none" w:color="auto" w:sz="0" w:space="1"/>
                      <w:right w:val="none" w:color="auto" w:sz="0" w:space="4"/>
                    </w:pBdr>
                    <w:autoSpaceDE w:val="0"/>
                    <w:autoSpaceDN w:val="0"/>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(h/a)</w:t>
                  </w:r>
                </w:p>
              </w:tc>
              <w:tc>
                <w:tcPr>
                  <w:tcW w:w="635" w:type="pct"/>
                  <w:tcMar>
                    <w:left w:w="28" w:type="dxa"/>
                    <w:right w:w="28" w:type="dxa"/>
                  </w:tcMar>
                  <w:vAlign w:val="center"/>
                </w:tcPr>
                <w:p w14:paraId="60F3939C">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污染物排放量(t/a)</w:t>
                  </w:r>
                </w:p>
              </w:tc>
            </w:tr>
            <w:tr w14:paraId="5E75161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532" w:type="pct"/>
                  <w:vMerge w:val="restart"/>
                  <w:vAlign w:val="center"/>
                </w:tcPr>
                <w:p w14:paraId="249B318F">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bCs/>
                      <w:color w:val="auto"/>
                      <w:spacing w:val="-10"/>
                      <w:sz w:val="21"/>
                      <w:szCs w:val="21"/>
                      <w:highlight w:val="none"/>
                    </w:rPr>
                    <w:t>DA00</w:t>
                  </w:r>
                  <w:r>
                    <w:rPr>
                      <w:rFonts w:hint="default" w:ascii="Times New Roman" w:hAnsi="Times New Roman" w:cs="Times New Roman"/>
                      <w:bCs/>
                      <w:color w:val="auto"/>
                      <w:spacing w:val="-10"/>
                      <w:sz w:val="21"/>
                      <w:szCs w:val="21"/>
                      <w:highlight w:val="none"/>
                      <w:lang w:val="en-US" w:eastAsia="zh-CN"/>
                    </w:rPr>
                    <w:t>5</w:t>
                  </w:r>
                </w:p>
              </w:tc>
              <w:tc>
                <w:tcPr>
                  <w:tcW w:w="710" w:type="pct"/>
                  <w:vMerge w:val="restart"/>
                  <w:vAlign w:val="center"/>
                </w:tcPr>
                <w:p w14:paraId="43BC8148">
                  <w:pPr>
                    <w:jc w:val="center"/>
                    <w:rPr>
                      <w:rFonts w:hint="default" w:ascii="Times New Roman" w:hAnsi="Times New Roman" w:cs="Times New Roman"/>
                      <w:color w:val="auto"/>
                      <w:sz w:val="21"/>
                      <w:szCs w:val="21"/>
                      <w:highlight w:val="none"/>
                      <w:lang w:val="en-US"/>
                    </w:rPr>
                  </w:pPr>
                  <w:r>
                    <w:rPr>
                      <w:rFonts w:hint="eastAsia" w:ascii="Times New Roman" w:hAnsi="Times New Roman" w:cs="Times New Roman" w:eastAsiaTheme="minorEastAsia"/>
                      <w:color w:val="auto"/>
                      <w:szCs w:val="21"/>
                      <w:highlight w:val="none"/>
                      <w:lang w:val="en-US" w:eastAsia="zh-CN"/>
                    </w:rPr>
                    <w:t>轧球回火炉</w:t>
                  </w:r>
                  <w:r>
                    <w:rPr>
                      <w:rFonts w:hint="eastAsia" w:cs="Times New Roman" w:eastAsiaTheme="minorEastAsia"/>
                      <w:color w:val="auto"/>
                      <w:szCs w:val="21"/>
                      <w:highlight w:val="none"/>
                      <w:lang w:val="en-US" w:eastAsia="zh-CN"/>
                    </w:rPr>
                    <w:t>1#</w:t>
                  </w:r>
                </w:p>
              </w:tc>
              <w:tc>
                <w:tcPr>
                  <w:tcW w:w="804" w:type="pct"/>
                  <w:vMerge w:val="restart"/>
                  <w:vAlign w:val="center"/>
                </w:tcPr>
                <w:p w14:paraId="20C95531">
                  <w:pPr>
                    <w:keepNext w:val="0"/>
                    <w:keepLines w:val="0"/>
                    <w:widowControl/>
                    <w:suppressLineNumbers w:val="0"/>
                    <w:jc w:val="center"/>
                    <w:textAlignment w:val="center"/>
                    <w:rPr>
                      <w:rFonts w:hint="default" w:ascii="Times New Roman" w:hAnsi="Times New Roman" w:cs="Times New Roman"/>
                      <w:color w:val="auto"/>
                      <w:sz w:val="21"/>
                      <w:szCs w:val="21"/>
                      <w:highlight w:val="no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84.48</w:t>
                  </w:r>
                </w:p>
              </w:tc>
              <w:tc>
                <w:tcPr>
                  <w:tcW w:w="541" w:type="pct"/>
                  <w:shd w:val="clear" w:color="auto" w:fill="auto"/>
                  <w:tcMar>
                    <w:left w:w="28" w:type="dxa"/>
                    <w:right w:w="28" w:type="dxa"/>
                  </w:tcMar>
                  <w:vAlign w:val="center"/>
                </w:tcPr>
                <w:p w14:paraId="190F341E">
                  <w:pPr>
                    <w:keepNext w:val="0"/>
                    <w:keepLines w:val="0"/>
                    <w:widowControl/>
                    <w:suppressLineNumbers w:val="0"/>
                    <w:jc w:val="center"/>
                    <w:textAlignment w:val="center"/>
                    <w:rPr>
                      <w:rFonts w:hint="default" w:ascii="Times New Roman" w:hAnsi="Times New Roman" w:eastAsia="宋体" w:cs="Times New Roman"/>
                      <w:bCs/>
                      <w:color w:val="auto"/>
                      <w:spacing w:val="-10"/>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575" w:type="pct"/>
                  <w:shd w:val="clear" w:color="auto" w:fill="auto"/>
                  <w:tcMar>
                    <w:left w:w="28" w:type="dxa"/>
                    <w:right w:w="28" w:type="dxa"/>
                  </w:tcMar>
                  <w:vAlign w:val="center"/>
                </w:tcPr>
                <w:p w14:paraId="4DDA7B93">
                  <w:pPr>
                    <w:widowControl/>
                    <w:adjustRightInd w:val="0"/>
                    <w:snapToGrid w:val="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30</w:t>
                  </w:r>
                </w:p>
              </w:tc>
              <w:tc>
                <w:tcPr>
                  <w:tcW w:w="634" w:type="pct"/>
                  <w:vMerge w:val="restart"/>
                  <w:tcMar>
                    <w:left w:w="28" w:type="dxa"/>
                    <w:right w:w="28" w:type="dxa"/>
                  </w:tcMar>
                  <w:vAlign w:val="center"/>
                </w:tcPr>
                <w:p w14:paraId="75B54DC1">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2176</w:t>
                  </w:r>
                </w:p>
              </w:tc>
              <w:tc>
                <w:tcPr>
                  <w:tcW w:w="566" w:type="pct"/>
                  <w:vMerge w:val="restart"/>
                  <w:vAlign w:val="center"/>
                </w:tcPr>
                <w:p w14:paraId="61D77B70">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2"/>
                      <w:sz w:val="21"/>
                      <w:szCs w:val="21"/>
                      <w:highlight w:val="none"/>
                    </w:rPr>
                    <w:t>5280</w:t>
                  </w:r>
                </w:p>
              </w:tc>
              <w:tc>
                <w:tcPr>
                  <w:tcW w:w="635" w:type="pct"/>
                  <w:tcMar>
                    <w:left w:w="28" w:type="dxa"/>
                    <w:right w:w="28" w:type="dxa"/>
                  </w:tcMar>
                  <w:vAlign w:val="center"/>
                </w:tcPr>
                <w:p w14:paraId="76991D11">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0.345</w:t>
                  </w:r>
                </w:p>
              </w:tc>
            </w:tr>
            <w:tr w14:paraId="18FF515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532" w:type="pct"/>
                  <w:vMerge w:val="continue"/>
                  <w:vAlign w:val="center"/>
                </w:tcPr>
                <w:p w14:paraId="14E7593A">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710" w:type="pct"/>
                  <w:vMerge w:val="continue"/>
                  <w:vAlign w:val="center"/>
                </w:tcPr>
                <w:p w14:paraId="137314F3">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804" w:type="pct"/>
                  <w:vMerge w:val="continue"/>
                  <w:vAlign w:val="center"/>
                </w:tcPr>
                <w:p w14:paraId="47C57560">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541" w:type="pct"/>
                  <w:shd w:val="clear" w:color="auto" w:fill="auto"/>
                  <w:tcMar>
                    <w:left w:w="28" w:type="dxa"/>
                    <w:right w:w="28" w:type="dxa"/>
                  </w:tcMar>
                  <w:vAlign w:val="center"/>
                </w:tcPr>
                <w:p w14:paraId="0D0B04F1">
                  <w:pPr>
                    <w:keepNext w:val="0"/>
                    <w:keepLines w:val="0"/>
                    <w:widowControl/>
                    <w:suppressLineNumbers w:val="0"/>
                    <w:jc w:val="center"/>
                    <w:textAlignment w:val="center"/>
                    <w:rPr>
                      <w:rFonts w:hint="default" w:ascii="Times New Roman" w:hAnsi="Times New Roman" w:eastAsia="宋体" w:cs="Times New Roman"/>
                      <w:bCs/>
                      <w:color w:val="auto"/>
                      <w:spacing w:val="-10"/>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SO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p>
              </w:tc>
              <w:tc>
                <w:tcPr>
                  <w:tcW w:w="575" w:type="pct"/>
                  <w:shd w:val="clear" w:color="auto" w:fill="auto"/>
                  <w:tcMar>
                    <w:left w:w="28" w:type="dxa"/>
                    <w:right w:w="28" w:type="dxa"/>
                  </w:tcMar>
                  <w:vAlign w:val="center"/>
                </w:tcPr>
                <w:p w14:paraId="1B889CF5">
                  <w:pPr>
                    <w:widowControl/>
                    <w:adjustRightInd w:val="0"/>
                    <w:snapToGrid w:val="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200</w:t>
                  </w:r>
                </w:p>
              </w:tc>
              <w:tc>
                <w:tcPr>
                  <w:tcW w:w="634" w:type="pct"/>
                  <w:vMerge w:val="continue"/>
                  <w:tcMar>
                    <w:left w:w="28" w:type="dxa"/>
                    <w:right w:w="28" w:type="dxa"/>
                  </w:tcMar>
                  <w:vAlign w:val="center"/>
                </w:tcPr>
                <w:p w14:paraId="4092E07D">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566" w:type="pct"/>
                  <w:vMerge w:val="continue"/>
                  <w:vAlign w:val="center"/>
                </w:tcPr>
                <w:p w14:paraId="7737A057">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635" w:type="pct"/>
                  <w:tcMar>
                    <w:left w:w="28" w:type="dxa"/>
                    <w:right w:w="28" w:type="dxa"/>
                  </w:tcMar>
                  <w:vAlign w:val="center"/>
                </w:tcPr>
                <w:p w14:paraId="4ECF23FE">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2.298</w:t>
                  </w:r>
                </w:p>
              </w:tc>
            </w:tr>
            <w:tr w14:paraId="2D65B4D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532" w:type="pct"/>
                  <w:vMerge w:val="continue"/>
                  <w:vAlign w:val="center"/>
                </w:tcPr>
                <w:p w14:paraId="292520ED">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710" w:type="pct"/>
                  <w:vMerge w:val="continue"/>
                  <w:vAlign w:val="center"/>
                </w:tcPr>
                <w:p w14:paraId="6EAE3133">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804" w:type="pct"/>
                  <w:vMerge w:val="continue"/>
                  <w:vAlign w:val="center"/>
                </w:tcPr>
                <w:p w14:paraId="1B4AC00A">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541" w:type="pct"/>
                  <w:shd w:val="clear" w:color="auto" w:fill="auto"/>
                  <w:tcMar>
                    <w:left w:w="28" w:type="dxa"/>
                    <w:right w:w="28" w:type="dxa"/>
                  </w:tcMar>
                  <w:vAlign w:val="center"/>
                </w:tcPr>
                <w:p w14:paraId="7FD4BA8D">
                  <w:pPr>
                    <w:keepNext w:val="0"/>
                    <w:keepLines w:val="0"/>
                    <w:widowControl/>
                    <w:suppressLineNumbers w:val="0"/>
                    <w:jc w:val="center"/>
                    <w:textAlignment w:val="center"/>
                    <w:rPr>
                      <w:rFonts w:hint="default" w:ascii="Times New Roman" w:hAnsi="Times New Roman" w:eastAsia="宋体" w:cs="Times New Roman"/>
                      <w:bCs/>
                      <w:color w:val="auto"/>
                      <w:spacing w:val="-10"/>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NOx</w:t>
                  </w:r>
                </w:p>
              </w:tc>
              <w:tc>
                <w:tcPr>
                  <w:tcW w:w="575" w:type="pct"/>
                  <w:shd w:val="clear" w:color="auto" w:fill="auto"/>
                  <w:tcMar>
                    <w:left w:w="28" w:type="dxa"/>
                    <w:right w:w="28" w:type="dxa"/>
                  </w:tcMar>
                  <w:vAlign w:val="center"/>
                </w:tcPr>
                <w:p w14:paraId="349A8D27">
                  <w:pPr>
                    <w:widowControl/>
                    <w:adjustRightInd w:val="0"/>
                    <w:snapToGrid w:val="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300</w:t>
                  </w:r>
                </w:p>
              </w:tc>
              <w:tc>
                <w:tcPr>
                  <w:tcW w:w="634" w:type="pct"/>
                  <w:vMerge w:val="continue"/>
                  <w:tcMar>
                    <w:left w:w="28" w:type="dxa"/>
                    <w:right w:w="28" w:type="dxa"/>
                  </w:tcMar>
                  <w:vAlign w:val="center"/>
                </w:tcPr>
                <w:p w14:paraId="7DC34D30">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566" w:type="pct"/>
                  <w:vMerge w:val="continue"/>
                  <w:vAlign w:val="center"/>
                </w:tcPr>
                <w:p w14:paraId="22EBFB90">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635" w:type="pct"/>
                  <w:tcMar>
                    <w:left w:w="28" w:type="dxa"/>
                    <w:right w:w="28" w:type="dxa"/>
                  </w:tcMar>
                  <w:vAlign w:val="center"/>
                </w:tcPr>
                <w:p w14:paraId="06FD4853">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3.447</w:t>
                  </w:r>
                </w:p>
              </w:tc>
            </w:tr>
            <w:tr w14:paraId="38DE084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532" w:type="pct"/>
                  <w:vMerge w:val="continue"/>
                  <w:vAlign w:val="center"/>
                </w:tcPr>
                <w:p w14:paraId="1DC80ED3">
                  <w:pPr>
                    <w:adjustRightInd w:val="0"/>
                    <w:snapToGrid w:val="0"/>
                    <w:jc w:val="center"/>
                    <w:rPr>
                      <w:rFonts w:hint="default" w:ascii="Times New Roman" w:hAnsi="Times New Roman" w:cs="Times New Roman"/>
                      <w:color w:val="auto"/>
                      <w:sz w:val="21"/>
                      <w:szCs w:val="21"/>
                      <w:highlight w:val="none"/>
                    </w:rPr>
                  </w:pPr>
                </w:p>
              </w:tc>
              <w:tc>
                <w:tcPr>
                  <w:tcW w:w="710" w:type="pct"/>
                  <w:vMerge w:val="restart"/>
                  <w:vAlign w:val="center"/>
                </w:tcPr>
                <w:p w14:paraId="1AA40F17">
                  <w:pPr>
                    <w:jc w:val="center"/>
                    <w:rPr>
                      <w:rFonts w:hint="default" w:ascii="Times New Roman" w:hAnsi="Times New Roman" w:cs="Times New Roman"/>
                      <w:color w:val="auto"/>
                      <w:sz w:val="21"/>
                      <w:szCs w:val="21"/>
                      <w:highlight w:val="none"/>
                      <w:lang w:val="en-US"/>
                    </w:rPr>
                  </w:pPr>
                  <w:r>
                    <w:rPr>
                      <w:rFonts w:hint="eastAsia" w:ascii="Times New Roman" w:hAnsi="Times New Roman" w:cs="Times New Roman" w:eastAsiaTheme="minorEastAsia"/>
                      <w:color w:val="auto"/>
                      <w:sz w:val="21"/>
                      <w:szCs w:val="21"/>
                      <w:highlight w:val="none"/>
                      <w:lang w:val="en-US" w:eastAsia="zh-CN"/>
                    </w:rPr>
                    <w:t>锻球环形炉</w:t>
                  </w:r>
                </w:p>
              </w:tc>
              <w:tc>
                <w:tcPr>
                  <w:tcW w:w="804" w:type="pct"/>
                  <w:vMerge w:val="restart"/>
                  <w:vAlign w:val="center"/>
                </w:tcPr>
                <w:p w14:paraId="47D865FB">
                  <w:pPr>
                    <w:jc w:val="center"/>
                    <w:rPr>
                      <w:rFonts w:hint="default" w:ascii="Times New Roman" w:hAnsi="Times New Roman" w:cs="Times New Roman"/>
                      <w:color w:val="auto"/>
                      <w:sz w:val="21"/>
                      <w:szCs w:val="21"/>
                      <w:highlight w:val="none"/>
                      <w:lang w:eastAsia="zh-CN"/>
                    </w:rPr>
                  </w:pPr>
                  <w:r>
                    <w:rPr>
                      <w:rFonts w:hint="eastAsia" w:ascii="Times New Roman" w:hAnsi="Times New Roman" w:cs="Times New Roman" w:eastAsiaTheme="minorEastAsia"/>
                      <w:color w:val="auto"/>
                      <w:sz w:val="21"/>
                      <w:szCs w:val="21"/>
                      <w:highlight w:val="none"/>
                      <w:lang w:val="en-US" w:eastAsia="zh-CN"/>
                    </w:rPr>
                    <w:t>95.04</w:t>
                  </w:r>
                </w:p>
              </w:tc>
              <w:tc>
                <w:tcPr>
                  <w:tcW w:w="541" w:type="pct"/>
                  <w:tcMar>
                    <w:left w:w="28" w:type="dxa"/>
                    <w:right w:w="28" w:type="dxa"/>
                  </w:tcMar>
                  <w:vAlign w:val="center"/>
                </w:tcPr>
                <w:p w14:paraId="0EB2EC52">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575" w:type="pct"/>
                  <w:tcMar>
                    <w:left w:w="28" w:type="dxa"/>
                    <w:right w:w="28" w:type="dxa"/>
                  </w:tcMar>
                  <w:vAlign w:val="center"/>
                </w:tcPr>
                <w:p w14:paraId="6427EAF2">
                  <w:pPr>
                    <w:widowControl/>
                    <w:adjustRightInd w:val="0"/>
                    <w:snapToGrid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bCs/>
                      <w:color w:val="auto"/>
                      <w:sz w:val="21"/>
                      <w:szCs w:val="21"/>
                      <w:highlight w:val="none"/>
                      <w:lang w:val="en-US" w:eastAsia="zh-CN"/>
                    </w:rPr>
                    <w:t>30</w:t>
                  </w:r>
                </w:p>
              </w:tc>
              <w:tc>
                <w:tcPr>
                  <w:tcW w:w="634" w:type="pct"/>
                  <w:vMerge w:val="restart"/>
                  <w:tcMar>
                    <w:left w:w="28" w:type="dxa"/>
                    <w:right w:w="28" w:type="dxa"/>
                  </w:tcMar>
                  <w:vAlign w:val="center"/>
                </w:tcPr>
                <w:p w14:paraId="3727BD7B">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2448</w:t>
                  </w:r>
                </w:p>
              </w:tc>
              <w:tc>
                <w:tcPr>
                  <w:tcW w:w="566" w:type="pct"/>
                  <w:vMerge w:val="restart"/>
                  <w:vAlign w:val="center"/>
                </w:tcPr>
                <w:p w14:paraId="630F4AFA">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2"/>
                      <w:sz w:val="21"/>
                      <w:szCs w:val="21"/>
                      <w:highlight w:val="none"/>
                    </w:rPr>
                    <w:t>5280</w:t>
                  </w:r>
                </w:p>
              </w:tc>
              <w:tc>
                <w:tcPr>
                  <w:tcW w:w="635" w:type="pct"/>
                  <w:tcMar>
                    <w:left w:w="28" w:type="dxa"/>
                    <w:right w:w="28" w:type="dxa"/>
                  </w:tcMar>
                  <w:vAlign w:val="center"/>
                </w:tcPr>
                <w:p w14:paraId="298DDCB6">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0.388</w:t>
                  </w:r>
                </w:p>
              </w:tc>
            </w:tr>
            <w:tr w14:paraId="3F41AA6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532" w:type="pct"/>
                  <w:vMerge w:val="continue"/>
                  <w:vAlign w:val="center"/>
                </w:tcPr>
                <w:p w14:paraId="65555DCA">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710" w:type="pct"/>
                  <w:vMerge w:val="continue"/>
                  <w:vAlign w:val="center"/>
                </w:tcPr>
                <w:p w14:paraId="19C4D8C8">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804" w:type="pct"/>
                  <w:vMerge w:val="continue"/>
                  <w:vAlign w:val="center"/>
                </w:tcPr>
                <w:p w14:paraId="49922550">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541" w:type="pct"/>
                  <w:tcMar>
                    <w:left w:w="28" w:type="dxa"/>
                    <w:right w:w="28" w:type="dxa"/>
                  </w:tcMar>
                  <w:vAlign w:val="center"/>
                </w:tcPr>
                <w:p w14:paraId="68DF1EBC">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SO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p>
              </w:tc>
              <w:tc>
                <w:tcPr>
                  <w:tcW w:w="575" w:type="pct"/>
                  <w:tcMar>
                    <w:left w:w="28" w:type="dxa"/>
                    <w:right w:w="28" w:type="dxa"/>
                  </w:tcMar>
                  <w:vAlign w:val="center"/>
                </w:tcPr>
                <w:p w14:paraId="4A759AD0">
                  <w:pPr>
                    <w:widowControl/>
                    <w:adjustRightInd w:val="0"/>
                    <w:snapToGrid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bCs/>
                      <w:color w:val="auto"/>
                      <w:sz w:val="21"/>
                      <w:szCs w:val="21"/>
                      <w:highlight w:val="none"/>
                      <w:lang w:val="en-US" w:eastAsia="zh-CN"/>
                    </w:rPr>
                    <w:t>200</w:t>
                  </w:r>
                </w:p>
              </w:tc>
              <w:tc>
                <w:tcPr>
                  <w:tcW w:w="634" w:type="pct"/>
                  <w:vMerge w:val="continue"/>
                  <w:tcMar>
                    <w:left w:w="28" w:type="dxa"/>
                    <w:right w:w="28" w:type="dxa"/>
                  </w:tcMar>
                  <w:vAlign w:val="center"/>
                </w:tcPr>
                <w:p w14:paraId="1FDA7920">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566" w:type="pct"/>
                  <w:vMerge w:val="continue"/>
                  <w:vAlign w:val="center"/>
                </w:tcPr>
                <w:p w14:paraId="2E66E367">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635" w:type="pct"/>
                  <w:tcMar>
                    <w:left w:w="28" w:type="dxa"/>
                    <w:right w:w="28" w:type="dxa"/>
                  </w:tcMar>
                  <w:vAlign w:val="center"/>
                </w:tcPr>
                <w:p w14:paraId="53984AAC">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2.585</w:t>
                  </w:r>
                </w:p>
              </w:tc>
            </w:tr>
            <w:tr w14:paraId="12AB818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26" w:hRule="atLeast"/>
                <w:jc w:val="center"/>
              </w:trPr>
              <w:tc>
                <w:tcPr>
                  <w:tcW w:w="532" w:type="pct"/>
                  <w:vMerge w:val="continue"/>
                  <w:vAlign w:val="center"/>
                </w:tcPr>
                <w:p w14:paraId="123896EE">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710" w:type="pct"/>
                  <w:vMerge w:val="continue"/>
                  <w:vAlign w:val="center"/>
                </w:tcPr>
                <w:p w14:paraId="32179A42">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804" w:type="pct"/>
                  <w:vMerge w:val="continue"/>
                  <w:vAlign w:val="center"/>
                </w:tcPr>
                <w:p w14:paraId="64412044">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541" w:type="pct"/>
                  <w:tcMar>
                    <w:left w:w="28" w:type="dxa"/>
                    <w:right w:w="28" w:type="dxa"/>
                  </w:tcMar>
                  <w:vAlign w:val="center"/>
                </w:tcPr>
                <w:p w14:paraId="21BDB7BF">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NOx</w:t>
                  </w:r>
                </w:p>
              </w:tc>
              <w:tc>
                <w:tcPr>
                  <w:tcW w:w="575" w:type="pct"/>
                  <w:tcMar>
                    <w:left w:w="28" w:type="dxa"/>
                    <w:right w:w="28" w:type="dxa"/>
                  </w:tcMar>
                  <w:vAlign w:val="center"/>
                </w:tcPr>
                <w:p w14:paraId="0BCDC200">
                  <w:pPr>
                    <w:widowControl/>
                    <w:adjustRightInd w:val="0"/>
                    <w:snapToGrid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bCs/>
                      <w:color w:val="auto"/>
                      <w:sz w:val="21"/>
                      <w:szCs w:val="21"/>
                      <w:highlight w:val="none"/>
                      <w:lang w:val="en-US" w:eastAsia="zh-CN"/>
                    </w:rPr>
                    <w:t>300</w:t>
                  </w:r>
                </w:p>
              </w:tc>
              <w:tc>
                <w:tcPr>
                  <w:tcW w:w="634" w:type="pct"/>
                  <w:vMerge w:val="continue"/>
                  <w:tcMar>
                    <w:left w:w="28" w:type="dxa"/>
                    <w:right w:w="28" w:type="dxa"/>
                  </w:tcMar>
                  <w:vAlign w:val="center"/>
                </w:tcPr>
                <w:p w14:paraId="363FA43F">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566" w:type="pct"/>
                  <w:vMerge w:val="continue"/>
                  <w:vAlign w:val="center"/>
                </w:tcPr>
                <w:p w14:paraId="0453C92C">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635" w:type="pct"/>
                  <w:tcMar>
                    <w:left w:w="28" w:type="dxa"/>
                    <w:right w:w="28" w:type="dxa"/>
                  </w:tcMar>
                  <w:vAlign w:val="center"/>
                </w:tcPr>
                <w:p w14:paraId="09DF18C2">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3.878</w:t>
                  </w:r>
                </w:p>
              </w:tc>
            </w:tr>
            <w:tr w14:paraId="086A689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532" w:type="pct"/>
                  <w:vMerge w:val="continue"/>
                  <w:vAlign w:val="center"/>
                </w:tcPr>
                <w:p w14:paraId="157D15B3">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710" w:type="pct"/>
                  <w:vMerge w:val="restart"/>
                  <w:vAlign w:val="center"/>
                </w:tcPr>
                <w:p w14:paraId="04E29422">
                  <w:pPr>
                    <w:jc w:val="center"/>
                    <w:rPr>
                      <w:rFonts w:hint="default" w:ascii="Times New Roman" w:hAnsi="Times New Roman" w:cs="Times New Roman"/>
                      <w:color w:val="auto"/>
                      <w:sz w:val="21"/>
                      <w:szCs w:val="21"/>
                      <w:highlight w:val="none"/>
                    </w:rPr>
                  </w:pPr>
                  <w:r>
                    <w:rPr>
                      <w:rFonts w:hint="eastAsia" w:ascii="Times New Roman" w:hAnsi="Times New Roman" w:cs="Times New Roman" w:eastAsiaTheme="minorEastAsia"/>
                      <w:color w:val="auto"/>
                      <w:sz w:val="21"/>
                      <w:szCs w:val="21"/>
                      <w:highlight w:val="none"/>
                      <w:lang w:val="en-US" w:eastAsia="zh-CN"/>
                    </w:rPr>
                    <w:t>锻球</w:t>
                  </w:r>
                  <w:r>
                    <w:rPr>
                      <w:rFonts w:hint="eastAsia" w:ascii="Times New Roman" w:hAnsi="Times New Roman" w:cs="Times New Roman" w:eastAsiaTheme="minorEastAsia"/>
                      <w:color w:val="auto"/>
                      <w:szCs w:val="21"/>
                      <w:highlight w:val="none"/>
                      <w:lang w:val="en-US" w:eastAsia="zh-CN"/>
                    </w:rPr>
                    <w:t>回火炉</w:t>
                  </w:r>
                  <w:r>
                    <w:rPr>
                      <w:rFonts w:hint="eastAsia" w:cs="Times New Roman" w:eastAsiaTheme="minorEastAsia"/>
                      <w:color w:val="auto"/>
                      <w:szCs w:val="21"/>
                      <w:highlight w:val="none"/>
                      <w:lang w:val="en-US" w:eastAsia="zh-CN"/>
                    </w:rPr>
                    <w:t>2#</w:t>
                  </w:r>
                </w:p>
              </w:tc>
              <w:tc>
                <w:tcPr>
                  <w:tcW w:w="804" w:type="pct"/>
                  <w:vMerge w:val="restart"/>
                  <w:vAlign w:val="center"/>
                </w:tcPr>
                <w:p w14:paraId="76E9974F">
                  <w:pPr>
                    <w:jc w:val="center"/>
                    <w:rPr>
                      <w:rFonts w:hint="default" w:ascii="Times New Roman" w:hAnsi="Times New Roman" w:cs="Times New Roman"/>
                      <w:color w:val="auto"/>
                      <w:sz w:val="21"/>
                      <w:szCs w:val="21"/>
                      <w:highlight w:val="none"/>
                    </w:rPr>
                  </w:pPr>
                  <w:r>
                    <w:rPr>
                      <w:rFonts w:hint="eastAsia" w:ascii="Times New Roman" w:hAnsi="Times New Roman" w:cs="Times New Roman" w:eastAsiaTheme="minorEastAsia"/>
                      <w:color w:val="auto"/>
                      <w:sz w:val="21"/>
                      <w:szCs w:val="21"/>
                      <w:highlight w:val="none"/>
                      <w:lang w:val="en-US" w:eastAsia="zh-CN"/>
                    </w:rPr>
                    <w:t>21.12</w:t>
                  </w:r>
                </w:p>
              </w:tc>
              <w:tc>
                <w:tcPr>
                  <w:tcW w:w="541" w:type="pct"/>
                  <w:tcMar>
                    <w:left w:w="28" w:type="dxa"/>
                    <w:right w:w="28" w:type="dxa"/>
                  </w:tcMar>
                  <w:vAlign w:val="center"/>
                </w:tcPr>
                <w:p w14:paraId="402A6ED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575" w:type="pct"/>
                  <w:tcMar>
                    <w:left w:w="28" w:type="dxa"/>
                    <w:right w:w="28" w:type="dxa"/>
                  </w:tcMar>
                  <w:vAlign w:val="center"/>
                </w:tcPr>
                <w:p w14:paraId="04682089">
                  <w:pPr>
                    <w:widowControl/>
                    <w:adjustRightInd w:val="0"/>
                    <w:snapToGrid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30</w:t>
                  </w:r>
                </w:p>
              </w:tc>
              <w:tc>
                <w:tcPr>
                  <w:tcW w:w="634" w:type="pct"/>
                  <w:vMerge w:val="restart"/>
                  <w:tcMar>
                    <w:left w:w="28" w:type="dxa"/>
                    <w:right w:w="28" w:type="dxa"/>
                  </w:tcMar>
                  <w:vAlign w:val="center"/>
                </w:tcPr>
                <w:p w14:paraId="3F3F3A43">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544</w:t>
                  </w:r>
                </w:p>
              </w:tc>
              <w:tc>
                <w:tcPr>
                  <w:tcW w:w="566" w:type="pct"/>
                  <w:vMerge w:val="restart"/>
                  <w:vAlign w:val="center"/>
                </w:tcPr>
                <w:p w14:paraId="163B7A1F">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2"/>
                      <w:sz w:val="21"/>
                      <w:szCs w:val="21"/>
                      <w:highlight w:val="none"/>
                    </w:rPr>
                    <w:t>5280</w:t>
                  </w:r>
                </w:p>
              </w:tc>
              <w:tc>
                <w:tcPr>
                  <w:tcW w:w="635" w:type="pct"/>
                  <w:tcMar>
                    <w:left w:w="28" w:type="dxa"/>
                    <w:right w:w="28" w:type="dxa"/>
                  </w:tcMar>
                  <w:vAlign w:val="center"/>
                </w:tcPr>
                <w:p w14:paraId="44999BD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0.086</w:t>
                  </w:r>
                </w:p>
              </w:tc>
            </w:tr>
            <w:tr w14:paraId="7BC81DB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532" w:type="pct"/>
                  <w:vMerge w:val="continue"/>
                  <w:vAlign w:val="center"/>
                </w:tcPr>
                <w:p w14:paraId="1D830F4A">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710" w:type="pct"/>
                  <w:vMerge w:val="continue"/>
                  <w:vAlign w:val="center"/>
                </w:tcPr>
                <w:p w14:paraId="4C704634">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804" w:type="pct"/>
                  <w:vMerge w:val="continue"/>
                  <w:vAlign w:val="center"/>
                </w:tcPr>
                <w:p w14:paraId="607F8C6A">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541" w:type="pct"/>
                  <w:tcMar>
                    <w:left w:w="28" w:type="dxa"/>
                    <w:right w:w="28" w:type="dxa"/>
                  </w:tcMar>
                  <w:vAlign w:val="center"/>
                </w:tcPr>
                <w:p w14:paraId="668D172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SO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p>
              </w:tc>
              <w:tc>
                <w:tcPr>
                  <w:tcW w:w="575" w:type="pct"/>
                  <w:tcMar>
                    <w:left w:w="28" w:type="dxa"/>
                    <w:right w:w="28" w:type="dxa"/>
                  </w:tcMar>
                  <w:vAlign w:val="center"/>
                </w:tcPr>
                <w:p w14:paraId="46161501">
                  <w:pPr>
                    <w:widowControl/>
                    <w:adjustRightInd w:val="0"/>
                    <w:snapToGrid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200</w:t>
                  </w:r>
                </w:p>
              </w:tc>
              <w:tc>
                <w:tcPr>
                  <w:tcW w:w="634" w:type="pct"/>
                  <w:vMerge w:val="continue"/>
                  <w:tcMar>
                    <w:left w:w="28" w:type="dxa"/>
                    <w:right w:w="28" w:type="dxa"/>
                  </w:tcMar>
                  <w:vAlign w:val="center"/>
                </w:tcPr>
                <w:p w14:paraId="5436D230">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566" w:type="pct"/>
                  <w:vMerge w:val="continue"/>
                  <w:vAlign w:val="center"/>
                </w:tcPr>
                <w:p w14:paraId="14584992">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635" w:type="pct"/>
                  <w:tcMar>
                    <w:left w:w="28" w:type="dxa"/>
                    <w:right w:w="28" w:type="dxa"/>
                  </w:tcMar>
                  <w:vAlign w:val="center"/>
                </w:tcPr>
                <w:p w14:paraId="14AE189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0.574</w:t>
                  </w:r>
                </w:p>
              </w:tc>
            </w:tr>
            <w:tr w14:paraId="6E58867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532" w:type="pct"/>
                  <w:vMerge w:val="continue"/>
                  <w:vAlign w:val="center"/>
                </w:tcPr>
                <w:p w14:paraId="4EF79CDA">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710" w:type="pct"/>
                  <w:vMerge w:val="continue"/>
                  <w:vAlign w:val="center"/>
                </w:tcPr>
                <w:p w14:paraId="17C450CF">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804" w:type="pct"/>
                  <w:vMerge w:val="continue"/>
                  <w:vAlign w:val="center"/>
                </w:tcPr>
                <w:p w14:paraId="541FDC03">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541" w:type="pct"/>
                  <w:tcMar>
                    <w:left w:w="28" w:type="dxa"/>
                    <w:right w:w="28" w:type="dxa"/>
                  </w:tcMar>
                  <w:vAlign w:val="center"/>
                </w:tcPr>
                <w:p w14:paraId="2664D37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NOx</w:t>
                  </w:r>
                </w:p>
              </w:tc>
              <w:tc>
                <w:tcPr>
                  <w:tcW w:w="575" w:type="pct"/>
                  <w:tcMar>
                    <w:left w:w="28" w:type="dxa"/>
                    <w:right w:w="28" w:type="dxa"/>
                  </w:tcMar>
                  <w:vAlign w:val="center"/>
                </w:tcPr>
                <w:p w14:paraId="643CDA29">
                  <w:pPr>
                    <w:widowControl/>
                    <w:adjustRightInd w:val="0"/>
                    <w:snapToGrid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300</w:t>
                  </w:r>
                </w:p>
              </w:tc>
              <w:tc>
                <w:tcPr>
                  <w:tcW w:w="634" w:type="pct"/>
                  <w:vMerge w:val="continue"/>
                  <w:tcMar>
                    <w:left w:w="28" w:type="dxa"/>
                    <w:right w:w="28" w:type="dxa"/>
                  </w:tcMar>
                  <w:vAlign w:val="center"/>
                </w:tcPr>
                <w:p w14:paraId="517BB4A4">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566" w:type="pct"/>
                  <w:vMerge w:val="continue"/>
                  <w:vAlign w:val="center"/>
                </w:tcPr>
                <w:p w14:paraId="4B9E9427">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635" w:type="pct"/>
                  <w:tcMar>
                    <w:left w:w="28" w:type="dxa"/>
                    <w:right w:w="28" w:type="dxa"/>
                  </w:tcMar>
                  <w:vAlign w:val="center"/>
                </w:tcPr>
                <w:p w14:paraId="7D730C6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0.862</w:t>
                  </w:r>
                </w:p>
              </w:tc>
            </w:tr>
            <w:tr w14:paraId="151522E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532" w:type="pct"/>
                  <w:vMerge w:val="restart"/>
                  <w:vAlign w:val="center"/>
                </w:tcPr>
                <w:p w14:paraId="163B3C55">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bCs/>
                      <w:color w:val="auto"/>
                      <w:spacing w:val="-10"/>
                      <w:sz w:val="21"/>
                      <w:szCs w:val="21"/>
                      <w:highlight w:val="none"/>
                    </w:rPr>
                    <w:t>DA00</w:t>
                  </w:r>
                  <w:r>
                    <w:rPr>
                      <w:rFonts w:hint="default" w:ascii="Times New Roman" w:hAnsi="Times New Roman" w:cs="Times New Roman"/>
                      <w:bCs/>
                      <w:color w:val="auto"/>
                      <w:spacing w:val="-10"/>
                      <w:sz w:val="21"/>
                      <w:szCs w:val="21"/>
                      <w:highlight w:val="none"/>
                      <w:lang w:val="en-US" w:eastAsia="zh-CN"/>
                    </w:rPr>
                    <w:t>6</w:t>
                  </w:r>
                </w:p>
              </w:tc>
              <w:tc>
                <w:tcPr>
                  <w:tcW w:w="710" w:type="pct"/>
                  <w:vMerge w:val="restart"/>
                  <w:vAlign w:val="center"/>
                </w:tcPr>
                <w:p w14:paraId="76927238">
                  <w:pPr>
                    <w:snapToGrid w:val="0"/>
                    <w:jc w:val="center"/>
                    <w:rPr>
                      <w:rFonts w:hint="default" w:ascii="Times New Roman" w:hAnsi="Times New Roman" w:cs="Times New Roman"/>
                      <w:color w:val="auto"/>
                      <w:sz w:val="21"/>
                      <w:szCs w:val="21"/>
                      <w:highlight w:val="none"/>
                    </w:rPr>
                  </w:pPr>
                  <w:r>
                    <w:rPr>
                      <w:rFonts w:hint="eastAsia" w:ascii="Times New Roman" w:hAnsi="Times New Roman" w:cs="Times New Roman" w:eastAsiaTheme="minorEastAsia"/>
                      <w:color w:val="auto"/>
                      <w:sz w:val="21"/>
                      <w:szCs w:val="21"/>
                      <w:highlight w:val="none"/>
                      <w:lang w:val="en-US" w:eastAsia="zh-CN"/>
                    </w:rPr>
                    <w:t>燃气炉</w:t>
                  </w:r>
                  <w:r>
                    <w:rPr>
                      <w:rFonts w:hint="eastAsia" w:cs="Times New Roman" w:eastAsiaTheme="minorEastAsia"/>
                      <w:color w:val="auto"/>
                      <w:szCs w:val="21"/>
                      <w:highlight w:val="none"/>
                      <w:lang w:val="en-US" w:eastAsia="zh-CN"/>
                    </w:rPr>
                    <w:t>1#</w:t>
                  </w:r>
                </w:p>
              </w:tc>
              <w:tc>
                <w:tcPr>
                  <w:tcW w:w="804" w:type="pct"/>
                  <w:vMerge w:val="restart"/>
                  <w:vAlign w:val="center"/>
                </w:tcPr>
                <w:p w14:paraId="7FD56D4E">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48.84</w:t>
                  </w:r>
                </w:p>
              </w:tc>
              <w:tc>
                <w:tcPr>
                  <w:tcW w:w="541" w:type="pct"/>
                  <w:tcMar>
                    <w:left w:w="28" w:type="dxa"/>
                    <w:right w:w="28" w:type="dxa"/>
                  </w:tcMar>
                  <w:vAlign w:val="center"/>
                </w:tcPr>
                <w:p w14:paraId="3DBC2183">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575" w:type="pct"/>
                  <w:tcMar>
                    <w:left w:w="28" w:type="dxa"/>
                    <w:right w:w="28" w:type="dxa"/>
                  </w:tcMar>
                  <w:vAlign w:val="center"/>
                </w:tcPr>
                <w:p w14:paraId="513256E8">
                  <w:pPr>
                    <w:widowControl/>
                    <w:adjustRightInd w:val="0"/>
                    <w:snapToGrid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bCs/>
                      <w:color w:val="auto"/>
                      <w:sz w:val="21"/>
                      <w:szCs w:val="21"/>
                      <w:highlight w:val="none"/>
                      <w:lang w:val="en-US" w:eastAsia="zh-CN"/>
                    </w:rPr>
                    <w:t>30</w:t>
                  </w:r>
                </w:p>
              </w:tc>
              <w:tc>
                <w:tcPr>
                  <w:tcW w:w="634" w:type="pct"/>
                  <w:vMerge w:val="restart"/>
                  <w:tcMar>
                    <w:left w:w="28" w:type="dxa"/>
                    <w:right w:w="28" w:type="dxa"/>
                  </w:tcMar>
                  <w:vAlign w:val="center"/>
                </w:tcPr>
                <w:p w14:paraId="4F690437">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2516</w:t>
                  </w:r>
                </w:p>
              </w:tc>
              <w:tc>
                <w:tcPr>
                  <w:tcW w:w="566" w:type="pct"/>
                  <w:vMerge w:val="restart"/>
                  <w:vAlign w:val="center"/>
                </w:tcPr>
                <w:p w14:paraId="467FE1F6">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2"/>
                      <w:sz w:val="21"/>
                      <w:szCs w:val="21"/>
                      <w:highlight w:val="none"/>
                    </w:rPr>
                    <w:t>2640</w:t>
                  </w:r>
                </w:p>
              </w:tc>
              <w:tc>
                <w:tcPr>
                  <w:tcW w:w="635" w:type="pct"/>
                  <w:tcMar>
                    <w:left w:w="28" w:type="dxa"/>
                    <w:right w:w="28" w:type="dxa"/>
                  </w:tcMar>
                  <w:vAlign w:val="center"/>
                </w:tcPr>
                <w:p w14:paraId="3AED5C83">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0.199</w:t>
                  </w:r>
                </w:p>
              </w:tc>
            </w:tr>
            <w:tr w14:paraId="4557469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532" w:type="pct"/>
                  <w:vMerge w:val="continue"/>
                  <w:vAlign w:val="center"/>
                </w:tcPr>
                <w:p w14:paraId="1675AA18">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710" w:type="pct"/>
                  <w:vMerge w:val="continue"/>
                  <w:vAlign w:val="center"/>
                </w:tcPr>
                <w:p w14:paraId="085CD9DE">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804" w:type="pct"/>
                  <w:vMerge w:val="continue"/>
                  <w:vAlign w:val="center"/>
                </w:tcPr>
                <w:p w14:paraId="360BCBBA">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541" w:type="pct"/>
                  <w:tcMar>
                    <w:left w:w="28" w:type="dxa"/>
                    <w:right w:w="28" w:type="dxa"/>
                  </w:tcMar>
                  <w:vAlign w:val="center"/>
                </w:tcPr>
                <w:p w14:paraId="399C567B">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SO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p>
              </w:tc>
              <w:tc>
                <w:tcPr>
                  <w:tcW w:w="575" w:type="pct"/>
                  <w:tcMar>
                    <w:left w:w="28" w:type="dxa"/>
                    <w:right w:w="28" w:type="dxa"/>
                  </w:tcMar>
                  <w:vAlign w:val="center"/>
                </w:tcPr>
                <w:p w14:paraId="0E5CC581">
                  <w:pPr>
                    <w:widowControl/>
                    <w:adjustRightInd w:val="0"/>
                    <w:snapToGrid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bCs/>
                      <w:color w:val="auto"/>
                      <w:sz w:val="21"/>
                      <w:szCs w:val="21"/>
                      <w:highlight w:val="none"/>
                      <w:lang w:val="en-US" w:eastAsia="zh-CN"/>
                    </w:rPr>
                    <w:t>200</w:t>
                  </w:r>
                </w:p>
              </w:tc>
              <w:tc>
                <w:tcPr>
                  <w:tcW w:w="634" w:type="pct"/>
                  <w:vMerge w:val="continue"/>
                  <w:tcMar>
                    <w:left w:w="28" w:type="dxa"/>
                    <w:right w:w="28" w:type="dxa"/>
                  </w:tcMar>
                  <w:vAlign w:val="center"/>
                </w:tcPr>
                <w:p w14:paraId="5E10E132">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566" w:type="pct"/>
                  <w:vMerge w:val="continue"/>
                  <w:vAlign w:val="center"/>
                </w:tcPr>
                <w:p w14:paraId="1E3A8F7B">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635" w:type="pct"/>
                  <w:tcMar>
                    <w:left w:w="28" w:type="dxa"/>
                    <w:right w:w="28" w:type="dxa"/>
                  </w:tcMar>
                  <w:vAlign w:val="center"/>
                </w:tcPr>
                <w:p w14:paraId="3F69D03B">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1.328</w:t>
                  </w:r>
                </w:p>
              </w:tc>
            </w:tr>
            <w:tr w14:paraId="0CE4DDB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532" w:type="pct"/>
                  <w:vMerge w:val="continue"/>
                  <w:vAlign w:val="center"/>
                </w:tcPr>
                <w:p w14:paraId="72D6F5CD">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710" w:type="pct"/>
                  <w:vMerge w:val="continue"/>
                  <w:vAlign w:val="center"/>
                </w:tcPr>
                <w:p w14:paraId="3764B47A">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804" w:type="pct"/>
                  <w:vMerge w:val="continue"/>
                  <w:vAlign w:val="center"/>
                </w:tcPr>
                <w:p w14:paraId="22437124">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541" w:type="pct"/>
                  <w:tcMar>
                    <w:left w:w="28" w:type="dxa"/>
                    <w:right w:w="28" w:type="dxa"/>
                  </w:tcMar>
                  <w:vAlign w:val="center"/>
                </w:tcPr>
                <w:p w14:paraId="769DFAF0">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NOx</w:t>
                  </w:r>
                </w:p>
              </w:tc>
              <w:tc>
                <w:tcPr>
                  <w:tcW w:w="575" w:type="pct"/>
                  <w:tcMar>
                    <w:left w:w="28" w:type="dxa"/>
                    <w:right w:w="28" w:type="dxa"/>
                  </w:tcMar>
                  <w:vAlign w:val="center"/>
                </w:tcPr>
                <w:p w14:paraId="74B47BE7">
                  <w:pPr>
                    <w:widowControl/>
                    <w:adjustRightInd w:val="0"/>
                    <w:snapToGrid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bCs/>
                      <w:color w:val="auto"/>
                      <w:sz w:val="21"/>
                      <w:szCs w:val="21"/>
                      <w:highlight w:val="none"/>
                      <w:lang w:val="en-US" w:eastAsia="zh-CN"/>
                    </w:rPr>
                    <w:t>300</w:t>
                  </w:r>
                </w:p>
              </w:tc>
              <w:tc>
                <w:tcPr>
                  <w:tcW w:w="634" w:type="pct"/>
                  <w:vMerge w:val="continue"/>
                  <w:tcMar>
                    <w:left w:w="28" w:type="dxa"/>
                    <w:right w:w="28" w:type="dxa"/>
                  </w:tcMar>
                  <w:vAlign w:val="center"/>
                </w:tcPr>
                <w:p w14:paraId="0B535C27">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566" w:type="pct"/>
                  <w:vMerge w:val="continue"/>
                  <w:vAlign w:val="center"/>
                </w:tcPr>
                <w:p w14:paraId="65B3037D">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635" w:type="pct"/>
                  <w:tcMar>
                    <w:left w:w="28" w:type="dxa"/>
                    <w:right w:w="28" w:type="dxa"/>
                  </w:tcMar>
                  <w:vAlign w:val="center"/>
                </w:tcPr>
                <w:p w14:paraId="3BA4A8CA">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1.993</w:t>
                  </w:r>
                </w:p>
              </w:tc>
            </w:tr>
            <w:tr w14:paraId="3E56EE7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532" w:type="pct"/>
                  <w:vMerge w:val="continue"/>
                  <w:vAlign w:val="center"/>
                </w:tcPr>
                <w:p w14:paraId="4C56B471">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710" w:type="pct"/>
                  <w:vMerge w:val="restart"/>
                  <w:vAlign w:val="center"/>
                </w:tcPr>
                <w:p w14:paraId="4D2DD9DA">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r>
                    <w:rPr>
                      <w:rFonts w:hint="eastAsia" w:ascii="Times New Roman" w:hAnsi="Times New Roman" w:cs="Times New Roman" w:eastAsiaTheme="minorEastAsia"/>
                      <w:color w:val="auto"/>
                      <w:sz w:val="21"/>
                      <w:szCs w:val="21"/>
                      <w:highlight w:val="none"/>
                      <w:lang w:val="en-US" w:eastAsia="zh-CN"/>
                    </w:rPr>
                    <w:t>燃气炉</w:t>
                  </w:r>
                  <w:r>
                    <w:rPr>
                      <w:rFonts w:hint="eastAsia" w:cs="Times New Roman" w:eastAsiaTheme="minorEastAsia"/>
                      <w:color w:val="auto"/>
                      <w:szCs w:val="21"/>
                      <w:highlight w:val="none"/>
                      <w:lang w:val="en-US" w:eastAsia="zh-CN"/>
                    </w:rPr>
                    <w:t>2#</w:t>
                  </w:r>
                </w:p>
              </w:tc>
              <w:tc>
                <w:tcPr>
                  <w:tcW w:w="804" w:type="pct"/>
                  <w:vMerge w:val="restart"/>
                  <w:vAlign w:val="center"/>
                </w:tcPr>
                <w:p w14:paraId="4D5DD735">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48.84</w:t>
                  </w:r>
                </w:p>
              </w:tc>
              <w:tc>
                <w:tcPr>
                  <w:tcW w:w="541" w:type="pct"/>
                  <w:shd w:val="clear" w:color="auto" w:fill="auto"/>
                  <w:tcMar>
                    <w:left w:w="28" w:type="dxa"/>
                    <w:right w:w="28" w:type="dxa"/>
                  </w:tcMar>
                  <w:vAlign w:val="center"/>
                </w:tcPr>
                <w:p w14:paraId="4E490BD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575" w:type="pct"/>
                  <w:shd w:val="clear" w:color="auto" w:fill="auto"/>
                  <w:tcMar>
                    <w:left w:w="28" w:type="dxa"/>
                    <w:right w:w="28" w:type="dxa"/>
                  </w:tcMar>
                  <w:vAlign w:val="center"/>
                </w:tcPr>
                <w:p w14:paraId="78CB6577">
                  <w:pPr>
                    <w:widowControl/>
                    <w:adjustRightInd w:val="0"/>
                    <w:snapToGrid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30</w:t>
                  </w:r>
                </w:p>
              </w:tc>
              <w:tc>
                <w:tcPr>
                  <w:tcW w:w="634" w:type="pct"/>
                  <w:vMerge w:val="restart"/>
                  <w:shd w:val="clear" w:color="auto" w:fill="auto"/>
                  <w:tcMar>
                    <w:left w:w="28" w:type="dxa"/>
                    <w:right w:w="28" w:type="dxa"/>
                  </w:tcMar>
                  <w:vAlign w:val="center"/>
                </w:tcPr>
                <w:p w14:paraId="033E8F49">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2516</w:t>
                  </w:r>
                </w:p>
              </w:tc>
              <w:tc>
                <w:tcPr>
                  <w:tcW w:w="566" w:type="pct"/>
                  <w:vMerge w:val="restart"/>
                  <w:shd w:val="clear" w:color="auto" w:fill="auto"/>
                  <w:vAlign w:val="center"/>
                </w:tcPr>
                <w:p w14:paraId="3B25E1E1">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2"/>
                      <w:sz w:val="21"/>
                      <w:szCs w:val="21"/>
                      <w:highlight w:val="none"/>
                    </w:rPr>
                    <w:t>2640</w:t>
                  </w:r>
                </w:p>
              </w:tc>
              <w:tc>
                <w:tcPr>
                  <w:tcW w:w="635" w:type="pct"/>
                  <w:shd w:val="clear" w:color="auto" w:fill="auto"/>
                  <w:tcMar>
                    <w:left w:w="28" w:type="dxa"/>
                    <w:right w:w="28" w:type="dxa"/>
                  </w:tcMar>
                  <w:vAlign w:val="center"/>
                </w:tcPr>
                <w:p w14:paraId="1F5EA35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0.199</w:t>
                  </w:r>
                </w:p>
              </w:tc>
            </w:tr>
            <w:tr w14:paraId="4923781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532" w:type="pct"/>
                  <w:vMerge w:val="continue"/>
                  <w:vAlign w:val="center"/>
                </w:tcPr>
                <w:p w14:paraId="68BC995E">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710" w:type="pct"/>
                  <w:vMerge w:val="continue"/>
                  <w:vAlign w:val="center"/>
                </w:tcPr>
                <w:p w14:paraId="141C2CD4">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804" w:type="pct"/>
                  <w:vMerge w:val="continue"/>
                  <w:vAlign w:val="center"/>
                </w:tcPr>
                <w:p w14:paraId="40DAE6EE">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541" w:type="pct"/>
                  <w:shd w:val="clear" w:color="auto" w:fill="auto"/>
                  <w:tcMar>
                    <w:left w:w="28" w:type="dxa"/>
                    <w:right w:w="28" w:type="dxa"/>
                  </w:tcMar>
                  <w:vAlign w:val="center"/>
                </w:tcPr>
                <w:p w14:paraId="0232868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SO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p>
              </w:tc>
              <w:tc>
                <w:tcPr>
                  <w:tcW w:w="575" w:type="pct"/>
                  <w:shd w:val="clear" w:color="auto" w:fill="auto"/>
                  <w:tcMar>
                    <w:left w:w="28" w:type="dxa"/>
                    <w:right w:w="28" w:type="dxa"/>
                  </w:tcMar>
                  <w:vAlign w:val="center"/>
                </w:tcPr>
                <w:p w14:paraId="13912DBE">
                  <w:pPr>
                    <w:widowControl/>
                    <w:adjustRightInd w:val="0"/>
                    <w:snapToGrid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200</w:t>
                  </w:r>
                </w:p>
              </w:tc>
              <w:tc>
                <w:tcPr>
                  <w:tcW w:w="634" w:type="pct"/>
                  <w:vMerge w:val="continue"/>
                  <w:tcMar>
                    <w:left w:w="28" w:type="dxa"/>
                    <w:right w:w="28" w:type="dxa"/>
                  </w:tcMar>
                  <w:vAlign w:val="center"/>
                </w:tcPr>
                <w:p w14:paraId="6562F961">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566" w:type="pct"/>
                  <w:vMerge w:val="continue"/>
                  <w:vAlign w:val="center"/>
                </w:tcPr>
                <w:p w14:paraId="11B10C04">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635" w:type="pct"/>
                  <w:shd w:val="clear" w:color="auto" w:fill="auto"/>
                  <w:tcMar>
                    <w:left w:w="28" w:type="dxa"/>
                    <w:right w:w="28" w:type="dxa"/>
                  </w:tcMar>
                  <w:vAlign w:val="center"/>
                </w:tcPr>
                <w:p w14:paraId="4299547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1.328</w:t>
                  </w:r>
                </w:p>
              </w:tc>
            </w:tr>
            <w:tr w14:paraId="4FA3424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532" w:type="pct"/>
                  <w:vMerge w:val="continue"/>
                  <w:vAlign w:val="center"/>
                </w:tcPr>
                <w:p w14:paraId="0573EB72">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710" w:type="pct"/>
                  <w:vMerge w:val="continue"/>
                  <w:vAlign w:val="center"/>
                </w:tcPr>
                <w:p w14:paraId="2100ED43">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804" w:type="pct"/>
                  <w:vMerge w:val="continue"/>
                  <w:vAlign w:val="center"/>
                </w:tcPr>
                <w:p w14:paraId="09B37AF9">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541" w:type="pct"/>
                  <w:shd w:val="clear" w:color="auto" w:fill="auto"/>
                  <w:tcMar>
                    <w:left w:w="28" w:type="dxa"/>
                    <w:right w:w="28" w:type="dxa"/>
                  </w:tcMar>
                  <w:vAlign w:val="center"/>
                </w:tcPr>
                <w:p w14:paraId="66B4CBC7">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NOx</w:t>
                  </w:r>
                </w:p>
              </w:tc>
              <w:tc>
                <w:tcPr>
                  <w:tcW w:w="575" w:type="pct"/>
                  <w:shd w:val="clear" w:color="auto" w:fill="auto"/>
                  <w:tcMar>
                    <w:left w:w="28" w:type="dxa"/>
                    <w:right w:w="28" w:type="dxa"/>
                  </w:tcMar>
                  <w:vAlign w:val="center"/>
                </w:tcPr>
                <w:p w14:paraId="2A3406B7">
                  <w:pPr>
                    <w:widowControl/>
                    <w:adjustRightInd w:val="0"/>
                    <w:snapToGrid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300</w:t>
                  </w:r>
                </w:p>
              </w:tc>
              <w:tc>
                <w:tcPr>
                  <w:tcW w:w="634" w:type="pct"/>
                  <w:vMerge w:val="continue"/>
                  <w:tcMar>
                    <w:left w:w="28" w:type="dxa"/>
                    <w:right w:w="28" w:type="dxa"/>
                  </w:tcMar>
                  <w:vAlign w:val="center"/>
                </w:tcPr>
                <w:p w14:paraId="0AEF4BD2">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566" w:type="pct"/>
                  <w:vMerge w:val="continue"/>
                  <w:vAlign w:val="center"/>
                </w:tcPr>
                <w:p w14:paraId="76786902">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635" w:type="pct"/>
                  <w:shd w:val="clear" w:color="auto" w:fill="auto"/>
                  <w:tcMar>
                    <w:left w:w="28" w:type="dxa"/>
                    <w:right w:w="28" w:type="dxa"/>
                  </w:tcMar>
                  <w:vAlign w:val="center"/>
                </w:tcPr>
                <w:p w14:paraId="447FDEC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1.993</w:t>
                  </w:r>
                </w:p>
              </w:tc>
            </w:tr>
            <w:tr w14:paraId="7CFAB92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532" w:type="pct"/>
                  <w:vMerge w:val="continue"/>
                  <w:vAlign w:val="center"/>
                </w:tcPr>
                <w:p w14:paraId="58048C78">
                  <w:pPr>
                    <w:adjustRightInd w:val="0"/>
                    <w:snapToGrid w:val="0"/>
                    <w:jc w:val="center"/>
                    <w:rPr>
                      <w:rFonts w:hint="default" w:ascii="Times New Roman" w:hAnsi="Times New Roman" w:cs="Times New Roman"/>
                      <w:color w:val="auto"/>
                      <w:sz w:val="21"/>
                      <w:szCs w:val="21"/>
                      <w:highlight w:val="none"/>
                    </w:rPr>
                  </w:pPr>
                </w:p>
              </w:tc>
              <w:tc>
                <w:tcPr>
                  <w:tcW w:w="710" w:type="pct"/>
                  <w:vMerge w:val="restart"/>
                  <w:vAlign w:val="center"/>
                </w:tcPr>
                <w:p w14:paraId="48D89694">
                  <w:pPr>
                    <w:snapToGrid w:val="0"/>
                    <w:jc w:val="center"/>
                    <w:rPr>
                      <w:rFonts w:hint="default" w:ascii="Times New Roman" w:hAnsi="Times New Roman" w:cs="Times New Roman"/>
                      <w:color w:val="auto"/>
                      <w:sz w:val="21"/>
                      <w:szCs w:val="21"/>
                      <w:highlight w:val="none"/>
                      <w:lang w:val="en-US"/>
                    </w:rPr>
                  </w:pPr>
                  <w:r>
                    <w:rPr>
                      <w:rFonts w:hint="eastAsia" w:ascii="Times New Roman" w:hAnsi="Times New Roman" w:cs="Times New Roman" w:eastAsiaTheme="minorEastAsia"/>
                      <w:color w:val="auto"/>
                      <w:sz w:val="21"/>
                      <w:szCs w:val="21"/>
                      <w:highlight w:val="none"/>
                      <w:lang w:val="en-US" w:eastAsia="zh-CN"/>
                    </w:rPr>
                    <w:t>燃气炉</w:t>
                  </w:r>
                  <w:r>
                    <w:rPr>
                      <w:rFonts w:hint="eastAsia" w:cs="Times New Roman" w:eastAsiaTheme="minorEastAsia"/>
                      <w:color w:val="auto"/>
                      <w:szCs w:val="21"/>
                      <w:highlight w:val="none"/>
                      <w:lang w:val="en-US" w:eastAsia="zh-CN"/>
                    </w:rPr>
                    <w:t>3#</w:t>
                  </w:r>
                </w:p>
              </w:tc>
              <w:tc>
                <w:tcPr>
                  <w:tcW w:w="804" w:type="pct"/>
                  <w:vMerge w:val="restart"/>
                  <w:vAlign w:val="center"/>
                </w:tcPr>
                <w:p w14:paraId="3976C0E8">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68.64</w:t>
                  </w:r>
                </w:p>
              </w:tc>
              <w:tc>
                <w:tcPr>
                  <w:tcW w:w="541" w:type="pct"/>
                  <w:tcMar>
                    <w:left w:w="28" w:type="dxa"/>
                    <w:right w:w="28" w:type="dxa"/>
                  </w:tcMar>
                  <w:vAlign w:val="center"/>
                </w:tcPr>
                <w:p w14:paraId="69A92AA9">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575" w:type="pct"/>
                  <w:tcMar>
                    <w:left w:w="28" w:type="dxa"/>
                    <w:right w:w="28" w:type="dxa"/>
                  </w:tcMar>
                  <w:vAlign w:val="center"/>
                </w:tcPr>
                <w:p w14:paraId="4B93FAD1">
                  <w:pPr>
                    <w:widowControl/>
                    <w:adjustRightInd w:val="0"/>
                    <w:snapToGrid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bCs/>
                      <w:color w:val="auto"/>
                      <w:sz w:val="21"/>
                      <w:szCs w:val="21"/>
                      <w:highlight w:val="none"/>
                      <w:lang w:val="en-US" w:eastAsia="zh-CN"/>
                    </w:rPr>
                    <w:t>30</w:t>
                  </w:r>
                </w:p>
              </w:tc>
              <w:tc>
                <w:tcPr>
                  <w:tcW w:w="634" w:type="pct"/>
                  <w:vMerge w:val="restart"/>
                  <w:tcMar>
                    <w:left w:w="28" w:type="dxa"/>
                    <w:right w:w="28" w:type="dxa"/>
                  </w:tcMar>
                  <w:vAlign w:val="center"/>
                </w:tcPr>
                <w:p w14:paraId="1A5E7C54">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3536</w:t>
                  </w:r>
                </w:p>
              </w:tc>
              <w:tc>
                <w:tcPr>
                  <w:tcW w:w="566" w:type="pct"/>
                  <w:vMerge w:val="restart"/>
                  <w:vAlign w:val="center"/>
                </w:tcPr>
                <w:p w14:paraId="5473970A">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2"/>
                      <w:sz w:val="21"/>
                      <w:szCs w:val="21"/>
                      <w:highlight w:val="none"/>
                    </w:rPr>
                    <w:t>2640</w:t>
                  </w:r>
                </w:p>
              </w:tc>
              <w:tc>
                <w:tcPr>
                  <w:tcW w:w="635" w:type="pct"/>
                  <w:tcMar>
                    <w:left w:w="28" w:type="dxa"/>
                    <w:right w:w="28" w:type="dxa"/>
                  </w:tcMar>
                  <w:vAlign w:val="center"/>
                </w:tcPr>
                <w:p w14:paraId="76F2D2FF">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0.280</w:t>
                  </w:r>
                </w:p>
              </w:tc>
            </w:tr>
            <w:tr w14:paraId="01809AD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532" w:type="pct"/>
                  <w:vMerge w:val="continue"/>
                  <w:vAlign w:val="center"/>
                </w:tcPr>
                <w:p w14:paraId="3B3F894B">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710" w:type="pct"/>
                  <w:vMerge w:val="continue"/>
                  <w:vAlign w:val="center"/>
                </w:tcPr>
                <w:p w14:paraId="66FCD996">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804" w:type="pct"/>
                  <w:vMerge w:val="continue"/>
                  <w:vAlign w:val="center"/>
                </w:tcPr>
                <w:p w14:paraId="2DE9C278">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541" w:type="pct"/>
                  <w:tcMar>
                    <w:left w:w="28" w:type="dxa"/>
                    <w:right w:w="28" w:type="dxa"/>
                  </w:tcMar>
                  <w:vAlign w:val="center"/>
                </w:tcPr>
                <w:p w14:paraId="18ACCB13">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SO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p>
              </w:tc>
              <w:tc>
                <w:tcPr>
                  <w:tcW w:w="575" w:type="pct"/>
                  <w:tcMar>
                    <w:left w:w="28" w:type="dxa"/>
                    <w:right w:w="28" w:type="dxa"/>
                  </w:tcMar>
                  <w:vAlign w:val="center"/>
                </w:tcPr>
                <w:p w14:paraId="4460FC36">
                  <w:pPr>
                    <w:widowControl/>
                    <w:adjustRightInd w:val="0"/>
                    <w:snapToGrid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bCs/>
                      <w:color w:val="auto"/>
                      <w:sz w:val="21"/>
                      <w:szCs w:val="21"/>
                      <w:highlight w:val="none"/>
                      <w:lang w:val="en-US" w:eastAsia="zh-CN"/>
                    </w:rPr>
                    <w:t>200</w:t>
                  </w:r>
                </w:p>
              </w:tc>
              <w:tc>
                <w:tcPr>
                  <w:tcW w:w="634" w:type="pct"/>
                  <w:vMerge w:val="continue"/>
                  <w:tcMar>
                    <w:left w:w="28" w:type="dxa"/>
                    <w:right w:w="28" w:type="dxa"/>
                  </w:tcMar>
                  <w:vAlign w:val="center"/>
                </w:tcPr>
                <w:p w14:paraId="3B35D513">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566" w:type="pct"/>
                  <w:vMerge w:val="continue"/>
                  <w:vAlign w:val="center"/>
                </w:tcPr>
                <w:p w14:paraId="197FBDC1">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635" w:type="pct"/>
                  <w:tcMar>
                    <w:left w:w="28" w:type="dxa"/>
                    <w:right w:w="28" w:type="dxa"/>
                  </w:tcMar>
                  <w:vAlign w:val="center"/>
                </w:tcPr>
                <w:p w14:paraId="5FEA2AC0">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1.867</w:t>
                  </w:r>
                </w:p>
              </w:tc>
            </w:tr>
            <w:tr w14:paraId="3891BB6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26" w:hRule="atLeast"/>
                <w:jc w:val="center"/>
              </w:trPr>
              <w:tc>
                <w:tcPr>
                  <w:tcW w:w="532" w:type="pct"/>
                  <w:vMerge w:val="continue"/>
                  <w:vAlign w:val="center"/>
                </w:tcPr>
                <w:p w14:paraId="01BCDB47">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710" w:type="pct"/>
                  <w:vMerge w:val="continue"/>
                  <w:vAlign w:val="center"/>
                </w:tcPr>
                <w:p w14:paraId="6F6B6AEF">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804" w:type="pct"/>
                  <w:vMerge w:val="continue"/>
                  <w:vAlign w:val="center"/>
                </w:tcPr>
                <w:p w14:paraId="469CD019">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541" w:type="pct"/>
                  <w:tcMar>
                    <w:left w:w="28" w:type="dxa"/>
                    <w:right w:w="28" w:type="dxa"/>
                  </w:tcMar>
                  <w:vAlign w:val="center"/>
                </w:tcPr>
                <w:p w14:paraId="109586DD">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NOx</w:t>
                  </w:r>
                </w:p>
              </w:tc>
              <w:tc>
                <w:tcPr>
                  <w:tcW w:w="575" w:type="pct"/>
                  <w:tcMar>
                    <w:left w:w="28" w:type="dxa"/>
                    <w:right w:w="28" w:type="dxa"/>
                  </w:tcMar>
                  <w:vAlign w:val="center"/>
                </w:tcPr>
                <w:p w14:paraId="4946A155">
                  <w:pPr>
                    <w:widowControl/>
                    <w:adjustRightInd w:val="0"/>
                    <w:snapToGrid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bCs/>
                      <w:color w:val="auto"/>
                      <w:sz w:val="21"/>
                      <w:szCs w:val="21"/>
                      <w:highlight w:val="none"/>
                      <w:lang w:val="en-US" w:eastAsia="zh-CN"/>
                    </w:rPr>
                    <w:t>300</w:t>
                  </w:r>
                </w:p>
              </w:tc>
              <w:tc>
                <w:tcPr>
                  <w:tcW w:w="634" w:type="pct"/>
                  <w:vMerge w:val="continue"/>
                  <w:tcMar>
                    <w:left w:w="28" w:type="dxa"/>
                    <w:right w:w="28" w:type="dxa"/>
                  </w:tcMar>
                  <w:vAlign w:val="center"/>
                </w:tcPr>
                <w:p w14:paraId="7C91F5A0">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566" w:type="pct"/>
                  <w:vMerge w:val="continue"/>
                  <w:vAlign w:val="center"/>
                </w:tcPr>
                <w:p w14:paraId="3DCCCCDF">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635" w:type="pct"/>
                  <w:tcMar>
                    <w:left w:w="28" w:type="dxa"/>
                    <w:right w:w="28" w:type="dxa"/>
                  </w:tcMar>
                  <w:vAlign w:val="center"/>
                </w:tcPr>
                <w:p w14:paraId="40CC1934">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2.801</w:t>
                  </w:r>
                </w:p>
              </w:tc>
            </w:tr>
            <w:tr w14:paraId="49E3361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532" w:type="pct"/>
                  <w:vMerge w:val="restart"/>
                  <w:vAlign w:val="center"/>
                </w:tcPr>
                <w:p w14:paraId="225494F1">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bCs/>
                      <w:color w:val="auto"/>
                      <w:spacing w:val="-10"/>
                      <w:sz w:val="21"/>
                      <w:szCs w:val="21"/>
                      <w:highlight w:val="none"/>
                    </w:rPr>
                    <w:t>DA00</w:t>
                  </w:r>
                  <w:r>
                    <w:rPr>
                      <w:rFonts w:hint="eastAsia" w:ascii="Times New Roman" w:hAnsi="Times New Roman" w:cs="Times New Roman"/>
                      <w:bCs/>
                      <w:color w:val="auto"/>
                      <w:spacing w:val="-10"/>
                      <w:sz w:val="21"/>
                      <w:szCs w:val="21"/>
                      <w:highlight w:val="none"/>
                      <w:lang w:val="en-US" w:eastAsia="zh-CN"/>
                    </w:rPr>
                    <w:t>7</w:t>
                  </w:r>
                </w:p>
              </w:tc>
              <w:tc>
                <w:tcPr>
                  <w:tcW w:w="710" w:type="pct"/>
                  <w:vMerge w:val="restart"/>
                  <w:shd w:val="clear" w:color="auto" w:fill="auto"/>
                  <w:vAlign w:val="center"/>
                </w:tcPr>
                <w:p w14:paraId="5528FA54">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自由锻</w:t>
                  </w:r>
                  <w:r>
                    <w:rPr>
                      <w:rFonts w:hint="default" w:ascii="Times New Roman" w:hAnsi="Times New Roman" w:cs="Times New Roman"/>
                      <w:color w:val="auto"/>
                      <w:sz w:val="21"/>
                      <w:szCs w:val="21"/>
                      <w:highlight w:val="none"/>
                      <w:lang w:eastAsia="zh-CN"/>
                    </w:rPr>
                    <w:t>回火炉</w:t>
                  </w:r>
                  <w:r>
                    <w:rPr>
                      <w:rFonts w:hint="eastAsia" w:cs="Times New Roman"/>
                      <w:color w:val="auto"/>
                      <w:sz w:val="21"/>
                      <w:szCs w:val="21"/>
                      <w:highlight w:val="none"/>
                      <w:lang w:val="en-US" w:eastAsia="zh-CN"/>
                    </w:rPr>
                    <w:t>3#</w:t>
                  </w:r>
                </w:p>
              </w:tc>
              <w:tc>
                <w:tcPr>
                  <w:tcW w:w="804" w:type="pct"/>
                  <w:vMerge w:val="restart"/>
                  <w:shd w:val="clear" w:color="auto" w:fill="auto"/>
                  <w:vAlign w:val="center"/>
                </w:tcPr>
                <w:p w14:paraId="5194A5A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68.64</w:t>
                  </w:r>
                </w:p>
              </w:tc>
              <w:tc>
                <w:tcPr>
                  <w:tcW w:w="541" w:type="pct"/>
                  <w:shd w:val="clear" w:color="auto" w:fill="auto"/>
                  <w:tcMar>
                    <w:left w:w="28" w:type="dxa"/>
                    <w:right w:w="28" w:type="dxa"/>
                  </w:tcMar>
                  <w:vAlign w:val="center"/>
                </w:tcPr>
                <w:p w14:paraId="6785D96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575" w:type="pct"/>
                  <w:shd w:val="clear" w:color="auto" w:fill="auto"/>
                  <w:tcMar>
                    <w:left w:w="28" w:type="dxa"/>
                    <w:right w:w="28" w:type="dxa"/>
                  </w:tcMar>
                  <w:vAlign w:val="center"/>
                </w:tcPr>
                <w:p w14:paraId="38829186">
                  <w:pPr>
                    <w:widowControl/>
                    <w:adjustRightInd w:val="0"/>
                    <w:snapToGrid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30</w:t>
                  </w:r>
                </w:p>
              </w:tc>
              <w:tc>
                <w:tcPr>
                  <w:tcW w:w="634" w:type="pct"/>
                  <w:vMerge w:val="restart"/>
                  <w:tcMar>
                    <w:left w:w="28" w:type="dxa"/>
                    <w:right w:w="28" w:type="dxa"/>
                  </w:tcMar>
                  <w:vAlign w:val="center"/>
                </w:tcPr>
                <w:p w14:paraId="2072144C">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3536</w:t>
                  </w:r>
                </w:p>
              </w:tc>
              <w:tc>
                <w:tcPr>
                  <w:tcW w:w="566" w:type="pct"/>
                  <w:vMerge w:val="restart"/>
                  <w:vAlign w:val="center"/>
                </w:tcPr>
                <w:p w14:paraId="7821A66E">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2"/>
                      <w:sz w:val="21"/>
                      <w:szCs w:val="21"/>
                      <w:highlight w:val="none"/>
                    </w:rPr>
                    <w:t>2640</w:t>
                  </w:r>
                </w:p>
              </w:tc>
              <w:tc>
                <w:tcPr>
                  <w:tcW w:w="635" w:type="pct"/>
                  <w:shd w:val="clear" w:color="auto" w:fill="auto"/>
                  <w:tcMar>
                    <w:left w:w="28" w:type="dxa"/>
                    <w:right w:w="28" w:type="dxa"/>
                  </w:tcMar>
                  <w:vAlign w:val="center"/>
                </w:tcPr>
                <w:p w14:paraId="7B26321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0.280</w:t>
                  </w:r>
                </w:p>
              </w:tc>
            </w:tr>
            <w:tr w14:paraId="13703F4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532" w:type="pct"/>
                  <w:vMerge w:val="continue"/>
                  <w:vAlign w:val="center"/>
                </w:tcPr>
                <w:p w14:paraId="37D1201A">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710" w:type="pct"/>
                  <w:vMerge w:val="continue"/>
                  <w:vAlign w:val="center"/>
                </w:tcPr>
                <w:p w14:paraId="125BAD14">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804" w:type="pct"/>
                  <w:vMerge w:val="continue"/>
                  <w:vAlign w:val="center"/>
                </w:tcPr>
                <w:p w14:paraId="658BC9C9">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541" w:type="pct"/>
                  <w:shd w:val="clear" w:color="auto" w:fill="auto"/>
                  <w:tcMar>
                    <w:left w:w="28" w:type="dxa"/>
                    <w:right w:w="28" w:type="dxa"/>
                  </w:tcMar>
                  <w:vAlign w:val="center"/>
                </w:tcPr>
                <w:p w14:paraId="1CBC6AEC">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SO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p>
              </w:tc>
              <w:tc>
                <w:tcPr>
                  <w:tcW w:w="575" w:type="pct"/>
                  <w:shd w:val="clear" w:color="auto" w:fill="auto"/>
                  <w:tcMar>
                    <w:left w:w="28" w:type="dxa"/>
                    <w:right w:w="28" w:type="dxa"/>
                  </w:tcMar>
                  <w:vAlign w:val="center"/>
                </w:tcPr>
                <w:p w14:paraId="3DFBFEF4">
                  <w:pPr>
                    <w:widowControl/>
                    <w:adjustRightInd w:val="0"/>
                    <w:snapToGrid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200</w:t>
                  </w:r>
                </w:p>
              </w:tc>
              <w:tc>
                <w:tcPr>
                  <w:tcW w:w="634" w:type="pct"/>
                  <w:vMerge w:val="continue"/>
                  <w:tcMar>
                    <w:left w:w="28" w:type="dxa"/>
                    <w:right w:w="28" w:type="dxa"/>
                  </w:tcMar>
                  <w:vAlign w:val="center"/>
                </w:tcPr>
                <w:p w14:paraId="7A68662E">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566" w:type="pct"/>
                  <w:vMerge w:val="continue"/>
                  <w:vAlign w:val="center"/>
                </w:tcPr>
                <w:p w14:paraId="5101DB43">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635" w:type="pct"/>
                  <w:shd w:val="clear" w:color="auto" w:fill="auto"/>
                  <w:tcMar>
                    <w:left w:w="28" w:type="dxa"/>
                    <w:right w:w="28" w:type="dxa"/>
                  </w:tcMar>
                  <w:vAlign w:val="center"/>
                </w:tcPr>
                <w:p w14:paraId="37A7B03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1.867</w:t>
                  </w:r>
                </w:p>
              </w:tc>
            </w:tr>
            <w:tr w14:paraId="7661A39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532" w:type="pct"/>
                  <w:vMerge w:val="continue"/>
                  <w:vAlign w:val="center"/>
                </w:tcPr>
                <w:p w14:paraId="2C5166E3">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710" w:type="pct"/>
                  <w:vMerge w:val="continue"/>
                  <w:vAlign w:val="center"/>
                </w:tcPr>
                <w:p w14:paraId="3E301611">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804" w:type="pct"/>
                  <w:vMerge w:val="continue"/>
                  <w:vAlign w:val="center"/>
                </w:tcPr>
                <w:p w14:paraId="6EC78E37">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541" w:type="pct"/>
                  <w:shd w:val="clear" w:color="auto" w:fill="auto"/>
                  <w:tcMar>
                    <w:left w:w="28" w:type="dxa"/>
                    <w:right w:w="28" w:type="dxa"/>
                  </w:tcMar>
                  <w:vAlign w:val="center"/>
                </w:tcPr>
                <w:p w14:paraId="3136FF7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NOx</w:t>
                  </w:r>
                </w:p>
              </w:tc>
              <w:tc>
                <w:tcPr>
                  <w:tcW w:w="575" w:type="pct"/>
                  <w:shd w:val="clear" w:color="auto" w:fill="auto"/>
                  <w:tcMar>
                    <w:left w:w="28" w:type="dxa"/>
                    <w:right w:w="28" w:type="dxa"/>
                  </w:tcMar>
                  <w:vAlign w:val="center"/>
                </w:tcPr>
                <w:p w14:paraId="3432B5A9">
                  <w:pPr>
                    <w:widowControl/>
                    <w:adjustRightInd w:val="0"/>
                    <w:snapToGrid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300</w:t>
                  </w:r>
                </w:p>
              </w:tc>
              <w:tc>
                <w:tcPr>
                  <w:tcW w:w="634" w:type="pct"/>
                  <w:vMerge w:val="continue"/>
                  <w:tcMar>
                    <w:left w:w="28" w:type="dxa"/>
                    <w:right w:w="28" w:type="dxa"/>
                  </w:tcMar>
                  <w:vAlign w:val="center"/>
                </w:tcPr>
                <w:p w14:paraId="696C3EE8">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566" w:type="pct"/>
                  <w:vMerge w:val="continue"/>
                  <w:vAlign w:val="center"/>
                </w:tcPr>
                <w:p w14:paraId="67E7AABD">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635" w:type="pct"/>
                  <w:shd w:val="clear" w:color="auto" w:fill="auto"/>
                  <w:tcMar>
                    <w:left w:w="28" w:type="dxa"/>
                    <w:right w:w="28" w:type="dxa"/>
                  </w:tcMar>
                  <w:vAlign w:val="center"/>
                </w:tcPr>
                <w:p w14:paraId="7CD9CA7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2.801</w:t>
                  </w:r>
                </w:p>
              </w:tc>
            </w:tr>
            <w:tr w14:paraId="7812366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532" w:type="pct"/>
                  <w:vAlign w:val="center"/>
                </w:tcPr>
                <w:p w14:paraId="4A90AB46">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bCs/>
                      <w:color w:val="auto"/>
                      <w:spacing w:val="-10"/>
                      <w:sz w:val="21"/>
                      <w:szCs w:val="21"/>
                      <w:highlight w:val="none"/>
                    </w:rPr>
                    <w:t>DA004</w:t>
                  </w:r>
                </w:p>
              </w:tc>
              <w:tc>
                <w:tcPr>
                  <w:tcW w:w="710" w:type="pct"/>
                  <w:vAlign w:val="center"/>
                </w:tcPr>
                <w:p w14:paraId="4289A42E">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重型车间抛丸工序</w:t>
                  </w:r>
                </w:p>
              </w:tc>
              <w:tc>
                <w:tcPr>
                  <w:tcW w:w="804" w:type="pct"/>
                  <w:vAlign w:val="center"/>
                </w:tcPr>
                <w:p w14:paraId="183BA743">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541" w:type="pct"/>
                  <w:tcMar>
                    <w:left w:w="28" w:type="dxa"/>
                    <w:right w:w="28" w:type="dxa"/>
                  </w:tcMar>
                  <w:vAlign w:val="center"/>
                </w:tcPr>
                <w:p w14:paraId="5E3EBBF0">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颗粒物</w:t>
                  </w:r>
                </w:p>
              </w:tc>
              <w:tc>
                <w:tcPr>
                  <w:tcW w:w="575" w:type="pct"/>
                  <w:tcMar>
                    <w:left w:w="28" w:type="dxa"/>
                    <w:right w:w="28" w:type="dxa"/>
                  </w:tcMar>
                  <w:vAlign w:val="center"/>
                </w:tcPr>
                <w:p w14:paraId="79AE449F">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w:t>
                  </w:r>
                </w:p>
              </w:tc>
              <w:tc>
                <w:tcPr>
                  <w:tcW w:w="634" w:type="pct"/>
                  <w:tcMar>
                    <w:left w:w="28" w:type="dxa"/>
                    <w:right w:w="28" w:type="dxa"/>
                  </w:tcMar>
                  <w:vAlign w:val="center"/>
                </w:tcPr>
                <w:p w14:paraId="140981B3">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24000</w:t>
                  </w:r>
                </w:p>
              </w:tc>
              <w:tc>
                <w:tcPr>
                  <w:tcW w:w="566" w:type="pct"/>
                  <w:vAlign w:val="center"/>
                </w:tcPr>
                <w:p w14:paraId="531E978E">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900</w:t>
                  </w:r>
                </w:p>
              </w:tc>
              <w:tc>
                <w:tcPr>
                  <w:tcW w:w="635" w:type="pct"/>
                  <w:tcMar>
                    <w:left w:w="28" w:type="dxa"/>
                    <w:right w:w="28" w:type="dxa"/>
                  </w:tcMar>
                  <w:vAlign w:val="center"/>
                </w:tcPr>
                <w:p w14:paraId="4540034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0.216</w:t>
                  </w:r>
                </w:p>
              </w:tc>
            </w:tr>
            <w:tr w14:paraId="011F1C7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2046" w:type="pct"/>
                  <w:gridSpan w:val="3"/>
                  <w:vMerge w:val="restart"/>
                  <w:vAlign w:val="center"/>
                </w:tcPr>
                <w:p w14:paraId="50D85E3B">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合计</w:t>
                  </w:r>
                </w:p>
              </w:tc>
              <w:tc>
                <w:tcPr>
                  <w:tcW w:w="541" w:type="pct"/>
                  <w:shd w:val="clear" w:color="auto" w:fill="auto"/>
                  <w:tcMar>
                    <w:left w:w="28" w:type="dxa"/>
                    <w:right w:w="28" w:type="dxa"/>
                  </w:tcMar>
                  <w:vAlign w:val="center"/>
                </w:tcPr>
                <w:p w14:paraId="6B0F0BF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575" w:type="pct"/>
                  <w:tcMar>
                    <w:left w:w="28" w:type="dxa"/>
                    <w:right w:w="28" w:type="dxa"/>
                  </w:tcMar>
                  <w:vAlign w:val="center"/>
                </w:tcPr>
                <w:p w14:paraId="2E877297">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bCs/>
                      <w:color w:val="auto"/>
                      <w:spacing w:val="-10"/>
                      <w:sz w:val="21"/>
                      <w:szCs w:val="21"/>
                      <w:highlight w:val="none"/>
                    </w:rPr>
                    <w:t>/</w:t>
                  </w:r>
                </w:p>
              </w:tc>
              <w:tc>
                <w:tcPr>
                  <w:tcW w:w="634" w:type="pct"/>
                  <w:tcMar>
                    <w:left w:w="28" w:type="dxa"/>
                    <w:right w:w="28" w:type="dxa"/>
                  </w:tcMar>
                  <w:vAlign w:val="center"/>
                </w:tcPr>
                <w:p w14:paraId="77CA79E9">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bCs/>
                      <w:color w:val="auto"/>
                      <w:spacing w:val="-10"/>
                      <w:sz w:val="21"/>
                      <w:szCs w:val="21"/>
                      <w:highlight w:val="none"/>
                    </w:rPr>
                    <w:t>/</w:t>
                  </w:r>
                </w:p>
              </w:tc>
              <w:tc>
                <w:tcPr>
                  <w:tcW w:w="566" w:type="pct"/>
                  <w:vAlign w:val="center"/>
                </w:tcPr>
                <w:p w14:paraId="766E43AC">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bCs/>
                      <w:color w:val="auto"/>
                      <w:spacing w:val="-10"/>
                      <w:sz w:val="21"/>
                      <w:szCs w:val="21"/>
                      <w:highlight w:val="none"/>
                    </w:rPr>
                    <w:t>/</w:t>
                  </w:r>
                </w:p>
              </w:tc>
              <w:tc>
                <w:tcPr>
                  <w:tcW w:w="635" w:type="pct"/>
                  <w:tcMar>
                    <w:left w:w="28" w:type="dxa"/>
                    <w:right w:w="28" w:type="dxa"/>
                  </w:tcMar>
                  <w:vAlign w:val="center"/>
                </w:tcPr>
                <w:p w14:paraId="7F5FBD03">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rPr>
                  </w:pPr>
                  <w:r>
                    <w:rPr>
                      <w:rFonts w:hint="default" w:ascii="Times New Roman" w:hAnsi="Times New Roman" w:eastAsia="宋体" w:cs="Times New Roman"/>
                      <w:i w:val="0"/>
                      <w:iCs w:val="0"/>
                      <w:color w:val="auto"/>
                      <w:kern w:val="0"/>
                      <w:sz w:val="21"/>
                      <w:szCs w:val="21"/>
                      <w:u w:val="none"/>
                      <w:lang w:val="en-US" w:eastAsia="zh-CN" w:bidi="ar"/>
                    </w:rPr>
                    <w:t>1.993</w:t>
                  </w:r>
                </w:p>
              </w:tc>
            </w:tr>
            <w:tr w14:paraId="3CA0EFE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2046" w:type="pct"/>
                  <w:gridSpan w:val="3"/>
                  <w:vMerge w:val="continue"/>
                  <w:vAlign w:val="center"/>
                </w:tcPr>
                <w:p w14:paraId="1B996ADE">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541" w:type="pct"/>
                  <w:shd w:val="clear" w:color="auto" w:fill="auto"/>
                  <w:tcMar>
                    <w:left w:w="28" w:type="dxa"/>
                    <w:right w:w="28" w:type="dxa"/>
                  </w:tcMar>
                  <w:vAlign w:val="center"/>
                </w:tcPr>
                <w:p w14:paraId="3B8E6F4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SO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p>
              </w:tc>
              <w:tc>
                <w:tcPr>
                  <w:tcW w:w="575" w:type="pct"/>
                  <w:tcMar>
                    <w:left w:w="28" w:type="dxa"/>
                    <w:right w:w="28" w:type="dxa"/>
                  </w:tcMar>
                  <w:vAlign w:val="center"/>
                </w:tcPr>
                <w:p w14:paraId="04AC4E9E">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bCs/>
                      <w:color w:val="auto"/>
                      <w:spacing w:val="-10"/>
                      <w:sz w:val="21"/>
                      <w:szCs w:val="21"/>
                      <w:highlight w:val="none"/>
                    </w:rPr>
                    <w:t>/</w:t>
                  </w:r>
                </w:p>
              </w:tc>
              <w:tc>
                <w:tcPr>
                  <w:tcW w:w="634" w:type="pct"/>
                  <w:tcMar>
                    <w:left w:w="28" w:type="dxa"/>
                    <w:right w:w="28" w:type="dxa"/>
                  </w:tcMar>
                  <w:vAlign w:val="center"/>
                </w:tcPr>
                <w:p w14:paraId="543B0BA6">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bCs/>
                      <w:color w:val="auto"/>
                      <w:spacing w:val="-10"/>
                      <w:sz w:val="21"/>
                      <w:szCs w:val="21"/>
                      <w:highlight w:val="none"/>
                    </w:rPr>
                    <w:t>/</w:t>
                  </w:r>
                </w:p>
              </w:tc>
              <w:tc>
                <w:tcPr>
                  <w:tcW w:w="566" w:type="pct"/>
                  <w:vAlign w:val="center"/>
                </w:tcPr>
                <w:p w14:paraId="502D9694">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bCs/>
                      <w:color w:val="auto"/>
                      <w:spacing w:val="-10"/>
                      <w:sz w:val="21"/>
                      <w:szCs w:val="21"/>
                      <w:highlight w:val="none"/>
                    </w:rPr>
                    <w:t>/</w:t>
                  </w:r>
                </w:p>
              </w:tc>
              <w:tc>
                <w:tcPr>
                  <w:tcW w:w="635" w:type="pct"/>
                  <w:tcMar>
                    <w:left w:w="28" w:type="dxa"/>
                    <w:right w:w="28" w:type="dxa"/>
                  </w:tcMar>
                  <w:vAlign w:val="center"/>
                </w:tcPr>
                <w:p w14:paraId="4CC87C7C">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11.848</w:t>
                  </w:r>
                </w:p>
              </w:tc>
            </w:tr>
            <w:tr w14:paraId="61EC704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2046" w:type="pct"/>
                  <w:gridSpan w:val="3"/>
                  <w:vMerge w:val="continue"/>
                  <w:vAlign w:val="center"/>
                </w:tcPr>
                <w:p w14:paraId="63BAB21F">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541" w:type="pct"/>
                  <w:shd w:val="clear" w:color="auto" w:fill="auto"/>
                  <w:tcMar>
                    <w:left w:w="28" w:type="dxa"/>
                    <w:right w:w="28" w:type="dxa"/>
                  </w:tcMar>
                  <w:vAlign w:val="center"/>
                </w:tcPr>
                <w:p w14:paraId="6EF97787">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NOx</w:t>
                  </w:r>
                </w:p>
              </w:tc>
              <w:tc>
                <w:tcPr>
                  <w:tcW w:w="575" w:type="pct"/>
                  <w:tcMar>
                    <w:left w:w="28" w:type="dxa"/>
                    <w:right w:w="28" w:type="dxa"/>
                  </w:tcMar>
                  <w:vAlign w:val="center"/>
                </w:tcPr>
                <w:p w14:paraId="3E4A78FD">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bCs/>
                      <w:color w:val="auto"/>
                      <w:spacing w:val="-10"/>
                      <w:sz w:val="21"/>
                      <w:szCs w:val="21"/>
                      <w:highlight w:val="none"/>
                    </w:rPr>
                    <w:t>/</w:t>
                  </w:r>
                </w:p>
              </w:tc>
              <w:tc>
                <w:tcPr>
                  <w:tcW w:w="634" w:type="pct"/>
                  <w:tcMar>
                    <w:left w:w="28" w:type="dxa"/>
                    <w:right w:w="28" w:type="dxa"/>
                  </w:tcMar>
                  <w:vAlign w:val="center"/>
                </w:tcPr>
                <w:p w14:paraId="2F57240D">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bCs/>
                      <w:color w:val="auto"/>
                      <w:spacing w:val="-10"/>
                      <w:sz w:val="21"/>
                      <w:szCs w:val="21"/>
                      <w:highlight w:val="none"/>
                    </w:rPr>
                    <w:t>/</w:t>
                  </w:r>
                </w:p>
              </w:tc>
              <w:tc>
                <w:tcPr>
                  <w:tcW w:w="566" w:type="pct"/>
                  <w:vAlign w:val="center"/>
                </w:tcPr>
                <w:p w14:paraId="6406EAA2">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bCs/>
                      <w:color w:val="auto"/>
                      <w:spacing w:val="-10"/>
                      <w:sz w:val="21"/>
                      <w:szCs w:val="21"/>
                      <w:highlight w:val="none"/>
                    </w:rPr>
                    <w:t>/</w:t>
                  </w:r>
                </w:p>
              </w:tc>
              <w:tc>
                <w:tcPr>
                  <w:tcW w:w="635" w:type="pct"/>
                  <w:tcMar>
                    <w:left w:w="28" w:type="dxa"/>
                    <w:right w:w="28" w:type="dxa"/>
                  </w:tcMar>
                  <w:vAlign w:val="center"/>
                </w:tcPr>
                <w:p w14:paraId="594B857E">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17.772</w:t>
                  </w:r>
                </w:p>
              </w:tc>
            </w:tr>
            <w:tr w14:paraId="329EDB7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8" w:type="pct"/>
                  <w:gridSpan w:val="4"/>
                  <w:vAlign w:val="center"/>
                </w:tcPr>
                <w:p w14:paraId="6E8C0B7F">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核算公式</w:t>
                  </w:r>
                </w:p>
              </w:tc>
              <w:tc>
                <w:tcPr>
                  <w:tcW w:w="2411" w:type="pct"/>
                  <w:gridSpan w:val="4"/>
                  <w:tcMar>
                    <w:left w:w="28" w:type="dxa"/>
                    <w:right w:w="28" w:type="dxa"/>
                  </w:tcMar>
                  <w:vAlign w:val="center"/>
                </w:tcPr>
                <w:p w14:paraId="76D9865F">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污染物排放量(t/a)=污染物浓度(mg/m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zh-CN"/>
                    </w:rPr>
                    <w:t>废气量</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/h)*生产时间(h/a)/10</w:t>
                  </w:r>
                  <w:r>
                    <w:rPr>
                      <w:rFonts w:hint="default" w:ascii="Times New Roman" w:hAnsi="Times New Roman" w:cs="Times New Roman"/>
                      <w:color w:val="auto"/>
                      <w:sz w:val="21"/>
                      <w:szCs w:val="21"/>
                      <w:highlight w:val="none"/>
                      <w:vertAlign w:val="superscript"/>
                    </w:rPr>
                    <w:t>9</w:t>
                  </w:r>
                </w:p>
              </w:tc>
            </w:tr>
            <w:tr w14:paraId="7A6316F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2588" w:type="pct"/>
                  <w:gridSpan w:val="4"/>
                  <w:vAlign w:val="center"/>
                </w:tcPr>
                <w:p w14:paraId="614F9527">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核算结果</w:t>
                  </w:r>
                </w:p>
              </w:tc>
              <w:tc>
                <w:tcPr>
                  <w:tcW w:w="2411" w:type="pct"/>
                  <w:gridSpan w:val="4"/>
                  <w:tcMar>
                    <w:left w:w="28" w:type="dxa"/>
                    <w:right w:w="28" w:type="dxa"/>
                  </w:tcMar>
                  <w:vAlign w:val="center"/>
                </w:tcPr>
                <w:p w14:paraId="6080237E">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本项目废气污染物年排放量为：颗粒物：</w:t>
                  </w:r>
                  <w:r>
                    <w:rPr>
                      <w:rFonts w:hint="eastAsia" w:ascii="Times New Roman" w:hAnsi="Times New Roman" w:cs="Times New Roman"/>
                      <w:color w:val="auto"/>
                      <w:sz w:val="21"/>
                      <w:szCs w:val="21"/>
                      <w:highlight w:val="none"/>
                      <w:lang w:val="en-US" w:eastAsia="zh-CN"/>
                    </w:rPr>
                    <w:t>1.993</w:t>
                  </w:r>
                  <w:r>
                    <w:rPr>
                      <w:rFonts w:hint="default" w:ascii="Times New Roman" w:hAnsi="Times New Roman" w:cs="Times New Roman"/>
                      <w:color w:val="auto"/>
                      <w:sz w:val="21"/>
                      <w:szCs w:val="21"/>
                      <w:highlight w:val="none"/>
                    </w:rPr>
                    <w:t>t/a</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二氧化硫：</w:t>
                  </w:r>
                  <w:r>
                    <w:rPr>
                      <w:rFonts w:hint="default" w:ascii="Times New Roman" w:hAnsi="Times New Roman" w:eastAsia="宋体" w:cs="Times New Roman"/>
                      <w:i w:val="0"/>
                      <w:iCs w:val="0"/>
                      <w:color w:val="auto"/>
                      <w:kern w:val="0"/>
                      <w:sz w:val="21"/>
                      <w:szCs w:val="21"/>
                      <w:highlight w:val="none"/>
                      <w:u w:val="none"/>
                      <w:lang w:val="en-US" w:eastAsia="zh-CN" w:bidi="ar"/>
                    </w:rPr>
                    <w:t>11.848</w:t>
                  </w:r>
                  <w:r>
                    <w:rPr>
                      <w:rFonts w:hint="default" w:ascii="Times New Roman" w:hAnsi="Times New Roman" w:cs="Times New Roman"/>
                      <w:color w:val="auto"/>
                      <w:sz w:val="21"/>
                      <w:szCs w:val="21"/>
                      <w:highlight w:val="none"/>
                    </w:rPr>
                    <w:t>t/a，氮氧化物：</w:t>
                  </w:r>
                  <w:r>
                    <w:rPr>
                      <w:rFonts w:hint="default" w:ascii="Times New Roman" w:hAnsi="Times New Roman" w:eastAsia="宋体" w:cs="Times New Roman"/>
                      <w:i w:val="0"/>
                      <w:iCs w:val="0"/>
                      <w:color w:val="auto"/>
                      <w:kern w:val="0"/>
                      <w:sz w:val="21"/>
                      <w:szCs w:val="21"/>
                      <w:highlight w:val="none"/>
                      <w:u w:val="none"/>
                      <w:lang w:val="en-US" w:eastAsia="zh-CN" w:bidi="ar"/>
                    </w:rPr>
                    <w:t>17.772</w:t>
                  </w:r>
                  <w:r>
                    <w:rPr>
                      <w:rFonts w:hint="default" w:ascii="Times New Roman" w:hAnsi="Times New Roman" w:cs="Times New Roman"/>
                      <w:color w:val="auto"/>
                      <w:sz w:val="21"/>
                      <w:szCs w:val="21"/>
                      <w:highlight w:val="none"/>
                    </w:rPr>
                    <w:t>t/a。</w:t>
                  </w:r>
                </w:p>
              </w:tc>
            </w:tr>
          </w:tbl>
          <w:p w14:paraId="3D4E1FD6">
            <w:pPr>
              <w:pStyle w:val="116"/>
              <w:ind w:firstLine="420"/>
              <w:jc w:val="both"/>
              <w:rPr>
                <w:rFonts w:cs="宋体"/>
                <w:color w:val="auto"/>
                <w:highlight w:val="none"/>
              </w:rPr>
            </w:pPr>
            <w:r>
              <w:rPr>
                <w:rFonts w:hint="eastAsia" w:cs="宋体"/>
                <w:color w:val="auto"/>
                <w:highlight w:val="none"/>
              </w:rPr>
              <w:t>因此，建议</w:t>
            </w:r>
            <w:r>
              <w:rPr>
                <w:rFonts w:hint="eastAsia" w:cs="宋体"/>
                <w:color w:val="auto"/>
                <w:highlight w:val="none"/>
                <w:lang w:eastAsia="zh-CN"/>
              </w:rPr>
              <w:t>本项目</w:t>
            </w:r>
            <w:r>
              <w:rPr>
                <w:rFonts w:hint="eastAsia" w:cs="宋体"/>
                <w:color w:val="auto"/>
                <w:highlight w:val="none"/>
              </w:rPr>
              <w:t>污染物总量控制指标为：COD：0t/a，氨氮：0t/a，颗粒物：</w:t>
            </w:r>
            <w:r>
              <w:rPr>
                <w:rFonts w:hint="eastAsia" w:cs="宋体"/>
                <w:color w:val="auto"/>
                <w:highlight w:val="none"/>
                <w:lang w:val="en-US" w:eastAsia="zh-CN"/>
              </w:rPr>
              <w:t>1.993</w:t>
            </w:r>
            <w:r>
              <w:rPr>
                <w:rFonts w:hint="eastAsia" w:cs="宋体"/>
                <w:color w:val="auto"/>
                <w:highlight w:val="none"/>
              </w:rPr>
              <w:t>t/a，二氧化硫：</w:t>
            </w:r>
            <w:r>
              <w:rPr>
                <w:rFonts w:hint="default" w:ascii="Times New Roman" w:hAnsi="Times New Roman" w:eastAsia="宋体" w:cs="Times New Roman"/>
                <w:i w:val="0"/>
                <w:iCs w:val="0"/>
                <w:color w:val="auto"/>
                <w:kern w:val="0"/>
                <w:sz w:val="21"/>
                <w:szCs w:val="21"/>
                <w:highlight w:val="none"/>
                <w:u w:val="none"/>
                <w:lang w:val="en-US" w:eastAsia="zh-CN" w:bidi="ar"/>
              </w:rPr>
              <w:t>11.848</w:t>
            </w:r>
            <w:r>
              <w:rPr>
                <w:rFonts w:hint="eastAsia" w:cs="宋体"/>
                <w:color w:val="auto"/>
                <w:highlight w:val="none"/>
              </w:rPr>
              <w:t>t/a，氮氧化物：</w:t>
            </w:r>
            <w:r>
              <w:rPr>
                <w:rFonts w:hint="default" w:ascii="Times New Roman" w:hAnsi="Times New Roman" w:eastAsia="宋体" w:cs="Times New Roman"/>
                <w:i w:val="0"/>
                <w:iCs w:val="0"/>
                <w:color w:val="auto"/>
                <w:kern w:val="0"/>
                <w:sz w:val="21"/>
                <w:szCs w:val="21"/>
                <w:highlight w:val="none"/>
                <w:u w:val="none"/>
                <w:lang w:val="en-US" w:eastAsia="zh-CN" w:bidi="ar"/>
              </w:rPr>
              <w:t>17.772</w:t>
            </w:r>
            <w:r>
              <w:rPr>
                <w:rFonts w:hint="eastAsia" w:cs="宋体"/>
                <w:color w:val="auto"/>
                <w:highlight w:val="none"/>
              </w:rPr>
              <w:t>t/a。</w:t>
            </w:r>
          </w:p>
          <w:p w14:paraId="77A9B411">
            <w:pPr>
              <w:pStyle w:val="116"/>
              <w:ind w:firstLine="420"/>
              <w:jc w:val="both"/>
              <w:rPr>
                <w:rFonts w:cs="宋体"/>
                <w:color w:val="auto"/>
                <w:highlight w:val="none"/>
              </w:rPr>
            </w:pPr>
            <w:r>
              <w:rPr>
                <w:rFonts w:hint="eastAsia" w:cs="宋体"/>
                <w:color w:val="auto"/>
                <w:highlight w:val="none"/>
              </w:rPr>
              <w:t>企业现有工程的总量指标为：COD：</w:t>
            </w:r>
            <w:r>
              <w:rPr>
                <w:rFonts w:hint="eastAsia" w:cs="宋体"/>
                <w:color w:val="auto"/>
                <w:highlight w:val="none"/>
                <w:lang w:val="en-US" w:eastAsia="zh-CN"/>
              </w:rPr>
              <w:t>0</w:t>
            </w:r>
            <w:r>
              <w:rPr>
                <w:rFonts w:hint="eastAsia" w:cs="宋体"/>
                <w:color w:val="auto"/>
                <w:highlight w:val="none"/>
              </w:rPr>
              <w:t>t/a，氨氮：</w:t>
            </w:r>
            <w:r>
              <w:rPr>
                <w:rFonts w:hint="eastAsia" w:cs="宋体"/>
                <w:color w:val="auto"/>
                <w:highlight w:val="none"/>
                <w:lang w:val="en-US" w:eastAsia="zh-CN"/>
              </w:rPr>
              <w:t>0</w:t>
            </w:r>
            <w:r>
              <w:rPr>
                <w:rFonts w:hint="eastAsia" w:cs="宋体"/>
                <w:color w:val="auto"/>
                <w:highlight w:val="none"/>
              </w:rPr>
              <w:t>t/a，二氧化硫：0t/a，氮氧化物：0t/a，颗粒物：1.0</w:t>
            </w:r>
            <w:r>
              <w:rPr>
                <w:rFonts w:hint="eastAsia" w:cs="宋体"/>
                <w:color w:val="auto"/>
                <w:highlight w:val="none"/>
                <w:lang w:val="en-US" w:eastAsia="zh-CN"/>
              </w:rPr>
              <w:t>9</w:t>
            </w:r>
            <w:r>
              <w:rPr>
                <w:rFonts w:hint="eastAsia" w:cs="宋体"/>
                <w:color w:val="auto"/>
                <w:highlight w:val="none"/>
              </w:rPr>
              <w:t>t/a，非甲烷总烃：0.1755t/a。</w:t>
            </w:r>
          </w:p>
          <w:p w14:paraId="728B4206">
            <w:pPr>
              <w:pStyle w:val="116"/>
              <w:ind w:firstLine="420"/>
              <w:rPr>
                <w:rFonts w:cs="宋体"/>
                <w:highlight w:val="none"/>
              </w:rPr>
            </w:pPr>
            <w:r>
              <w:rPr>
                <w:rFonts w:cs="宋体"/>
                <w:highlight w:val="none"/>
              </w:rPr>
              <w:t>则</w:t>
            </w:r>
            <w:r>
              <w:rPr>
                <w:rFonts w:hint="eastAsia" w:cs="宋体"/>
                <w:highlight w:val="none"/>
              </w:rPr>
              <w:t>全厂</w:t>
            </w:r>
            <w:r>
              <w:rPr>
                <w:rFonts w:cs="宋体"/>
                <w:highlight w:val="none"/>
              </w:rPr>
              <w:t>污染物总量控制指标</w:t>
            </w:r>
            <w:r>
              <w:rPr>
                <w:rFonts w:hint="eastAsia" w:cs="宋体"/>
                <w:highlight w:val="none"/>
              </w:rPr>
              <w:t>“</w:t>
            </w:r>
            <w:r>
              <w:rPr>
                <w:rFonts w:cs="宋体"/>
                <w:highlight w:val="none"/>
              </w:rPr>
              <w:t>三本帐</w:t>
            </w:r>
            <w:r>
              <w:rPr>
                <w:rFonts w:hint="eastAsia" w:cs="宋体"/>
                <w:highlight w:val="none"/>
              </w:rPr>
              <w:t>”</w:t>
            </w:r>
            <w:r>
              <w:rPr>
                <w:rFonts w:cs="宋体"/>
                <w:highlight w:val="none"/>
              </w:rPr>
              <w:t>见</w:t>
            </w:r>
            <w:r>
              <w:rPr>
                <w:highlight w:val="none"/>
              </w:rPr>
              <w:fldChar w:fldCharType="begin"/>
            </w:r>
            <w:r>
              <w:rPr>
                <w:highlight w:val="none"/>
              </w:rPr>
              <w:instrText xml:space="preserve"> REF _Ref157845000 \h  \* MERGEFORMAT </w:instrText>
            </w:r>
            <w:r>
              <w:rPr>
                <w:highlight w:val="none"/>
              </w:rPr>
              <w:fldChar w:fldCharType="separate"/>
            </w:r>
            <w:r>
              <w:rPr>
                <w:rFonts w:hint="eastAsia"/>
                <w:highlight w:val="none"/>
              </w:rPr>
              <w:t>表3</w:t>
            </w:r>
            <w:r>
              <w:rPr>
                <w:rFonts w:hint="eastAsia"/>
                <w:highlight w:val="none"/>
                <w:lang w:eastAsia="zh-CN"/>
              </w:rPr>
              <w:t>-</w:t>
            </w:r>
            <w:r>
              <w:rPr>
                <w:highlight w:val="none"/>
              </w:rPr>
              <w:t>9</w:t>
            </w:r>
            <w:r>
              <w:rPr>
                <w:highlight w:val="none"/>
              </w:rPr>
              <w:fldChar w:fldCharType="end"/>
            </w:r>
            <w:r>
              <w:rPr>
                <w:rFonts w:hint="eastAsia" w:cs="宋体"/>
                <w:highlight w:val="none"/>
              </w:rPr>
              <w:t>。</w:t>
            </w:r>
          </w:p>
          <w:p w14:paraId="481382FC">
            <w:pPr>
              <w:adjustRightInd w:val="0"/>
              <w:snapToGrid w:val="0"/>
              <w:jc w:val="center"/>
              <w:rPr>
                <w:rFonts w:ascii="宋体" w:hAnsi="宋体" w:cs="宋体"/>
                <w:kern w:val="0"/>
                <w:szCs w:val="21"/>
                <w:highlight w:val="none"/>
              </w:rPr>
            </w:pPr>
            <w:r>
              <w:rPr>
                <w:rFonts w:hint="eastAsia"/>
                <w:highlight w:val="none"/>
              </w:rPr>
              <w:t>表3</w:t>
            </w:r>
            <w:r>
              <w:rPr>
                <w:rFonts w:hint="eastAsia"/>
                <w:highlight w:val="none"/>
                <w:lang w:eastAsia="zh-CN"/>
              </w:rPr>
              <w:t>-</w:t>
            </w:r>
            <w:r>
              <w:rPr>
                <w:highlight w:val="none"/>
              </w:rPr>
              <w:fldChar w:fldCharType="begin"/>
            </w:r>
            <w:r>
              <w:rPr>
                <w:highlight w:val="none"/>
              </w:rPr>
              <w:instrText xml:space="preserve"> </w:instrText>
            </w:r>
            <w:r>
              <w:rPr>
                <w:rFonts w:hint="eastAsia"/>
                <w:highlight w:val="none"/>
              </w:rPr>
              <w:instrText xml:space="preserve">SEQ 表3- \* ARABIC</w:instrText>
            </w:r>
            <w:r>
              <w:rPr>
                <w:highlight w:val="none"/>
              </w:rPr>
              <w:instrText xml:space="preserve"> </w:instrText>
            </w:r>
            <w:r>
              <w:rPr>
                <w:highlight w:val="none"/>
              </w:rPr>
              <w:fldChar w:fldCharType="separate"/>
            </w:r>
            <w:r>
              <w:rPr>
                <w:highlight w:val="none"/>
              </w:rPr>
              <w:t>9</w:t>
            </w:r>
            <w:r>
              <w:rPr>
                <w:highlight w:val="none"/>
              </w:rPr>
              <w:fldChar w:fldCharType="end"/>
            </w:r>
            <w:r>
              <w:rPr>
                <w:rFonts w:hint="eastAsia" w:ascii="宋体" w:hAnsi="宋体" w:cs="宋体"/>
                <w:kern w:val="0"/>
                <w:szCs w:val="21"/>
                <w:highlight w:val="none"/>
              </w:rPr>
              <w:t>全厂主要污染物总量控制指标变化一览表  单位</w:t>
            </w:r>
            <w:r>
              <w:rPr>
                <w:rFonts w:hAnsi="宋体"/>
                <w:kern w:val="0"/>
                <w:szCs w:val="21"/>
                <w:highlight w:val="none"/>
              </w:rPr>
              <w:t>：</w:t>
            </w:r>
            <w:r>
              <w:rPr>
                <w:kern w:val="0"/>
                <w:szCs w:val="21"/>
                <w:highlight w:val="none"/>
              </w:rPr>
              <w:t>t/a</w:t>
            </w:r>
          </w:p>
          <w:tbl>
            <w:tblPr>
              <w:tblStyle w:val="33"/>
              <w:tblW w:w="497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07"/>
              <w:gridCol w:w="1508"/>
              <w:gridCol w:w="1092"/>
              <w:gridCol w:w="1296"/>
              <w:gridCol w:w="1658"/>
              <w:gridCol w:w="968"/>
            </w:tblGrid>
            <w:tr w14:paraId="4E8FD04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38" w:type="pct"/>
                  <w:vAlign w:val="center"/>
                </w:tcPr>
                <w:p w14:paraId="73ED875B">
                  <w:pPr>
                    <w:adjustRightInd w:val="0"/>
                    <w:jc w:val="center"/>
                    <w:rPr>
                      <w:sz w:val="21"/>
                      <w:szCs w:val="21"/>
                      <w:highlight w:val="none"/>
                    </w:rPr>
                  </w:pPr>
                  <w:r>
                    <w:rPr>
                      <w:sz w:val="21"/>
                      <w:szCs w:val="21"/>
                      <w:highlight w:val="none"/>
                    </w:rPr>
                    <w:t>污染物</w:t>
                  </w:r>
                </w:p>
              </w:tc>
              <w:tc>
                <w:tcPr>
                  <w:tcW w:w="939" w:type="pct"/>
                  <w:vAlign w:val="center"/>
                </w:tcPr>
                <w:p w14:paraId="4F0D9773">
                  <w:pPr>
                    <w:jc w:val="center"/>
                    <w:rPr>
                      <w:sz w:val="21"/>
                      <w:szCs w:val="21"/>
                      <w:highlight w:val="none"/>
                    </w:rPr>
                  </w:pPr>
                  <w:r>
                    <w:rPr>
                      <w:sz w:val="21"/>
                      <w:szCs w:val="21"/>
                      <w:highlight w:val="none"/>
                    </w:rPr>
                    <w:t>现有工程</w:t>
                  </w:r>
                  <w:r>
                    <w:rPr>
                      <w:rFonts w:hint="eastAsia"/>
                      <w:sz w:val="21"/>
                      <w:szCs w:val="21"/>
                      <w:highlight w:val="none"/>
                    </w:rPr>
                    <w:t>总量指标</w:t>
                  </w:r>
                </w:p>
              </w:tc>
              <w:tc>
                <w:tcPr>
                  <w:tcW w:w="680" w:type="pct"/>
                  <w:vAlign w:val="center"/>
                </w:tcPr>
                <w:p w14:paraId="3F5C913E">
                  <w:pPr>
                    <w:jc w:val="center"/>
                    <w:rPr>
                      <w:sz w:val="21"/>
                      <w:szCs w:val="21"/>
                      <w:highlight w:val="none"/>
                    </w:rPr>
                  </w:pPr>
                  <w:r>
                    <w:rPr>
                      <w:rFonts w:hint="eastAsia"/>
                      <w:sz w:val="21"/>
                      <w:szCs w:val="21"/>
                      <w:highlight w:val="none"/>
                    </w:rPr>
                    <w:t>本</w:t>
                  </w:r>
                  <w:r>
                    <w:rPr>
                      <w:sz w:val="21"/>
                      <w:szCs w:val="21"/>
                      <w:highlight w:val="none"/>
                    </w:rPr>
                    <w:t>项目</w:t>
                  </w:r>
                  <w:r>
                    <w:rPr>
                      <w:rFonts w:hint="eastAsia"/>
                      <w:sz w:val="21"/>
                      <w:szCs w:val="21"/>
                      <w:highlight w:val="none"/>
                    </w:rPr>
                    <w:t>总量指标</w:t>
                  </w:r>
                </w:p>
              </w:tc>
              <w:tc>
                <w:tcPr>
                  <w:tcW w:w="807" w:type="pct"/>
                  <w:vAlign w:val="center"/>
                </w:tcPr>
                <w:p w14:paraId="4CFC9A34">
                  <w:pPr>
                    <w:adjustRightInd w:val="0"/>
                    <w:jc w:val="center"/>
                    <w:rPr>
                      <w:sz w:val="21"/>
                      <w:szCs w:val="21"/>
                      <w:highlight w:val="none"/>
                    </w:rPr>
                  </w:pPr>
                  <w:r>
                    <w:rPr>
                      <w:sz w:val="21"/>
                      <w:szCs w:val="21"/>
                      <w:highlight w:val="none"/>
                    </w:rPr>
                    <w:t>“以新带老”削减量</w:t>
                  </w:r>
                </w:p>
              </w:tc>
              <w:tc>
                <w:tcPr>
                  <w:tcW w:w="1032" w:type="pct"/>
                  <w:vAlign w:val="center"/>
                </w:tcPr>
                <w:p w14:paraId="054AA493">
                  <w:pPr>
                    <w:adjustRightInd w:val="0"/>
                    <w:jc w:val="center"/>
                    <w:rPr>
                      <w:sz w:val="21"/>
                      <w:szCs w:val="21"/>
                      <w:highlight w:val="none"/>
                    </w:rPr>
                  </w:pPr>
                  <w:r>
                    <w:rPr>
                      <w:rFonts w:hint="eastAsia" w:ascii="宋体" w:hAnsi="宋体" w:cs="宋体"/>
                      <w:kern w:val="0"/>
                      <w:sz w:val="21"/>
                      <w:szCs w:val="21"/>
                      <w:highlight w:val="none"/>
                      <w:lang w:val="en-US" w:eastAsia="zh-CN"/>
                    </w:rPr>
                    <w:t>本</w:t>
                  </w:r>
                  <w:r>
                    <w:rPr>
                      <w:sz w:val="21"/>
                      <w:szCs w:val="21"/>
                      <w:highlight w:val="none"/>
                    </w:rPr>
                    <w:t>项目完成后</w:t>
                  </w:r>
                  <w:r>
                    <w:rPr>
                      <w:rFonts w:hint="eastAsia"/>
                      <w:sz w:val="21"/>
                      <w:szCs w:val="21"/>
                      <w:highlight w:val="none"/>
                    </w:rPr>
                    <w:t>全厂总量指标</w:t>
                  </w:r>
                </w:p>
              </w:tc>
              <w:tc>
                <w:tcPr>
                  <w:tcW w:w="602" w:type="pct"/>
                  <w:vAlign w:val="center"/>
                </w:tcPr>
                <w:p w14:paraId="5FAE5843">
                  <w:pPr>
                    <w:adjustRightInd w:val="0"/>
                    <w:jc w:val="center"/>
                    <w:rPr>
                      <w:sz w:val="21"/>
                      <w:szCs w:val="21"/>
                      <w:highlight w:val="none"/>
                    </w:rPr>
                  </w:pPr>
                  <w:r>
                    <w:rPr>
                      <w:sz w:val="21"/>
                      <w:szCs w:val="21"/>
                      <w:highlight w:val="none"/>
                    </w:rPr>
                    <w:t>排放</w:t>
                  </w:r>
                </w:p>
                <w:p w14:paraId="40EC3D91">
                  <w:pPr>
                    <w:adjustRightInd w:val="0"/>
                    <w:jc w:val="center"/>
                    <w:rPr>
                      <w:sz w:val="21"/>
                      <w:szCs w:val="21"/>
                      <w:highlight w:val="none"/>
                    </w:rPr>
                  </w:pPr>
                  <w:r>
                    <w:rPr>
                      <w:sz w:val="21"/>
                      <w:szCs w:val="21"/>
                      <w:highlight w:val="none"/>
                    </w:rPr>
                    <w:t>增减量</w:t>
                  </w:r>
                </w:p>
              </w:tc>
            </w:tr>
            <w:tr w14:paraId="5DA5780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38" w:type="pct"/>
                  <w:vAlign w:val="center"/>
                </w:tcPr>
                <w:p w14:paraId="165954EE">
                  <w:pPr>
                    <w:adjustRightInd w:val="0"/>
                    <w:jc w:val="center"/>
                    <w:rPr>
                      <w:sz w:val="21"/>
                      <w:szCs w:val="21"/>
                      <w:highlight w:val="none"/>
                    </w:rPr>
                  </w:pPr>
                  <w:r>
                    <w:rPr>
                      <w:sz w:val="21"/>
                      <w:szCs w:val="21"/>
                      <w:highlight w:val="none"/>
                    </w:rPr>
                    <w:t>COD</w:t>
                  </w:r>
                </w:p>
              </w:tc>
              <w:tc>
                <w:tcPr>
                  <w:tcW w:w="939" w:type="pct"/>
                  <w:shd w:val="clear" w:color="auto" w:fill="auto"/>
                  <w:vAlign w:val="center"/>
                </w:tcPr>
                <w:p w14:paraId="7A138FB5">
                  <w:pPr>
                    <w:jc w:val="center"/>
                    <w:rPr>
                      <w:rFonts w:hint="eastAsia" w:ascii="Times New Roman" w:hAnsi="Times New Roman" w:eastAsia="宋体" w:cs="Times New Roman"/>
                      <w:bCs/>
                      <w:kern w:val="2"/>
                      <w:sz w:val="21"/>
                      <w:szCs w:val="21"/>
                      <w:highlight w:val="none"/>
                      <w:lang w:val="en-US" w:eastAsia="zh-CN" w:bidi="ar-SA"/>
                    </w:rPr>
                  </w:pPr>
                  <w:r>
                    <w:rPr>
                      <w:rFonts w:hint="eastAsia"/>
                      <w:bCs/>
                      <w:sz w:val="21"/>
                      <w:szCs w:val="21"/>
                      <w:highlight w:val="none"/>
                      <w:lang w:val="en-US" w:eastAsia="zh-CN"/>
                    </w:rPr>
                    <w:t>0</w:t>
                  </w:r>
                </w:p>
              </w:tc>
              <w:tc>
                <w:tcPr>
                  <w:tcW w:w="680" w:type="pct"/>
                  <w:vAlign w:val="center"/>
                </w:tcPr>
                <w:p w14:paraId="6778C82E">
                  <w:pPr>
                    <w:jc w:val="center"/>
                    <w:rPr>
                      <w:bCs/>
                      <w:sz w:val="21"/>
                      <w:szCs w:val="21"/>
                      <w:highlight w:val="none"/>
                    </w:rPr>
                  </w:pPr>
                  <w:r>
                    <w:rPr>
                      <w:rFonts w:hint="eastAsia"/>
                      <w:bCs/>
                      <w:sz w:val="21"/>
                      <w:szCs w:val="21"/>
                      <w:highlight w:val="none"/>
                    </w:rPr>
                    <w:t>0</w:t>
                  </w:r>
                </w:p>
              </w:tc>
              <w:tc>
                <w:tcPr>
                  <w:tcW w:w="807" w:type="pct"/>
                  <w:vAlign w:val="center"/>
                </w:tcPr>
                <w:p w14:paraId="22610D24">
                  <w:pPr>
                    <w:jc w:val="center"/>
                    <w:rPr>
                      <w:bCs/>
                      <w:sz w:val="21"/>
                      <w:szCs w:val="21"/>
                      <w:highlight w:val="none"/>
                    </w:rPr>
                  </w:pPr>
                  <w:r>
                    <w:rPr>
                      <w:rFonts w:hint="eastAsia"/>
                      <w:bCs/>
                      <w:sz w:val="21"/>
                      <w:szCs w:val="21"/>
                      <w:highlight w:val="none"/>
                    </w:rPr>
                    <w:t>0</w:t>
                  </w:r>
                </w:p>
              </w:tc>
              <w:tc>
                <w:tcPr>
                  <w:tcW w:w="1032" w:type="pct"/>
                  <w:vAlign w:val="center"/>
                </w:tcPr>
                <w:p w14:paraId="01E4BD3E">
                  <w:pPr>
                    <w:jc w:val="center"/>
                    <w:rPr>
                      <w:bCs/>
                      <w:sz w:val="21"/>
                      <w:szCs w:val="21"/>
                      <w:highlight w:val="none"/>
                    </w:rPr>
                  </w:pPr>
                </w:p>
              </w:tc>
              <w:tc>
                <w:tcPr>
                  <w:tcW w:w="602" w:type="pct"/>
                  <w:vAlign w:val="center"/>
                </w:tcPr>
                <w:p w14:paraId="147C8C22">
                  <w:pPr>
                    <w:jc w:val="center"/>
                    <w:rPr>
                      <w:sz w:val="21"/>
                      <w:szCs w:val="21"/>
                      <w:highlight w:val="none"/>
                    </w:rPr>
                  </w:pPr>
                  <w:r>
                    <w:rPr>
                      <w:rFonts w:hint="eastAsia"/>
                      <w:sz w:val="21"/>
                      <w:szCs w:val="21"/>
                      <w:highlight w:val="none"/>
                    </w:rPr>
                    <w:t>0</w:t>
                  </w:r>
                </w:p>
              </w:tc>
            </w:tr>
            <w:tr w14:paraId="7580F68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38" w:type="pct"/>
                  <w:vAlign w:val="center"/>
                </w:tcPr>
                <w:p w14:paraId="721AD112">
                  <w:pPr>
                    <w:adjustRightInd w:val="0"/>
                    <w:jc w:val="center"/>
                    <w:rPr>
                      <w:sz w:val="21"/>
                      <w:szCs w:val="21"/>
                      <w:highlight w:val="none"/>
                    </w:rPr>
                  </w:pPr>
                  <w:r>
                    <w:rPr>
                      <w:sz w:val="21"/>
                      <w:szCs w:val="21"/>
                      <w:highlight w:val="none"/>
                    </w:rPr>
                    <w:t>氨氮</w:t>
                  </w:r>
                </w:p>
              </w:tc>
              <w:tc>
                <w:tcPr>
                  <w:tcW w:w="939" w:type="pct"/>
                  <w:shd w:val="clear" w:color="auto" w:fill="auto"/>
                  <w:vAlign w:val="center"/>
                </w:tcPr>
                <w:p w14:paraId="6E808401">
                  <w:pPr>
                    <w:jc w:val="center"/>
                    <w:rPr>
                      <w:rFonts w:hint="eastAsia" w:ascii="Times New Roman" w:hAnsi="Times New Roman" w:eastAsia="宋体" w:cs="Times New Roman"/>
                      <w:bCs/>
                      <w:kern w:val="2"/>
                      <w:sz w:val="21"/>
                      <w:szCs w:val="21"/>
                      <w:highlight w:val="none"/>
                      <w:lang w:val="en-US" w:eastAsia="zh-CN" w:bidi="ar-SA"/>
                    </w:rPr>
                  </w:pPr>
                  <w:r>
                    <w:rPr>
                      <w:rFonts w:hint="eastAsia"/>
                      <w:bCs/>
                      <w:sz w:val="21"/>
                      <w:szCs w:val="21"/>
                      <w:highlight w:val="none"/>
                      <w:lang w:val="en-US" w:eastAsia="zh-CN"/>
                    </w:rPr>
                    <w:t>0</w:t>
                  </w:r>
                </w:p>
              </w:tc>
              <w:tc>
                <w:tcPr>
                  <w:tcW w:w="680" w:type="pct"/>
                  <w:vAlign w:val="center"/>
                </w:tcPr>
                <w:p w14:paraId="16FCA3D6">
                  <w:pPr>
                    <w:jc w:val="center"/>
                    <w:rPr>
                      <w:bCs/>
                      <w:sz w:val="21"/>
                      <w:szCs w:val="21"/>
                      <w:highlight w:val="none"/>
                    </w:rPr>
                  </w:pPr>
                  <w:r>
                    <w:rPr>
                      <w:rFonts w:hint="eastAsia"/>
                      <w:bCs/>
                      <w:sz w:val="21"/>
                      <w:szCs w:val="21"/>
                      <w:highlight w:val="none"/>
                    </w:rPr>
                    <w:t>0</w:t>
                  </w:r>
                </w:p>
              </w:tc>
              <w:tc>
                <w:tcPr>
                  <w:tcW w:w="807" w:type="pct"/>
                  <w:vAlign w:val="center"/>
                </w:tcPr>
                <w:p w14:paraId="487D3CA9">
                  <w:pPr>
                    <w:jc w:val="center"/>
                    <w:rPr>
                      <w:bCs/>
                      <w:sz w:val="21"/>
                      <w:szCs w:val="21"/>
                      <w:highlight w:val="none"/>
                    </w:rPr>
                  </w:pPr>
                  <w:r>
                    <w:rPr>
                      <w:rFonts w:hint="eastAsia"/>
                      <w:bCs/>
                      <w:sz w:val="21"/>
                      <w:szCs w:val="21"/>
                      <w:highlight w:val="none"/>
                    </w:rPr>
                    <w:t>0</w:t>
                  </w:r>
                </w:p>
              </w:tc>
              <w:tc>
                <w:tcPr>
                  <w:tcW w:w="1032" w:type="pct"/>
                  <w:vAlign w:val="center"/>
                </w:tcPr>
                <w:p w14:paraId="2409C642">
                  <w:pPr>
                    <w:jc w:val="center"/>
                    <w:rPr>
                      <w:bCs/>
                      <w:sz w:val="21"/>
                      <w:szCs w:val="21"/>
                      <w:highlight w:val="none"/>
                    </w:rPr>
                  </w:pPr>
                </w:p>
              </w:tc>
              <w:tc>
                <w:tcPr>
                  <w:tcW w:w="602" w:type="pct"/>
                  <w:vAlign w:val="center"/>
                </w:tcPr>
                <w:p w14:paraId="199E1ACB">
                  <w:pPr>
                    <w:jc w:val="center"/>
                    <w:rPr>
                      <w:sz w:val="21"/>
                      <w:szCs w:val="21"/>
                      <w:highlight w:val="none"/>
                    </w:rPr>
                  </w:pPr>
                  <w:r>
                    <w:rPr>
                      <w:rFonts w:hint="eastAsia"/>
                      <w:sz w:val="21"/>
                      <w:szCs w:val="21"/>
                      <w:highlight w:val="none"/>
                    </w:rPr>
                    <w:t>0</w:t>
                  </w:r>
                </w:p>
              </w:tc>
            </w:tr>
            <w:tr w14:paraId="5CBF12B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38" w:type="pct"/>
                  <w:shd w:val="clear" w:color="auto" w:fill="auto"/>
                  <w:vAlign w:val="center"/>
                </w:tcPr>
                <w:p w14:paraId="2372E5D0">
                  <w:pPr>
                    <w:adjustRightInd w:val="0"/>
                    <w:jc w:val="center"/>
                    <w:rPr>
                      <w:rFonts w:ascii="Times New Roman" w:hAnsi="Times New Roman" w:eastAsia="宋体" w:cs="Times New Roman"/>
                      <w:kern w:val="2"/>
                      <w:sz w:val="21"/>
                      <w:szCs w:val="21"/>
                      <w:highlight w:val="none"/>
                      <w:lang w:val="en-US" w:eastAsia="zh-CN" w:bidi="ar-SA"/>
                    </w:rPr>
                  </w:pPr>
                  <w:r>
                    <w:rPr>
                      <w:sz w:val="21"/>
                      <w:szCs w:val="21"/>
                      <w:highlight w:val="none"/>
                    </w:rPr>
                    <w:t>颗粒物</w:t>
                  </w:r>
                </w:p>
              </w:tc>
              <w:tc>
                <w:tcPr>
                  <w:tcW w:w="939" w:type="pct"/>
                  <w:shd w:val="clear" w:color="auto" w:fill="auto"/>
                  <w:vAlign w:val="center"/>
                </w:tcPr>
                <w:p w14:paraId="24B5312A">
                  <w:pPr>
                    <w:jc w:val="center"/>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rPr>
                    <w:t>1.09</w:t>
                  </w:r>
                </w:p>
              </w:tc>
              <w:tc>
                <w:tcPr>
                  <w:tcW w:w="680" w:type="pct"/>
                  <w:shd w:val="clear" w:color="auto" w:fill="auto"/>
                  <w:vAlign w:val="center"/>
                </w:tcPr>
                <w:p w14:paraId="2E6DAB9D">
                  <w:pPr>
                    <w:jc w:val="center"/>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1.993</w:t>
                  </w:r>
                </w:p>
              </w:tc>
              <w:tc>
                <w:tcPr>
                  <w:tcW w:w="807" w:type="pct"/>
                  <w:shd w:val="clear" w:color="auto" w:fill="auto"/>
                  <w:vAlign w:val="center"/>
                </w:tcPr>
                <w:p w14:paraId="67ACB828">
                  <w:pPr>
                    <w:jc w:val="center"/>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rPr>
                    <w:t>0</w:t>
                  </w:r>
                </w:p>
              </w:tc>
              <w:tc>
                <w:tcPr>
                  <w:tcW w:w="1032" w:type="pct"/>
                  <w:shd w:val="clear" w:color="auto" w:fill="auto"/>
                  <w:vAlign w:val="center"/>
                </w:tcPr>
                <w:p w14:paraId="65B1365F">
                  <w:pPr>
                    <w:jc w:val="center"/>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3.083</w:t>
                  </w:r>
                </w:p>
              </w:tc>
              <w:tc>
                <w:tcPr>
                  <w:tcW w:w="602" w:type="pct"/>
                  <w:shd w:val="clear" w:color="auto" w:fill="auto"/>
                  <w:vAlign w:val="center"/>
                </w:tcPr>
                <w:p w14:paraId="54F73A09">
                  <w:pPr>
                    <w:jc w:val="center"/>
                    <w:rPr>
                      <w:rFonts w:hint="eastAsia" w:ascii="Times New Roman" w:hAnsi="Times New Roman" w:eastAsia="宋体" w:cs="Times New Roman"/>
                      <w:bCs/>
                      <w:kern w:val="2"/>
                      <w:sz w:val="21"/>
                      <w:szCs w:val="21"/>
                      <w:highlight w:val="none"/>
                      <w:lang w:val="en-US" w:eastAsia="zh-CN" w:bidi="ar-SA"/>
                    </w:rPr>
                  </w:pPr>
                  <w:r>
                    <w:rPr>
                      <w:rFonts w:hint="eastAsia"/>
                      <w:bCs/>
                      <w:sz w:val="21"/>
                      <w:szCs w:val="21"/>
                      <w:highlight w:val="none"/>
                      <w:lang w:val="en-US" w:eastAsia="zh-CN"/>
                    </w:rPr>
                    <w:t>+</w:t>
                  </w:r>
                  <w:r>
                    <w:rPr>
                      <w:rFonts w:hint="eastAsia" w:cs="Times New Roman"/>
                      <w:kern w:val="2"/>
                      <w:sz w:val="21"/>
                      <w:szCs w:val="21"/>
                      <w:highlight w:val="none"/>
                      <w:lang w:val="en-US" w:eastAsia="zh-CN" w:bidi="ar-SA"/>
                    </w:rPr>
                    <w:t>1.993</w:t>
                  </w:r>
                </w:p>
              </w:tc>
            </w:tr>
            <w:tr w14:paraId="3522C10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38" w:type="pct"/>
                  <w:vAlign w:val="center"/>
                </w:tcPr>
                <w:p w14:paraId="7B4A35A1">
                  <w:pPr>
                    <w:adjustRightInd w:val="0"/>
                    <w:jc w:val="center"/>
                    <w:rPr>
                      <w:sz w:val="21"/>
                      <w:szCs w:val="21"/>
                      <w:highlight w:val="none"/>
                    </w:rPr>
                  </w:pPr>
                  <w:r>
                    <w:rPr>
                      <w:sz w:val="21"/>
                      <w:szCs w:val="21"/>
                      <w:highlight w:val="none"/>
                    </w:rPr>
                    <w:t>SO</w:t>
                  </w:r>
                  <w:r>
                    <w:rPr>
                      <w:sz w:val="21"/>
                      <w:szCs w:val="21"/>
                      <w:highlight w:val="none"/>
                      <w:vertAlign w:val="subscript"/>
                    </w:rPr>
                    <w:t>2</w:t>
                  </w:r>
                </w:p>
              </w:tc>
              <w:tc>
                <w:tcPr>
                  <w:tcW w:w="939" w:type="pct"/>
                  <w:shd w:val="clear" w:color="auto" w:fill="auto"/>
                  <w:vAlign w:val="center"/>
                </w:tcPr>
                <w:p w14:paraId="1079DCB1">
                  <w:pPr>
                    <w:jc w:val="center"/>
                    <w:rPr>
                      <w:rFonts w:ascii="Times New Roman" w:hAnsi="Times New Roman" w:eastAsia="宋体" w:cs="Times New Roman"/>
                      <w:kern w:val="2"/>
                      <w:sz w:val="21"/>
                      <w:szCs w:val="21"/>
                      <w:highlight w:val="none"/>
                      <w:lang w:val="en-US" w:eastAsia="zh-CN" w:bidi="ar-SA"/>
                    </w:rPr>
                  </w:pPr>
                  <w:r>
                    <w:rPr>
                      <w:rFonts w:hint="eastAsia"/>
                      <w:sz w:val="21"/>
                      <w:szCs w:val="21"/>
                      <w:highlight w:val="none"/>
                    </w:rPr>
                    <w:t>0</w:t>
                  </w:r>
                </w:p>
              </w:tc>
              <w:tc>
                <w:tcPr>
                  <w:tcW w:w="680" w:type="pct"/>
                  <w:shd w:val="clear" w:color="auto" w:fill="auto"/>
                  <w:vAlign w:val="center"/>
                </w:tcPr>
                <w:p w14:paraId="112574EF">
                  <w:pPr>
                    <w:keepNext w:val="0"/>
                    <w:keepLines w:val="0"/>
                    <w:widowControl/>
                    <w:suppressLineNumbers w:val="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11.848</w:t>
                  </w:r>
                </w:p>
              </w:tc>
              <w:tc>
                <w:tcPr>
                  <w:tcW w:w="807" w:type="pct"/>
                  <w:vAlign w:val="center"/>
                </w:tcPr>
                <w:p w14:paraId="439247B3">
                  <w:pPr>
                    <w:jc w:val="center"/>
                    <w:rPr>
                      <w:sz w:val="21"/>
                      <w:szCs w:val="21"/>
                      <w:highlight w:val="none"/>
                    </w:rPr>
                  </w:pPr>
                  <w:r>
                    <w:rPr>
                      <w:rFonts w:hint="eastAsia"/>
                      <w:sz w:val="21"/>
                      <w:szCs w:val="21"/>
                      <w:highlight w:val="none"/>
                    </w:rPr>
                    <w:t>0</w:t>
                  </w:r>
                </w:p>
              </w:tc>
              <w:tc>
                <w:tcPr>
                  <w:tcW w:w="1032" w:type="pct"/>
                  <w:shd w:val="clear" w:color="auto" w:fill="auto"/>
                  <w:vAlign w:val="center"/>
                </w:tcPr>
                <w:p w14:paraId="650FB104">
                  <w:pPr>
                    <w:keepNext w:val="0"/>
                    <w:keepLines w:val="0"/>
                    <w:widowControl/>
                    <w:suppressLineNumbers w:val="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11.848</w:t>
                  </w:r>
                </w:p>
              </w:tc>
              <w:tc>
                <w:tcPr>
                  <w:tcW w:w="602" w:type="pct"/>
                  <w:shd w:val="clear" w:color="auto" w:fill="auto"/>
                  <w:vAlign w:val="center"/>
                </w:tcPr>
                <w:p w14:paraId="43CF3613">
                  <w:pPr>
                    <w:keepNext w:val="0"/>
                    <w:keepLines w:val="0"/>
                    <w:widowControl/>
                    <w:suppressLineNumbers w:val="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cs="Times New Roman"/>
                      <w:i w:val="0"/>
                      <w:iCs w:val="0"/>
                      <w:color w:val="000000"/>
                      <w:kern w:val="0"/>
                      <w:sz w:val="21"/>
                      <w:szCs w:val="21"/>
                      <w:highlight w:val="none"/>
                      <w:u w:val="none"/>
                      <w:lang w:val="en-US" w:eastAsia="zh-CN" w:bidi="ar"/>
                    </w:rPr>
                    <w:t>+</w:t>
                  </w:r>
                  <w:r>
                    <w:rPr>
                      <w:rFonts w:hint="default" w:ascii="Times New Roman" w:hAnsi="Times New Roman" w:eastAsia="宋体" w:cs="Times New Roman"/>
                      <w:i w:val="0"/>
                      <w:iCs w:val="0"/>
                      <w:color w:val="000000"/>
                      <w:kern w:val="0"/>
                      <w:sz w:val="21"/>
                      <w:szCs w:val="21"/>
                      <w:highlight w:val="none"/>
                      <w:u w:val="none"/>
                      <w:lang w:val="en-US" w:eastAsia="zh-CN" w:bidi="ar"/>
                    </w:rPr>
                    <w:t>11.848</w:t>
                  </w:r>
                </w:p>
              </w:tc>
            </w:tr>
            <w:tr w14:paraId="023E7E7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38" w:type="pct"/>
                  <w:vAlign w:val="center"/>
                </w:tcPr>
                <w:p w14:paraId="6E82A4A0">
                  <w:pPr>
                    <w:adjustRightInd w:val="0"/>
                    <w:jc w:val="center"/>
                    <w:rPr>
                      <w:sz w:val="21"/>
                      <w:szCs w:val="21"/>
                      <w:highlight w:val="none"/>
                    </w:rPr>
                  </w:pPr>
                  <w:r>
                    <w:rPr>
                      <w:sz w:val="21"/>
                      <w:szCs w:val="21"/>
                      <w:highlight w:val="none"/>
                    </w:rPr>
                    <w:t>NO</w:t>
                  </w:r>
                  <w:r>
                    <w:rPr>
                      <w:sz w:val="21"/>
                      <w:szCs w:val="21"/>
                      <w:highlight w:val="none"/>
                      <w:vertAlign w:val="subscript"/>
                    </w:rPr>
                    <w:t>X</w:t>
                  </w:r>
                </w:p>
              </w:tc>
              <w:tc>
                <w:tcPr>
                  <w:tcW w:w="939" w:type="pct"/>
                  <w:shd w:val="clear" w:color="auto" w:fill="auto"/>
                  <w:vAlign w:val="center"/>
                </w:tcPr>
                <w:p w14:paraId="133B3E71">
                  <w:pPr>
                    <w:jc w:val="center"/>
                    <w:rPr>
                      <w:rFonts w:ascii="Times New Roman" w:hAnsi="Times New Roman" w:eastAsia="宋体" w:cs="Times New Roman"/>
                      <w:kern w:val="2"/>
                      <w:sz w:val="21"/>
                      <w:szCs w:val="21"/>
                      <w:highlight w:val="none"/>
                      <w:lang w:val="en-US" w:eastAsia="zh-CN" w:bidi="ar-SA"/>
                    </w:rPr>
                  </w:pPr>
                  <w:r>
                    <w:rPr>
                      <w:rFonts w:hint="eastAsia"/>
                      <w:sz w:val="21"/>
                      <w:szCs w:val="21"/>
                      <w:highlight w:val="none"/>
                    </w:rPr>
                    <w:t>0</w:t>
                  </w:r>
                </w:p>
              </w:tc>
              <w:tc>
                <w:tcPr>
                  <w:tcW w:w="680" w:type="pct"/>
                  <w:shd w:val="clear" w:color="auto" w:fill="auto"/>
                  <w:vAlign w:val="center"/>
                </w:tcPr>
                <w:p w14:paraId="5FE1DCE7">
                  <w:pPr>
                    <w:keepNext w:val="0"/>
                    <w:keepLines w:val="0"/>
                    <w:widowControl/>
                    <w:suppressLineNumbers w:val="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17.772</w:t>
                  </w:r>
                </w:p>
              </w:tc>
              <w:tc>
                <w:tcPr>
                  <w:tcW w:w="807" w:type="pct"/>
                  <w:vAlign w:val="center"/>
                </w:tcPr>
                <w:p w14:paraId="519D2A43">
                  <w:pPr>
                    <w:jc w:val="center"/>
                    <w:rPr>
                      <w:sz w:val="21"/>
                      <w:szCs w:val="21"/>
                      <w:highlight w:val="none"/>
                    </w:rPr>
                  </w:pPr>
                  <w:r>
                    <w:rPr>
                      <w:rFonts w:hint="eastAsia"/>
                      <w:sz w:val="21"/>
                      <w:szCs w:val="21"/>
                      <w:highlight w:val="none"/>
                    </w:rPr>
                    <w:t>0</w:t>
                  </w:r>
                </w:p>
              </w:tc>
              <w:tc>
                <w:tcPr>
                  <w:tcW w:w="1032" w:type="pct"/>
                  <w:shd w:val="clear" w:color="auto" w:fill="auto"/>
                  <w:vAlign w:val="center"/>
                </w:tcPr>
                <w:p w14:paraId="6A43C5CD">
                  <w:pPr>
                    <w:keepNext w:val="0"/>
                    <w:keepLines w:val="0"/>
                    <w:widowControl/>
                    <w:suppressLineNumbers w:val="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17.772</w:t>
                  </w:r>
                </w:p>
              </w:tc>
              <w:tc>
                <w:tcPr>
                  <w:tcW w:w="602" w:type="pct"/>
                  <w:shd w:val="clear" w:color="auto" w:fill="auto"/>
                  <w:vAlign w:val="center"/>
                </w:tcPr>
                <w:p w14:paraId="5D9349D7">
                  <w:pPr>
                    <w:keepNext w:val="0"/>
                    <w:keepLines w:val="0"/>
                    <w:widowControl/>
                    <w:suppressLineNumbers w:val="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cs="Times New Roman"/>
                      <w:i w:val="0"/>
                      <w:iCs w:val="0"/>
                      <w:color w:val="000000"/>
                      <w:kern w:val="0"/>
                      <w:sz w:val="21"/>
                      <w:szCs w:val="21"/>
                      <w:highlight w:val="none"/>
                      <w:u w:val="none"/>
                      <w:lang w:val="en-US" w:eastAsia="zh-CN" w:bidi="ar"/>
                    </w:rPr>
                    <w:t>+</w:t>
                  </w:r>
                  <w:r>
                    <w:rPr>
                      <w:rFonts w:hint="default" w:ascii="Times New Roman" w:hAnsi="Times New Roman" w:eastAsia="宋体" w:cs="Times New Roman"/>
                      <w:i w:val="0"/>
                      <w:iCs w:val="0"/>
                      <w:color w:val="000000"/>
                      <w:kern w:val="0"/>
                      <w:sz w:val="21"/>
                      <w:szCs w:val="21"/>
                      <w:highlight w:val="none"/>
                      <w:u w:val="none"/>
                      <w:lang w:val="en-US" w:eastAsia="zh-CN" w:bidi="ar"/>
                    </w:rPr>
                    <w:t>17.772</w:t>
                  </w:r>
                </w:p>
              </w:tc>
            </w:tr>
            <w:tr w14:paraId="4F89F44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38" w:type="pct"/>
                  <w:vAlign w:val="center"/>
                </w:tcPr>
                <w:p w14:paraId="0F93960E">
                  <w:pPr>
                    <w:adjustRightInd w:val="0"/>
                    <w:jc w:val="center"/>
                    <w:rPr>
                      <w:sz w:val="21"/>
                      <w:szCs w:val="21"/>
                      <w:highlight w:val="none"/>
                    </w:rPr>
                  </w:pPr>
                  <w:r>
                    <w:rPr>
                      <w:sz w:val="21"/>
                      <w:szCs w:val="21"/>
                      <w:highlight w:val="none"/>
                    </w:rPr>
                    <w:t>非甲烷总烃</w:t>
                  </w:r>
                </w:p>
              </w:tc>
              <w:tc>
                <w:tcPr>
                  <w:tcW w:w="939" w:type="pct"/>
                  <w:shd w:val="clear" w:color="auto" w:fill="auto"/>
                  <w:vAlign w:val="center"/>
                </w:tcPr>
                <w:p w14:paraId="259F6ECB">
                  <w:pPr>
                    <w:jc w:val="center"/>
                    <w:rPr>
                      <w:rFonts w:ascii="Times New Roman" w:hAnsi="Times New Roman" w:eastAsia="宋体" w:cs="Times New Roman"/>
                      <w:kern w:val="2"/>
                      <w:sz w:val="21"/>
                      <w:szCs w:val="21"/>
                      <w:highlight w:val="none"/>
                      <w:lang w:val="en-US" w:eastAsia="zh-CN" w:bidi="ar-SA"/>
                    </w:rPr>
                  </w:pPr>
                  <w:r>
                    <w:rPr>
                      <w:rFonts w:hint="eastAsia"/>
                      <w:sz w:val="21"/>
                      <w:szCs w:val="21"/>
                      <w:highlight w:val="none"/>
                    </w:rPr>
                    <w:t>0.1755</w:t>
                  </w:r>
                </w:p>
              </w:tc>
              <w:tc>
                <w:tcPr>
                  <w:tcW w:w="680" w:type="pct"/>
                  <w:vAlign w:val="center"/>
                </w:tcPr>
                <w:p w14:paraId="2B87C908">
                  <w:pPr>
                    <w:jc w:val="center"/>
                    <w:rPr>
                      <w:sz w:val="21"/>
                      <w:szCs w:val="21"/>
                      <w:highlight w:val="none"/>
                    </w:rPr>
                  </w:pPr>
                  <w:r>
                    <w:rPr>
                      <w:rFonts w:hint="eastAsia"/>
                      <w:sz w:val="21"/>
                      <w:szCs w:val="21"/>
                      <w:highlight w:val="none"/>
                    </w:rPr>
                    <w:t>0</w:t>
                  </w:r>
                </w:p>
              </w:tc>
              <w:tc>
                <w:tcPr>
                  <w:tcW w:w="807" w:type="pct"/>
                  <w:vAlign w:val="center"/>
                </w:tcPr>
                <w:p w14:paraId="2E4F9601">
                  <w:pPr>
                    <w:jc w:val="center"/>
                    <w:rPr>
                      <w:sz w:val="21"/>
                      <w:szCs w:val="21"/>
                      <w:highlight w:val="none"/>
                    </w:rPr>
                  </w:pPr>
                  <w:r>
                    <w:rPr>
                      <w:rFonts w:hint="eastAsia"/>
                      <w:sz w:val="21"/>
                      <w:szCs w:val="21"/>
                      <w:highlight w:val="none"/>
                    </w:rPr>
                    <w:t>0</w:t>
                  </w:r>
                </w:p>
              </w:tc>
              <w:tc>
                <w:tcPr>
                  <w:tcW w:w="1032" w:type="pct"/>
                  <w:vAlign w:val="center"/>
                </w:tcPr>
                <w:p w14:paraId="50082549">
                  <w:pPr>
                    <w:jc w:val="center"/>
                    <w:rPr>
                      <w:sz w:val="21"/>
                      <w:szCs w:val="21"/>
                      <w:highlight w:val="none"/>
                    </w:rPr>
                  </w:pPr>
                  <w:r>
                    <w:rPr>
                      <w:rFonts w:hint="eastAsia"/>
                      <w:sz w:val="21"/>
                      <w:szCs w:val="21"/>
                      <w:highlight w:val="none"/>
                    </w:rPr>
                    <w:t>0.1755</w:t>
                  </w:r>
                </w:p>
              </w:tc>
              <w:tc>
                <w:tcPr>
                  <w:tcW w:w="602" w:type="pct"/>
                  <w:vAlign w:val="center"/>
                </w:tcPr>
                <w:p w14:paraId="63A65F42">
                  <w:pPr>
                    <w:jc w:val="center"/>
                    <w:rPr>
                      <w:bCs/>
                      <w:sz w:val="21"/>
                      <w:szCs w:val="21"/>
                      <w:highlight w:val="none"/>
                    </w:rPr>
                  </w:pPr>
                  <w:r>
                    <w:rPr>
                      <w:rFonts w:hint="eastAsia"/>
                      <w:bCs/>
                      <w:sz w:val="21"/>
                      <w:szCs w:val="21"/>
                      <w:highlight w:val="none"/>
                    </w:rPr>
                    <w:t>0</w:t>
                  </w:r>
                </w:p>
              </w:tc>
            </w:tr>
          </w:tbl>
          <w:p w14:paraId="6B9227FF">
            <w:pPr>
              <w:pStyle w:val="116"/>
              <w:ind w:firstLine="420"/>
              <w:rPr>
                <w:rFonts w:hint="eastAsia" w:cs="宋体"/>
                <w:color w:val="auto"/>
                <w:highlight w:val="none"/>
                <w:lang w:eastAsia="zh-CN"/>
              </w:rPr>
            </w:pPr>
            <w:r>
              <w:rPr>
                <w:rFonts w:hint="eastAsia" w:cs="宋体"/>
                <w:color w:val="auto"/>
                <w:highlight w:val="none"/>
                <w:lang w:val="en-US" w:eastAsia="zh-CN"/>
              </w:rPr>
              <w:t>综上</w:t>
            </w:r>
            <w:r>
              <w:rPr>
                <w:rFonts w:hint="eastAsia" w:cs="宋体"/>
                <w:color w:val="auto"/>
                <w:highlight w:val="none"/>
              </w:rPr>
              <w:t>，</w:t>
            </w:r>
            <w:r>
              <w:rPr>
                <w:rFonts w:hint="eastAsia" w:cs="宋体"/>
                <w:color w:val="auto"/>
                <w:highlight w:val="none"/>
                <w:lang w:eastAsia="zh-CN"/>
              </w:rPr>
              <w:t>本项目</w:t>
            </w:r>
            <w:r>
              <w:rPr>
                <w:rFonts w:hint="eastAsia" w:cs="宋体"/>
                <w:color w:val="auto"/>
                <w:highlight w:val="none"/>
                <w:lang w:val="en-US" w:eastAsia="zh-CN"/>
              </w:rPr>
              <w:t>建成后全厂</w:t>
            </w:r>
            <w:r>
              <w:rPr>
                <w:rFonts w:hint="eastAsia" w:cs="宋体"/>
                <w:color w:val="auto"/>
                <w:highlight w:val="none"/>
              </w:rPr>
              <w:t>污染物总量控制指标为：COD：</w:t>
            </w:r>
            <w:r>
              <w:rPr>
                <w:rFonts w:hint="eastAsia" w:cs="宋体"/>
                <w:color w:val="auto"/>
                <w:highlight w:val="none"/>
                <w:lang w:val="en-US" w:eastAsia="zh-CN"/>
              </w:rPr>
              <w:t>0</w:t>
            </w:r>
            <w:r>
              <w:rPr>
                <w:rFonts w:hint="eastAsia" w:cs="宋体"/>
                <w:color w:val="auto"/>
                <w:highlight w:val="none"/>
              </w:rPr>
              <w:t>t/a，氨氮：</w:t>
            </w:r>
            <w:r>
              <w:rPr>
                <w:rFonts w:hint="eastAsia" w:cs="宋体"/>
                <w:color w:val="auto"/>
                <w:highlight w:val="none"/>
                <w:lang w:val="en-US" w:eastAsia="zh-CN"/>
              </w:rPr>
              <w:t>0</w:t>
            </w:r>
            <w:r>
              <w:rPr>
                <w:rFonts w:hint="eastAsia" w:cs="宋体"/>
                <w:color w:val="auto"/>
                <w:highlight w:val="none"/>
              </w:rPr>
              <w:t>t/a，颗粒物：</w:t>
            </w:r>
            <w:r>
              <w:rPr>
                <w:rFonts w:hint="eastAsia" w:cs="宋体"/>
                <w:color w:val="auto"/>
                <w:highlight w:val="none"/>
                <w:lang w:val="en-US" w:eastAsia="zh-CN"/>
              </w:rPr>
              <w:t>3.083</w:t>
            </w:r>
            <w:r>
              <w:rPr>
                <w:rFonts w:hint="eastAsia" w:cs="宋体"/>
                <w:color w:val="auto"/>
                <w:highlight w:val="none"/>
              </w:rPr>
              <w:t>t/a，二氧化硫：</w:t>
            </w:r>
            <w:r>
              <w:rPr>
                <w:rFonts w:hint="default" w:ascii="Times New Roman" w:hAnsi="Times New Roman" w:eastAsia="宋体" w:cs="Times New Roman"/>
                <w:i w:val="0"/>
                <w:iCs w:val="0"/>
                <w:color w:val="auto"/>
                <w:kern w:val="0"/>
                <w:sz w:val="21"/>
                <w:szCs w:val="21"/>
                <w:highlight w:val="none"/>
                <w:u w:val="none"/>
                <w:lang w:val="en-US" w:eastAsia="zh-CN" w:bidi="ar"/>
              </w:rPr>
              <w:t>11.848</w:t>
            </w:r>
            <w:r>
              <w:rPr>
                <w:rFonts w:hint="eastAsia" w:cs="宋体"/>
                <w:color w:val="auto"/>
                <w:highlight w:val="none"/>
              </w:rPr>
              <w:t>t/a，氮氧化物：</w:t>
            </w:r>
            <w:r>
              <w:rPr>
                <w:rFonts w:hint="default" w:ascii="Times New Roman" w:hAnsi="Times New Roman" w:eastAsia="宋体" w:cs="Times New Roman"/>
                <w:i w:val="0"/>
                <w:iCs w:val="0"/>
                <w:color w:val="auto"/>
                <w:kern w:val="0"/>
                <w:sz w:val="21"/>
                <w:szCs w:val="21"/>
                <w:highlight w:val="none"/>
                <w:u w:val="none"/>
                <w:lang w:val="en-US" w:eastAsia="zh-CN" w:bidi="ar"/>
              </w:rPr>
              <w:t>17.772</w:t>
            </w:r>
            <w:r>
              <w:rPr>
                <w:rFonts w:hint="eastAsia" w:cs="宋体"/>
                <w:color w:val="auto"/>
                <w:highlight w:val="none"/>
              </w:rPr>
              <w:t>t/a，非甲烷总烃：0.1755t/a</w:t>
            </w:r>
            <w:r>
              <w:rPr>
                <w:rFonts w:hint="eastAsia" w:cs="宋体"/>
                <w:color w:val="auto"/>
                <w:highlight w:val="none"/>
                <w:lang w:eastAsia="zh-CN"/>
              </w:rPr>
              <w:t>。</w:t>
            </w:r>
          </w:p>
          <w:p w14:paraId="14D7CA0A">
            <w:pPr>
              <w:pStyle w:val="116"/>
              <w:ind w:firstLine="420"/>
              <w:rPr>
                <w:rFonts w:hint="eastAsia" w:cs="宋体"/>
                <w:color w:val="auto"/>
                <w:highlight w:val="none"/>
                <w:lang w:eastAsia="zh-CN"/>
              </w:rPr>
            </w:pPr>
          </w:p>
        </w:tc>
      </w:tr>
    </w:tbl>
    <w:p w14:paraId="29A3B1D6">
      <w:pPr>
        <w:pStyle w:val="30"/>
        <w:spacing w:before="0" w:beforeAutospacing="0" w:after="0" w:afterAutospacing="0"/>
        <w:jc w:val="center"/>
        <w:outlineLvl w:val="0"/>
        <w:rPr>
          <w:rFonts w:ascii="Times New Roman" w:hAnsi="Times New Roman" w:eastAsia="黑体"/>
          <w:snapToGrid w:val="0"/>
          <w:color w:val="auto"/>
          <w:sz w:val="30"/>
          <w:szCs w:val="30"/>
        </w:rPr>
      </w:pPr>
      <w:r>
        <w:rPr>
          <w:rFonts w:ascii="Times New Roman" w:hAnsi="Times New Roman" w:eastAsia="黑体"/>
          <w:snapToGrid w:val="0"/>
          <w:color w:val="auto"/>
          <w:sz w:val="36"/>
          <w:szCs w:val="36"/>
        </w:rPr>
        <w:br w:type="page"/>
      </w:r>
      <w:bookmarkStart w:id="21" w:name="_Toc9229"/>
      <w:r>
        <w:rPr>
          <w:rFonts w:ascii="Times New Roman" w:hAnsi="Times New Roman" w:eastAsia="黑体"/>
          <w:snapToGrid w:val="0"/>
          <w:color w:val="auto"/>
          <w:sz w:val="30"/>
          <w:szCs w:val="30"/>
        </w:rPr>
        <w:t>四、主要环境影响和保护措施</w:t>
      </w:r>
      <w:bookmarkEnd w:id="21"/>
    </w:p>
    <w:tbl>
      <w:tblPr>
        <w:tblStyle w:val="33"/>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14:paraId="62C35A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815" w:hRule="atLeast"/>
          <w:jc w:val="center"/>
        </w:trPr>
        <w:tc>
          <w:tcPr>
            <w:tcW w:w="746" w:type="dxa"/>
            <w:noWrap/>
            <w:tcMar>
              <w:left w:w="28" w:type="dxa"/>
              <w:right w:w="28" w:type="dxa"/>
            </w:tcMar>
            <w:vAlign w:val="center"/>
          </w:tcPr>
          <w:p w14:paraId="4290E5DE">
            <w:pPr>
              <w:pStyle w:val="30"/>
              <w:adjustRightInd w:val="0"/>
              <w:snapToGrid w:val="0"/>
              <w:spacing w:before="0" w:beforeAutospacing="0" w:after="0" w:afterAutospacing="0"/>
              <w:jc w:val="center"/>
              <w:rPr>
                <w:rFonts w:ascii="Times New Roman" w:hAnsi="Times New Roman"/>
                <w:color w:val="auto"/>
                <w:kern w:val="2"/>
                <w:sz w:val="21"/>
                <w:szCs w:val="21"/>
              </w:rPr>
            </w:pPr>
            <w:r>
              <w:rPr>
                <w:rFonts w:ascii="Times New Roman" w:hAnsi="Times New Roman"/>
                <w:color w:val="auto"/>
                <w:kern w:val="2"/>
                <w:sz w:val="21"/>
                <w:szCs w:val="21"/>
              </w:rPr>
              <w:t>施工</w:t>
            </w:r>
          </w:p>
          <w:p w14:paraId="15294F1B">
            <w:pPr>
              <w:pStyle w:val="30"/>
              <w:adjustRightInd w:val="0"/>
              <w:snapToGrid w:val="0"/>
              <w:spacing w:before="0" w:beforeAutospacing="0" w:after="0" w:afterAutospacing="0"/>
              <w:jc w:val="center"/>
              <w:rPr>
                <w:rFonts w:ascii="Times New Roman" w:hAnsi="Times New Roman"/>
                <w:color w:val="auto"/>
                <w:kern w:val="2"/>
                <w:sz w:val="21"/>
                <w:szCs w:val="21"/>
              </w:rPr>
            </w:pPr>
            <w:r>
              <w:rPr>
                <w:rFonts w:ascii="Times New Roman" w:hAnsi="Times New Roman"/>
                <w:color w:val="auto"/>
                <w:kern w:val="2"/>
                <w:sz w:val="21"/>
                <w:szCs w:val="21"/>
              </w:rPr>
              <w:t>期环</w:t>
            </w:r>
          </w:p>
          <w:p w14:paraId="296B0274">
            <w:pPr>
              <w:pStyle w:val="30"/>
              <w:adjustRightInd w:val="0"/>
              <w:snapToGrid w:val="0"/>
              <w:spacing w:before="0" w:beforeAutospacing="0" w:after="0" w:afterAutospacing="0"/>
              <w:jc w:val="center"/>
              <w:rPr>
                <w:rFonts w:ascii="Times New Roman" w:hAnsi="Times New Roman"/>
                <w:color w:val="auto"/>
                <w:kern w:val="2"/>
                <w:sz w:val="21"/>
                <w:szCs w:val="21"/>
              </w:rPr>
            </w:pPr>
            <w:r>
              <w:rPr>
                <w:rFonts w:ascii="Times New Roman" w:hAnsi="Times New Roman"/>
                <w:color w:val="auto"/>
                <w:kern w:val="2"/>
                <w:sz w:val="21"/>
                <w:szCs w:val="21"/>
              </w:rPr>
              <w:t>境保</w:t>
            </w:r>
          </w:p>
          <w:p w14:paraId="4D3EC031">
            <w:pPr>
              <w:pStyle w:val="30"/>
              <w:adjustRightInd w:val="0"/>
              <w:snapToGrid w:val="0"/>
              <w:spacing w:before="0" w:beforeAutospacing="0" w:after="0" w:afterAutospacing="0"/>
              <w:jc w:val="center"/>
              <w:rPr>
                <w:rFonts w:ascii="Times New Roman" w:hAnsi="Times New Roman"/>
                <w:color w:val="auto"/>
                <w:kern w:val="2"/>
                <w:sz w:val="21"/>
                <w:szCs w:val="21"/>
              </w:rPr>
            </w:pPr>
            <w:r>
              <w:rPr>
                <w:rFonts w:ascii="Times New Roman" w:hAnsi="Times New Roman"/>
                <w:color w:val="auto"/>
                <w:kern w:val="2"/>
                <w:sz w:val="21"/>
                <w:szCs w:val="21"/>
              </w:rPr>
              <w:t>护措</w:t>
            </w:r>
          </w:p>
          <w:p w14:paraId="39D8922D">
            <w:pPr>
              <w:pStyle w:val="30"/>
              <w:adjustRightInd w:val="0"/>
              <w:snapToGrid w:val="0"/>
              <w:spacing w:before="0" w:beforeAutospacing="0" w:after="0" w:afterAutospacing="0"/>
              <w:jc w:val="center"/>
              <w:rPr>
                <w:rFonts w:ascii="Times New Roman" w:hAnsi="Times New Roman"/>
                <w:bCs/>
                <w:color w:val="auto"/>
                <w:kern w:val="2"/>
                <w:sz w:val="21"/>
                <w:szCs w:val="21"/>
              </w:rPr>
            </w:pPr>
            <w:r>
              <w:rPr>
                <w:rFonts w:ascii="Times New Roman" w:hAnsi="Times New Roman"/>
                <w:color w:val="auto"/>
                <w:kern w:val="2"/>
                <w:sz w:val="21"/>
                <w:szCs w:val="21"/>
              </w:rPr>
              <w:t>施</w:t>
            </w:r>
          </w:p>
        </w:tc>
        <w:tc>
          <w:tcPr>
            <w:tcW w:w="8162" w:type="dxa"/>
            <w:noWrap/>
          </w:tcPr>
          <w:p w14:paraId="4FDFF6FE">
            <w:pPr>
              <w:adjustRightInd w:val="0"/>
              <w:snapToGrid w:val="0"/>
              <w:spacing w:line="360" w:lineRule="auto"/>
              <w:ind w:firstLine="480"/>
              <w:rPr>
                <w:color w:val="auto"/>
                <w:sz w:val="21"/>
                <w:szCs w:val="21"/>
              </w:rPr>
            </w:pPr>
            <w:r>
              <w:rPr>
                <w:color w:val="auto"/>
                <w:sz w:val="21"/>
                <w:szCs w:val="21"/>
              </w:rPr>
              <w:t>本项目</w:t>
            </w:r>
            <w:r>
              <w:rPr>
                <w:rFonts w:hint="eastAsia"/>
                <w:color w:val="auto"/>
                <w:sz w:val="21"/>
                <w:szCs w:val="21"/>
              </w:rPr>
              <w:t>主要建设</w:t>
            </w:r>
            <w:r>
              <w:rPr>
                <w:rFonts w:hint="eastAsia"/>
                <w:color w:val="auto"/>
                <w:sz w:val="21"/>
                <w:szCs w:val="21"/>
                <w:lang w:eastAsia="zh-Hans"/>
              </w:rPr>
              <w:t>生产车间</w:t>
            </w:r>
            <w:r>
              <w:rPr>
                <w:rFonts w:hint="eastAsia"/>
                <w:color w:val="auto"/>
                <w:sz w:val="21"/>
                <w:szCs w:val="21"/>
                <w:lang w:eastAsia="zh-CN"/>
              </w:rPr>
              <w:t>、</w:t>
            </w:r>
            <w:r>
              <w:rPr>
                <w:rFonts w:hint="eastAsia"/>
                <w:color w:val="auto"/>
                <w:sz w:val="21"/>
                <w:szCs w:val="21"/>
                <w:lang w:val="en-US" w:eastAsia="zh-CN"/>
              </w:rPr>
              <w:t>天然气管线挖掘等</w:t>
            </w:r>
            <w:r>
              <w:rPr>
                <w:rFonts w:hint="eastAsia"/>
                <w:color w:val="auto"/>
                <w:sz w:val="21"/>
                <w:szCs w:val="21"/>
              </w:rPr>
              <w:t>，</w:t>
            </w:r>
            <w:r>
              <w:rPr>
                <w:color w:val="auto"/>
                <w:sz w:val="21"/>
                <w:szCs w:val="21"/>
              </w:rPr>
              <w:t>项目建设期较短，建设期间不设施工营地，对环境影响时间较短、影响程度较小，并随着建设施工的结束而消失，环境影响主要来自扬尘、噪声、废水及固体废物影响。</w:t>
            </w:r>
          </w:p>
          <w:p w14:paraId="09AA8A56">
            <w:pPr>
              <w:widowControl/>
              <w:spacing w:line="360" w:lineRule="auto"/>
              <w:ind w:firstLine="482"/>
              <w:rPr>
                <w:b/>
                <w:bCs/>
                <w:color w:val="auto"/>
                <w:sz w:val="21"/>
                <w:szCs w:val="21"/>
              </w:rPr>
            </w:pPr>
            <w:r>
              <w:rPr>
                <w:rFonts w:hint="eastAsia"/>
                <w:b/>
                <w:bCs/>
                <w:color w:val="auto"/>
                <w:sz w:val="21"/>
                <w:szCs w:val="21"/>
              </w:rPr>
              <w:t>1</w:t>
            </w:r>
            <w:r>
              <w:rPr>
                <w:b/>
                <w:bCs/>
                <w:color w:val="auto"/>
                <w:sz w:val="21"/>
                <w:szCs w:val="21"/>
              </w:rPr>
              <w:t>、大气环境影响分析</w:t>
            </w:r>
          </w:p>
          <w:p w14:paraId="146E5EB1">
            <w:pPr>
              <w:adjustRightInd w:val="0"/>
              <w:snapToGrid w:val="0"/>
              <w:spacing w:line="360" w:lineRule="auto"/>
              <w:ind w:firstLine="480"/>
              <w:rPr>
                <w:rFonts w:hint="eastAsia"/>
                <w:color w:val="auto"/>
                <w:sz w:val="21"/>
                <w:szCs w:val="21"/>
              </w:rPr>
            </w:pPr>
            <w:r>
              <w:rPr>
                <w:rFonts w:hint="eastAsia"/>
                <w:color w:val="auto"/>
                <w:sz w:val="21"/>
                <w:szCs w:val="21"/>
              </w:rPr>
              <w:t>（1）扬尘防治措施</w:t>
            </w:r>
          </w:p>
          <w:p w14:paraId="7160B8C4">
            <w:pPr>
              <w:adjustRightInd w:val="0"/>
              <w:snapToGrid w:val="0"/>
              <w:spacing w:line="360" w:lineRule="auto"/>
              <w:ind w:firstLine="480"/>
              <w:rPr>
                <w:color w:val="auto"/>
                <w:sz w:val="21"/>
                <w:szCs w:val="21"/>
              </w:rPr>
            </w:pPr>
            <w:r>
              <w:rPr>
                <w:color w:val="auto"/>
                <w:sz w:val="21"/>
                <w:szCs w:val="21"/>
              </w:rPr>
              <w:t>为有效控制施工期间的扬尘影响，</w:t>
            </w:r>
            <w:r>
              <w:rPr>
                <w:rFonts w:hint="eastAsia"/>
                <w:color w:val="auto"/>
                <w:sz w:val="21"/>
                <w:szCs w:val="21"/>
              </w:rPr>
              <w:t>根据</w:t>
            </w:r>
            <w:r>
              <w:rPr>
                <w:color w:val="auto"/>
                <w:sz w:val="21"/>
                <w:szCs w:val="21"/>
              </w:rPr>
              <w:t>《住房城乡建设部办公厅关于印发建筑工地施工扬尘专项治理工作方案的通知》（建办督函[2017]169号）、《河北省2018年建筑施工与城市道路扬尘整治工作方案》、《施工场地扬尘排放标准》（DB13/2934-2019）</w:t>
            </w:r>
            <w:r>
              <w:rPr>
                <w:rFonts w:hint="eastAsia"/>
                <w:color w:val="auto"/>
                <w:sz w:val="21"/>
                <w:szCs w:val="21"/>
                <w:lang w:eastAsia="zh-CN"/>
              </w:rPr>
              <w:t>、</w:t>
            </w:r>
            <w:r>
              <w:rPr>
                <w:rFonts w:ascii="宋体" w:hAnsi="宋体" w:eastAsia="宋体" w:cs="宋体"/>
                <w:color w:val="auto"/>
                <w:sz w:val="21"/>
                <w:szCs w:val="21"/>
              </w:rPr>
              <w:t>河北省住房和城乡建设厅关于</w:t>
            </w:r>
            <w:r>
              <w:rPr>
                <w:rFonts w:hint="default" w:ascii="Times New Roman" w:hAnsi="Times New Roman" w:eastAsia="宋体" w:cs="Times New Roman"/>
                <w:color w:val="auto"/>
                <w:sz w:val="21"/>
                <w:szCs w:val="21"/>
              </w:rPr>
              <w:t>印发《2025年房屋建筑和市政工程施工扬尘污染防治工作要点》的通知（冀建质安函〔2025〕99号）</w:t>
            </w:r>
            <w:r>
              <w:rPr>
                <w:color w:val="auto"/>
                <w:sz w:val="21"/>
                <w:szCs w:val="21"/>
              </w:rPr>
              <w:t>，对施工期提出以下要求：</w:t>
            </w:r>
          </w:p>
          <w:p w14:paraId="15F3EF71">
            <w:pPr>
              <w:spacing w:line="360" w:lineRule="auto"/>
              <w:ind w:firstLine="480"/>
              <w:rPr>
                <w:rFonts w:hint="eastAsia"/>
                <w:color w:val="auto"/>
                <w:sz w:val="21"/>
                <w:szCs w:val="21"/>
              </w:rPr>
            </w:pPr>
            <w:r>
              <w:rPr>
                <w:rFonts w:hint="eastAsia"/>
                <w:color w:val="auto"/>
                <w:sz w:val="21"/>
                <w:szCs w:val="21"/>
              </w:rPr>
              <w:t>①施工现场必须连续设置硬质围挡，严禁围挡不严或敞开式施工。土石方工程阶段，施工现场应当设置高度不低于2.0m的金属或者硬质板材围挡。施工产生的土方，应当及时清运；土方堆放时间超过48h或作回填土使用的，应当在现场内集中堆放，并采取密目网覆盖等措施防治扬尘污染。</w:t>
            </w:r>
          </w:p>
          <w:p w14:paraId="0AEEBA95">
            <w:pPr>
              <w:spacing w:line="360" w:lineRule="auto"/>
              <w:ind w:firstLine="480"/>
              <w:rPr>
                <w:rFonts w:hint="eastAsia"/>
                <w:color w:val="auto"/>
                <w:sz w:val="21"/>
                <w:szCs w:val="21"/>
              </w:rPr>
            </w:pPr>
            <w:r>
              <w:rPr>
                <w:rFonts w:hint="eastAsia"/>
                <w:color w:val="auto"/>
                <w:sz w:val="21"/>
                <w:szCs w:val="21"/>
              </w:rPr>
              <w:t>②工程施工前，施工现场出入口和场内主要道路必须混凝土硬化或用硬质砌块铺设，严禁使用其他软质材料铺设。</w:t>
            </w:r>
          </w:p>
          <w:p w14:paraId="4E01D7EA">
            <w:pPr>
              <w:spacing w:line="360" w:lineRule="auto"/>
              <w:ind w:firstLine="480"/>
              <w:rPr>
                <w:rFonts w:hint="eastAsia"/>
                <w:color w:val="auto"/>
                <w:sz w:val="21"/>
                <w:szCs w:val="21"/>
              </w:rPr>
            </w:pPr>
            <w:r>
              <w:rPr>
                <w:rFonts w:hint="eastAsia"/>
                <w:color w:val="auto"/>
                <w:sz w:val="21"/>
                <w:szCs w:val="21"/>
              </w:rPr>
              <w:t>③施工现场集中堆放的土方和裸露场地必须覆盖、固化或绿化，严禁裸露。</w:t>
            </w:r>
          </w:p>
          <w:p w14:paraId="29F4A4EF">
            <w:pPr>
              <w:spacing w:line="360" w:lineRule="auto"/>
              <w:ind w:firstLine="480"/>
              <w:rPr>
                <w:rFonts w:hint="eastAsia"/>
                <w:color w:val="auto"/>
                <w:sz w:val="21"/>
                <w:szCs w:val="21"/>
              </w:rPr>
            </w:pPr>
            <w:r>
              <w:rPr>
                <w:rFonts w:hint="eastAsia"/>
                <w:color w:val="auto"/>
                <w:sz w:val="21"/>
                <w:szCs w:val="21"/>
              </w:rPr>
              <w:t>④施工现场运送土方、渣土的车辆必须封闭或遮盖严密，严禁沿路遗撒。</w:t>
            </w:r>
          </w:p>
          <w:p w14:paraId="15ECA277">
            <w:pPr>
              <w:spacing w:line="360" w:lineRule="auto"/>
              <w:ind w:firstLine="480"/>
              <w:rPr>
                <w:rFonts w:hint="eastAsia"/>
                <w:color w:val="auto"/>
                <w:sz w:val="21"/>
                <w:szCs w:val="21"/>
              </w:rPr>
            </w:pPr>
            <w:r>
              <w:rPr>
                <w:rFonts w:hint="eastAsia"/>
                <w:color w:val="auto"/>
                <w:sz w:val="21"/>
                <w:szCs w:val="21"/>
              </w:rPr>
              <w:t>⑤施工现场必须设置垃圾存放点，集中堆放并严密覆盖，及时清运，严禁随意丢弃。</w:t>
            </w:r>
          </w:p>
          <w:p w14:paraId="60FA3CAA">
            <w:pPr>
              <w:spacing w:line="360" w:lineRule="auto"/>
              <w:ind w:firstLine="480"/>
              <w:rPr>
                <w:rFonts w:hint="eastAsia"/>
                <w:color w:val="auto"/>
                <w:sz w:val="21"/>
                <w:szCs w:val="21"/>
              </w:rPr>
            </w:pPr>
            <w:r>
              <w:rPr>
                <w:rFonts w:hint="eastAsia"/>
                <w:color w:val="auto"/>
                <w:sz w:val="21"/>
                <w:szCs w:val="21"/>
              </w:rPr>
              <w:t>⑥施工现场易飞扬的细颗粒建筑材料必须密闭存放或严密覆盖，严禁露天放置。施工现场必须建立洒水清扫抑尘制度，配备洒水设备，并有专人负责。</w:t>
            </w:r>
          </w:p>
          <w:p w14:paraId="2E7DC9A0">
            <w:pPr>
              <w:spacing w:line="360" w:lineRule="auto"/>
              <w:ind w:firstLine="480"/>
              <w:rPr>
                <w:rFonts w:hint="eastAsia"/>
                <w:color w:val="auto"/>
                <w:sz w:val="21"/>
                <w:szCs w:val="21"/>
              </w:rPr>
            </w:pPr>
            <w:r>
              <w:rPr>
                <w:rFonts w:hint="eastAsia"/>
                <w:color w:val="auto"/>
                <w:sz w:val="21"/>
                <w:szCs w:val="21"/>
              </w:rPr>
              <w:t>⑦施工层建筑垃圾必须采用封闭式管道或装袋用垂直升降机械清运，严禁凌空抛掷。遇有4级以上大风或重污染天气预警时，必须采取扬尘防治应急措施，严禁土方开挖、土方回填、房屋拆除、材料切割、金属焊接、喷涂或其他可能产生扬尘的作业。</w:t>
            </w:r>
          </w:p>
          <w:p w14:paraId="48DE36D6">
            <w:pPr>
              <w:widowControl/>
              <w:spacing w:line="360" w:lineRule="auto"/>
              <w:ind w:firstLine="480"/>
              <w:rPr>
                <w:rFonts w:hint="eastAsia"/>
                <w:color w:val="auto"/>
                <w:sz w:val="21"/>
                <w:szCs w:val="21"/>
              </w:rPr>
            </w:pPr>
            <w:r>
              <w:rPr>
                <w:rFonts w:hint="eastAsia"/>
                <w:color w:val="auto"/>
                <w:sz w:val="21"/>
                <w:szCs w:val="21"/>
              </w:rPr>
              <w:t>⑧施工现场出入口及区域内下风向位置设置施工场地扬尘自动监测点位</w:t>
            </w:r>
            <w:r>
              <w:rPr>
                <w:color w:val="auto"/>
                <w:sz w:val="21"/>
                <w:szCs w:val="21"/>
              </w:rPr>
              <w:t>2个，</w:t>
            </w:r>
            <w:r>
              <w:rPr>
                <w:rFonts w:hint="eastAsia"/>
                <w:color w:val="auto"/>
                <w:sz w:val="21"/>
                <w:szCs w:val="21"/>
              </w:rPr>
              <w:t>对施工扬尘实时监控。建设单位必须全额拨付安全文明措施费用，施工单位必须专款专用，严格落实施工扬尘治理的各项措施。</w:t>
            </w:r>
          </w:p>
          <w:p w14:paraId="465466F6">
            <w:pPr>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0" w:right="0" w:firstLine="480"/>
              <w:textAlignment w:val="auto"/>
              <w:rPr>
                <w:rFonts w:hint="eastAsia"/>
                <w:color w:val="auto"/>
                <w:sz w:val="21"/>
                <w:szCs w:val="21"/>
                <w:lang w:val="en-US" w:eastAsia="zh-CN"/>
              </w:rPr>
            </w:pPr>
            <w:r>
              <w:rPr>
                <w:rFonts w:hint="eastAsia"/>
                <w:color w:val="auto"/>
                <w:sz w:val="21"/>
                <w:szCs w:val="21"/>
                <w:lang w:val="en-US" w:eastAsia="zh-CN"/>
              </w:rPr>
              <w:t>⑨施工现场视频监控和在线监测设备安装联网全覆盖，监控视频和在线监测数据接入主管部门监控平台，并保证系统正常运行。</w:t>
            </w:r>
          </w:p>
          <w:p w14:paraId="464F282C">
            <w:pPr>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0" w:right="0" w:firstLine="480"/>
              <w:textAlignment w:val="auto"/>
              <w:rPr>
                <w:rFonts w:hint="eastAsia" w:eastAsia="宋体"/>
                <w:color w:val="auto"/>
                <w:sz w:val="21"/>
                <w:szCs w:val="21"/>
                <w:lang w:val="en-US" w:eastAsia="zh-CN"/>
              </w:rPr>
            </w:pPr>
            <w:r>
              <w:rPr>
                <w:rFonts w:hint="eastAsia"/>
                <w:color w:val="auto"/>
                <w:sz w:val="21"/>
                <w:szCs w:val="21"/>
                <w:lang w:val="en-US" w:eastAsia="zh-CN"/>
              </w:rPr>
              <w:t>⑩非道路移动机械进出施工现场进行信息登记，严禁未取得信息编码的非道路移动机械进入施工现场。</w:t>
            </w:r>
          </w:p>
          <w:p w14:paraId="7D00DEF7">
            <w:pPr>
              <w:widowControl/>
              <w:spacing w:line="360" w:lineRule="auto"/>
              <w:ind w:firstLine="480"/>
              <w:rPr>
                <w:rFonts w:hint="eastAsia"/>
                <w:color w:val="auto"/>
                <w:sz w:val="21"/>
                <w:szCs w:val="21"/>
              </w:rPr>
            </w:pPr>
            <w:r>
              <w:rPr>
                <w:rFonts w:hint="eastAsia"/>
                <w:color w:val="auto"/>
                <w:sz w:val="21"/>
                <w:szCs w:val="21"/>
              </w:rPr>
              <w:t>在采取以上措施后，可使项目施工期废气对周围环境的影响降至最低。</w:t>
            </w:r>
          </w:p>
          <w:p w14:paraId="633D333D">
            <w:pPr>
              <w:adjustRightInd w:val="0"/>
              <w:snapToGrid w:val="0"/>
              <w:spacing w:line="360" w:lineRule="auto"/>
              <w:ind w:firstLine="480"/>
              <w:rPr>
                <w:rFonts w:hint="eastAsia"/>
                <w:color w:val="auto"/>
                <w:sz w:val="21"/>
                <w:szCs w:val="21"/>
              </w:rPr>
            </w:pPr>
            <w:r>
              <w:rPr>
                <w:rFonts w:hint="eastAsia"/>
                <w:color w:val="auto"/>
                <w:sz w:val="21"/>
                <w:szCs w:val="21"/>
              </w:rPr>
              <w:t>项目施工期除采取上述废气处理措施外，还应采取以下措施：</w:t>
            </w:r>
          </w:p>
          <w:p w14:paraId="7CED73B1">
            <w:pPr>
              <w:adjustRightInd w:val="0"/>
              <w:snapToGrid w:val="0"/>
              <w:spacing w:line="360" w:lineRule="auto"/>
              <w:ind w:firstLine="480"/>
              <w:rPr>
                <w:rFonts w:hint="eastAsia"/>
                <w:color w:val="auto"/>
                <w:sz w:val="21"/>
                <w:szCs w:val="21"/>
              </w:rPr>
            </w:pPr>
            <w:r>
              <w:rPr>
                <w:rFonts w:hint="eastAsia"/>
                <w:color w:val="auto"/>
                <w:sz w:val="21"/>
                <w:szCs w:val="21"/>
              </w:rPr>
              <w:t>①合理布置施工场地，沙、石等散体建筑材料和土方应尽量远离敏感点存放，并采取表面固化、覆盖等防扬尘措施。</w:t>
            </w:r>
          </w:p>
          <w:p w14:paraId="68D778A0">
            <w:pPr>
              <w:adjustRightInd w:val="0"/>
              <w:snapToGrid w:val="0"/>
              <w:spacing w:line="360" w:lineRule="auto"/>
              <w:ind w:firstLine="480"/>
              <w:rPr>
                <w:rFonts w:hint="eastAsia"/>
                <w:color w:val="auto"/>
                <w:sz w:val="21"/>
                <w:szCs w:val="21"/>
              </w:rPr>
            </w:pPr>
            <w:r>
              <w:rPr>
                <w:rFonts w:hint="eastAsia"/>
                <w:color w:val="auto"/>
                <w:sz w:val="21"/>
                <w:szCs w:val="21"/>
              </w:rPr>
              <w:t>②大风天气下暂停施工。</w:t>
            </w:r>
          </w:p>
          <w:p w14:paraId="6F2F00EC">
            <w:pPr>
              <w:adjustRightInd w:val="0"/>
              <w:snapToGrid w:val="0"/>
              <w:spacing w:line="360" w:lineRule="auto"/>
              <w:ind w:firstLine="480"/>
              <w:rPr>
                <w:rFonts w:hint="eastAsia"/>
                <w:color w:val="auto"/>
                <w:sz w:val="21"/>
                <w:szCs w:val="21"/>
              </w:rPr>
            </w:pPr>
            <w:r>
              <w:rPr>
                <w:rFonts w:hint="eastAsia"/>
                <w:color w:val="auto"/>
                <w:sz w:val="21"/>
                <w:szCs w:val="21"/>
              </w:rPr>
              <w:t>③施工道路定期洒水抑尘。</w:t>
            </w:r>
          </w:p>
          <w:p w14:paraId="603F74F9">
            <w:pPr>
              <w:adjustRightInd w:val="0"/>
              <w:snapToGrid w:val="0"/>
              <w:spacing w:line="360" w:lineRule="auto"/>
              <w:ind w:firstLine="480"/>
              <w:rPr>
                <w:color w:val="auto"/>
                <w:sz w:val="21"/>
                <w:szCs w:val="21"/>
              </w:rPr>
            </w:pPr>
            <w:r>
              <w:rPr>
                <w:color w:val="auto"/>
                <w:sz w:val="21"/>
                <w:szCs w:val="21"/>
              </w:rPr>
              <w:t>（2）施工期场地监测方案</w:t>
            </w:r>
          </w:p>
          <w:p w14:paraId="0F09B0D6">
            <w:pPr>
              <w:adjustRightInd w:val="0"/>
              <w:snapToGrid w:val="0"/>
              <w:spacing w:line="360" w:lineRule="auto"/>
              <w:ind w:firstLine="480"/>
              <w:rPr>
                <w:color w:val="auto"/>
                <w:sz w:val="21"/>
                <w:szCs w:val="21"/>
              </w:rPr>
            </w:pPr>
            <w:r>
              <w:rPr>
                <w:color w:val="auto"/>
                <w:sz w:val="21"/>
                <w:szCs w:val="21"/>
              </w:rPr>
              <w:t>本项目应在施工期在厂区内设置扬尘监测点，根据《</w:t>
            </w:r>
            <w:r>
              <w:rPr>
                <w:rFonts w:hint="eastAsia"/>
                <w:color w:val="auto"/>
                <w:sz w:val="21"/>
                <w:szCs w:val="21"/>
                <w:lang w:eastAsia="zh-CN"/>
              </w:rPr>
              <w:t>施工场地扬尘排放标准</w:t>
            </w:r>
            <w:r>
              <w:rPr>
                <w:color w:val="auto"/>
                <w:sz w:val="21"/>
                <w:szCs w:val="21"/>
              </w:rPr>
              <w:t>》（DB13/2934-2019）5.5.2中</w:t>
            </w:r>
            <w:r>
              <w:rPr>
                <w:color w:val="auto"/>
                <w:sz w:val="21"/>
                <w:szCs w:val="21"/>
                <w:highlight w:val="none"/>
              </w:rPr>
              <w:t>要求：</w:t>
            </w:r>
            <w:r>
              <w:rPr>
                <w:rFonts w:hint="eastAsia"/>
                <w:color w:val="auto"/>
                <w:sz w:val="21"/>
                <w:szCs w:val="21"/>
                <w:highlight w:val="none"/>
              </w:rPr>
              <w:t>10000m</w:t>
            </w:r>
            <w:r>
              <w:rPr>
                <w:rFonts w:hint="eastAsia"/>
                <w:color w:val="auto"/>
                <w:sz w:val="21"/>
                <w:szCs w:val="21"/>
                <w:highlight w:val="none"/>
                <w:vertAlign w:val="superscript"/>
              </w:rPr>
              <w:t>2</w:t>
            </w:r>
            <w:r>
              <w:rPr>
                <w:rFonts w:hint="eastAsia"/>
                <w:color w:val="auto"/>
                <w:sz w:val="21"/>
                <w:szCs w:val="21"/>
                <w:highlight w:val="none"/>
              </w:rPr>
              <w:t>＜S≤100000m</w:t>
            </w:r>
            <w:r>
              <w:rPr>
                <w:rFonts w:hint="eastAsia"/>
                <w:color w:val="auto"/>
                <w:sz w:val="21"/>
                <w:szCs w:val="21"/>
                <w:highlight w:val="none"/>
                <w:vertAlign w:val="superscript"/>
              </w:rPr>
              <w:t>2</w:t>
            </w:r>
            <w:r>
              <w:rPr>
                <w:color w:val="auto"/>
                <w:sz w:val="21"/>
                <w:szCs w:val="21"/>
                <w:highlight w:val="none"/>
              </w:rPr>
              <w:t>，监测点数至少为</w:t>
            </w:r>
            <w:r>
              <w:rPr>
                <w:rFonts w:hint="eastAsia"/>
                <w:color w:val="auto"/>
                <w:sz w:val="21"/>
                <w:szCs w:val="21"/>
                <w:highlight w:val="none"/>
                <w:lang w:val="en-US" w:eastAsia="zh-CN"/>
              </w:rPr>
              <w:t>4</w:t>
            </w:r>
            <w:r>
              <w:rPr>
                <w:color w:val="auto"/>
                <w:sz w:val="21"/>
                <w:szCs w:val="21"/>
                <w:highlight w:val="none"/>
              </w:rPr>
              <w:t>个，本项目</w:t>
            </w:r>
            <w:r>
              <w:rPr>
                <w:rFonts w:hint="eastAsia"/>
                <w:color w:val="auto"/>
                <w:sz w:val="21"/>
                <w:szCs w:val="21"/>
                <w:highlight w:val="none"/>
                <w:lang w:val="en-US" w:eastAsia="zh-CN"/>
              </w:rPr>
              <w:t>占地</w:t>
            </w:r>
            <w:r>
              <w:rPr>
                <w:rFonts w:hint="eastAsia"/>
                <w:color w:val="auto"/>
                <w:sz w:val="21"/>
                <w:szCs w:val="21"/>
                <w:highlight w:val="none"/>
              </w:rPr>
              <w:t>面积</w:t>
            </w:r>
            <w:r>
              <w:rPr>
                <w:rFonts w:hint="eastAsia"/>
                <w:color w:val="auto"/>
                <w:highlight w:val="none"/>
              </w:rPr>
              <w:t>54123.74</w:t>
            </w:r>
            <w:r>
              <w:rPr>
                <w:rFonts w:hint="eastAsia"/>
                <w:color w:val="auto"/>
                <w:sz w:val="21"/>
                <w:szCs w:val="21"/>
                <w:highlight w:val="none"/>
              </w:rPr>
              <w:t>m</w:t>
            </w:r>
            <w:r>
              <w:rPr>
                <w:rFonts w:hint="eastAsia"/>
                <w:color w:val="auto"/>
                <w:sz w:val="21"/>
                <w:szCs w:val="21"/>
                <w:highlight w:val="none"/>
                <w:vertAlign w:val="superscript"/>
              </w:rPr>
              <w:t>2</w:t>
            </w:r>
            <w:r>
              <w:rPr>
                <w:color w:val="auto"/>
                <w:sz w:val="21"/>
                <w:szCs w:val="21"/>
                <w:highlight w:val="none"/>
              </w:rPr>
              <w:t>，因此，本项目设置</w:t>
            </w:r>
            <w:r>
              <w:rPr>
                <w:rFonts w:hint="eastAsia"/>
                <w:color w:val="auto"/>
                <w:sz w:val="21"/>
                <w:szCs w:val="21"/>
                <w:highlight w:val="none"/>
                <w:lang w:val="en-US" w:eastAsia="zh-CN"/>
              </w:rPr>
              <w:t>4</w:t>
            </w:r>
            <w:r>
              <w:rPr>
                <w:color w:val="auto"/>
                <w:sz w:val="21"/>
                <w:szCs w:val="21"/>
                <w:highlight w:val="none"/>
              </w:rPr>
              <w:t>个监测点位，根据《</w:t>
            </w:r>
            <w:r>
              <w:rPr>
                <w:rFonts w:hint="eastAsia"/>
                <w:color w:val="auto"/>
                <w:sz w:val="21"/>
                <w:szCs w:val="21"/>
                <w:highlight w:val="none"/>
                <w:lang w:eastAsia="zh-CN"/>
              </w:rPr>
              <w:t>施工场地扬尘排放标准</w:t>
            </w:r>
            <w:r>
              <w:rPr>
                <w:rFonts w:hint="eastAsia"/>
                <w:color w:val="auto"/>
                <w:sz w:val="21"/>
                <w:szCs w:val="21"/>
                <w:highlight w:val="none"/>
              </w:rPr>
              <w:t>》5.5.4中要求，监测点位宜优先设置于车辆进出口处，监测</w:t>
            </w:r>
            <w:r>
              <w:rPr>
                <w:color w:val="auto"/>
                <w:sz w:val="21"/>
                <w:szCs w:val="21"/>
                <w:highlight w:val="none"/>
              </w:rPr>
              <w:t>点数量多于车辆进出口数量时，其它监测点位应结合常年主导风向，设置在工地所在区域主导风向下风向的施工场地边界，兼顾扬尘最大落地浓度</w:t>
            </w:r>
            <w:r>
              <w:rPr>
                <w:rFonts w:hint="eastAsia"/>
                <w:color w:val="auto"/>
                <w:sz w:val="21"/>
                <w:szCs w:val="21"/>
                <w:highlight w:val="none"/>
              </w:rPr>
              <w:t>。</w:t>
            </w:r>
          </w:p>
          <w:p w14:paraId="1F852508">
            <w:pPr>
              <w:tabs>
                <w:tab w:val="left" w:pos="-180"/>
                <w:tab w:val="left" w:pos="1020"/>
              </w:tabs>
              <w:adjustRightInd w:val="0"/>
              <w:snapToGrid w:val="0"/>
              <w:spacing w:line="360" w:lineRule="auto"/>
              <w:ind w:firstLine="480"/>
              <w:rPr>
                <w:rFonts w:hint="eastAsia"/>
                <w:color w:val="auto"/>
                <w:sz w:val="21"/>
                <w:szCs w:val="21"/>
              </w:rPr>
            </w:pPr>
            <w:r>
              <w:rPr>
                <w:rFonts w:hint="eastAsia"/>
                <w:color w:val="auto"/>
                <w:sz w:val="21"/>
                <w:szCs w:val="21"/>
              </w:rPr>
              <w:t>采取以上措施后，施工场地扬尘能够满足河北省地方标准《施工场地扬尘排放标准》（DB13/2934-2019）的要求</w:t>
            </w:r>
            <w:r>
              <w:rPr>
                <w:color w:val="auto"/>
                <w:sz w:val="21"/>
                <w:szCs w:val="21"/>
              </w:rPr>
              <w:t>，PM</w:t>
            </w:r>
            <w:r>
              <w:rPr>
                <w:color w:val="auto"/>
                <w:sz w:val="21"/>
                <w:szCs w:val="21"/>
                <w:vertAlign w:val="subscript"/>
              </w:rPr>
              <w:t>10</w:t>
            </w:r>
            <w:r>
              <w:rPr>
                <w:color w:val="auto"/>
                <w:sz w:val="21"/>
                <w:szCs w:val="21"/>
              </w:rPr>
              <w:t>≤80μg/m</w:t>
            </w:r>
            <w:r>
              <w:rPr>
                <w:color w:val="auto"/>
                <w:sz w:val="21"/>
                <w:szCs w:val="21"/>
                <w:vertAlign w:val="superscript"/>
              </w:rPr>
              <w:t>3</w:t>
            </w:r>
            <w:r>
              <w:rPr>
                <w:rFonts w:hint="eastAsia"/>
                <w:color w:val="auto"/>
                <w:sz w:val="21"/>
                <w:szCs w:val="21"/>
              </w:rPr>
              <w:t>。</w:t>
            </w:r>
          </w:p>
          <w:p w14:paraId="1DCCF9DE">
            <w:pPr>
              <w:widowControl/>
              <w:spacing w:line="360" w:lineRule="auto"/>
              <w:ind w:firstLine="482"/>
              <w:rPr>
                <w:b/>
                <w:bCs/>
                <w:color w:val="auto"/>
                <w:sz w:val="21"/>
                <w:szCs w:val="21"/>
              </w:rPr>
            </w:pPr>
            <w:r>
              <w:rPr>
                <w:b/>
                <w:bCs/>
                <w:color w:val="auto"/>
                <w:sz w:val="21"/>
                <w:szCs w:val="21"/>
              </w:rPr>
              <w:t>2、水环境影响分析</w:t>
            </w:r>
          </w:p>
          <w:p w14:paraId="3D9FAADE">
            <w:pPr>
              <w:adjustRightInd w:val="0"/>
              <w:snapToGrid w:val="0"/>
              <w:spacing w:line="360" w:lineRule="auto"/>
              <w:ind w:firstLine="480"/>
              <w:rPr>
                <w:rFonts w:hint="eastAsia"/>
                <w:color w:val="auto"/>
                <w:sz w:val="21"/>
                <w:szCs w:val="21"/>
              </w:rPr>
            </w:pPr>
            <w:r>
              <w:rPr>
                <w:color w:val="auto"/>
                <w:sz w:val="21"/>
                <w:szCs w:val="21"/>
              </w:rPr>
              <w:t>本项目施工期废水为施工废水和生活污水两种，施工废水主要为混凝土养护废水，封闭混凝土中水分不蒸发外逸，水泥依靠混凝土中水分完成水化作用，因水量较小，故废水排放量小，可以不需专门处理；生活用水主要为职工日常饮用及盥洗用水，</w:t>
            </w:r>
            <w:r>
              <w:rPr>
                <w:rFonts w:hint="eastAsia"/>
                <w:color w:val="auto"/>
                <w:sz w:val="21"/>
                <w:szCs w:val="21"/>
                <w:lang w:val="en-US" w:eastAsia="zh-CN"/>
              </w:rPr>
              <w:t>生</w:t>
            </w:r>
            <w:r>
              <w:rPr>
                <w:rFonts w:hint="eastAsia"/>
                <w:color w:val="auto"/>
                <w:sz w:val="21"/>
                <w:szCs w:val="21"/>
              </w:rPr>
              <w:t>活污水通过隔油、化粪池处理后经市政污水管网排入唐山市东北郊污水处理厂统一处理，不会对水环境产生影响</w:t>
            </w:r>
            <w:r>
              <w:rPr>
                <w:color w:val="auto"/>
                <w:sz w:val="21"/>
                <w:szCs w:val="21"/>
              </w:rPr>
              <w:t>。</w:t>
            </w:r>
            <w:r>
              <w:rPr>
                <w:rFonts w:hint="eastAsia"/>
                <w:color w:val="auto"/>
                <w:sz w:val="21"/>
                <w:szCs w:val="21"/>
              </w:rPr>
              <w:t xml:space="preserve"> </w:t>
            </w:r>
          </w:p>
          <w:p w14:paraId="58981E3C">
            <w:pPr>
              <w:widowControl/>
              <w:spacing w:line="360" w:lineRule="auto"/>
              <w:ind w:firstLine="482"/>
              <w:rPr>
                <w:rFonts w:hint="eastAsia"/>
                <w:b/>
                <w:bCs/>
                <w:color w:val="auto"/>
                <w:sz w:val="21"/>
                <w:szCs w:val="21"/>
              </w:rPr>
            </w:pPr>
            <w:r>
              <w:rPr>
                <w:b/>
                <w:bCs/>
                <w:color w:val="auto"/>
                <w:sz w:val="21"/>
                <w:szCs w:val="21"/>
              </w:rPr>
              <w:t>3、</w:t>
            </w:r>
            <w:r>
              <w:rPr>
                <w:rFonts w:hint="eastAsia"/>
                <w:b/>
                <w:bCs/>
                <w:color w:val="auto"/>
                <w:sz w:val="21"/>
                <w:szCs w:val="21"/>
              </w:rPr>
              <w:t>声环境影响分析</w:t>
            </w:r>
          </w:p>
          <w:p w14:paraId="5A5915C5">
            <w:pPr>
              <w:spacing w:line="360" w:lineRule="auto"/>
              <w:ind w:firstLine="480"/>
              <w:rPr>
                <w:color w:val="auto"/>
                <w:sz w:val="21"/>
                <w:szCs w:val="21"/>
              </w:rPr>
            </w:pPr>
            <w:r>
              <w:rPr>
                <w:color w:val="auto"/>
                <w:sz w:val="21"/>
                <w:szCs w:val="21"/>
              </w:rPr>
              <w:t>项目施工过程中产噪设备主要有推土机、挖掘机、装载机、运输车辆等，根据类比监测资料，该项目各施工设备噪声强度范围在75～95dB(A)之间。为最大限度避免和减轻施工和交通噪声对施工场地周围环境的影响，本评价对施工噪声的控制提出以下要求和建议：</w:t>
            </w:r>
          </w:p>
          <w:p w14:paraId="48A4939A">
            <w:pPr>
              <w:spacing w:line="360" w:lineRule="auto"/>
              <w:ind w:firstLine="480"/>
              <w:rPr>
                <w:color w:val="auto"/>
                <w:sz w:val="21"/>
                <w:szCs w:val="21"/>
              </w:rPr>
            </w:pPr>
            <w:r>
              <w:rPr>
                <w:color w:val="auto"/>
                <w:sz w:val="21"/>
                <w:szCs w:val="21"/>
              </w:rPr>
              <w:t>①合理安排施工计划和施工机械设备组合以及施工时间，避免同一时间集中使用大量的动力机械设备。施工单位严格执行</w:t>
            </w:r>
            <w:r>
              <w:rPr>
                <w:rFonts w:hint="eastAsia"/>
                <w:color w:val="auto"/>
                <w:sz w:val="21"/>
                <w:szCs w:val="21"/>
              </w:rPr>
              <w:t>《建筑施工噪声排放标准》（GB12523-2025）</w:t>
            </w:r>
            <w:r>
              <w:rPr>
                <w:color w:val="auto"/>
                <w:sz w:val="21"/>
                <w:szCs w:val="21"/>
              </w:rPr>
              <w:t>的要求，在施工过程中，尽量减少运行动力机械设备的数量，尽可能时动力机械设备比较均匀地使用。</w:t>
            </w:r>
          </w:p>
          <w:p w14:paraId="569D49D0">
            <w:pPr>
              <w:spacing w:line="360" w:lineRule="auto"/>
              <w:ind w:firstLine="480"/>
              <w:rPr>
                <w:color w:val="auto"/>
                <w:sz w:val="21"/>
                <w:szCs w:val="21"/>
              </w:rPr>
            </w:pPr>
            <w:r>
              <w:rPr>
                <w:color w:val="auto"/>
                <w:sz w:val="21"/>
                <w:szCs w:val="21"/>
              </w:rPr>
              <w:t>②选用低噪声机械设备，从根本上降低源强，低噪型运载车在行驶过程中产生的噪声级比</w:t>
            </w:r>
            <w:r>
              <w:rPr>
                <w:rFonts w:hint="eastAsia"/>
                <w:color w:val="auto"/>
                <w:sz w:val="21"/>
                <w:szCs w:val="21"/>
              </w:rPr>
              <w:t>同类</w:t>
            </w:r>
            <w:r>
              <w:rPr>
                <w:color w:val="auto"/>
                <w:sz w:val="21"/>
                <w:szCs w:val="21"/>
              </w:rPr>
              <w:t>水平的其他车辆低10-15dB（A）。闲置的机械设备应该予以关闭或者减速；动力机械设备应定期检修、保养，以减少机械运行震动噪声。</w:t>
            </w:r>
          </w:p>
          <w:p w14:paraId="3AA1CA2D">
            <w:pPr>
              <w:spacing w:line="360" w:lineRule="auto"/>
              <w:ind w:firstLine="480"/>
              <w:rPr>
                <w:color w:val="auto"/>
                <w:sz w:val="21"/>
                <w:szCs w:val="21"/>
              </w:rPr>
            </w:pPr>
            <w:r>
              <w:rPr>
                <w:color w:val="auto"/>
                <w:sz w:val="21"/>
                <w:szCs w:val="21"/>
              </w:rPr>
              <w:t>③在厂界四周设置不低于2.5m高围挡。</w:t>
            </w:r>
          </w:p>
          <w:p w14:paraId="7E0DF2D8">
            <w:pPr>
              <w:spacing w:line="360" w:lineRule="auto"/>
              <w:ind w:firstLine="480"/>
              <w:rPr>
                <w:color w:val="auto"/>
                <w:sz w:val="21"/>
                <w:szCs w:val="21"/>
              </w:rPr>
            </w:pPr>
            <w:r>
              <w:rPr>
                <w:color w:val="auto"/>
                <w:sz w:val="21"/>
                <w:szCs w:val="21"/>
              </w:rPr>
              <w:t>④运载建筑材料及建筑垃圾的车辆要选择合适的时间路线进行运输，运输车辆行驶路线应计量避开沿途可能的居民点和环境敏感点。</w:t>
            </w:r>
          </w:p>
          <w:p w14:paraId="676D5550">
            <w:pPr>
              <w:spacing w:line="360" w:lineRule="auto"/>
              <w:ind w:firstLine="480"/>
              <w:rPr>
                <w:rFonts w:hint="eastAsia"/>
                <w:color w:val="auto"/>
                <w:sz w:val="21"/>
                <w:szCs w:val="21"/>
              </w:rPr>
            </w:pPr>
            <w:r>
              <w:rPr>
                <w:color w:val="auto"/>
                <w:sz w:val="21"/>
                <w:szCs w:val="21"/>
              </w:rPr>
              <w:t>采取以上措施后，能够有效减少噪声的影响，随着施工期的结束，施工噪声将会消失，项目周围</w:t>
            </w:r>
            <w:r>
              <w:rPr>
                <w:rFonts w:hint="eastAsia"/>
                <w:color w:val="auto"/>
                <w:sz w:val="21"/>
                <w:szCs w:val="21"/>
              </w:rPr>
              <w:t>50m范围内</w:t>
            </w:r>
            <w:r>
              <w:rPr>
                <w:color w:val="auto"/>
                <w:sz w:val="21"/>
                <w:szCs w:val="21"/>
              </w:rPr>
              <w:t>无声环境敏感点，施工期噪声对环境影响较小，措施可行。</w:t>
            </w:r>
          </w:p>
          <w:p w14:paraId="282F2CA8">
            <w:pPr>
              <w:widowControl/>
              <w:spacing w:line="360" w:lineRule="auto"/>
              <w:ind w:firstLine="482"/>
              <w:rPr>
                <w:b/>
                <w:bCs/>
                <w:color w:val="auto"/>
                <w:sz w:val="21"/>
                <w:szCs w:val="21"/>
              </w:rPr>
            </w:pPr>
            <w:r>
              <w:rPr>
                <w:b/>
                <w:bCs/>
                <w:color w:val="auto"/>
                <w:sz w:val="21"/>
                <w:szCs w:val="21"/>
              </w:rPr>
              <w:t>4、固体废物影响分析</w:t>
            </w:r>
          </w:p>
          <w:p w14:paraId="54FE1F2E">
            <w:pPr>
              <w:spacing w:line="360" w:lineRule="auto"/>
              <w:ind w:firstLine="480"/>
              <w:rPr>
                <w:color w:val="auto"/>
                <w:sz w:val="21"/>
                <w:szCs w:val="21"/>
              </w:rPr>
            </w:pPr>
            <w:r>
              <w:rPr>
                <w:color w:val="auto"/>
                <w:sz w:val="21"/>
                <w:szCs w:val="21"/>
              </w:rPr>
              <w:t>施工期产生的固体废物主要为土方施工及建筑施工产生的弃土、弃渣，施工废料等建筑废弃物和施工人员产生的生活垃圾。固体废物处置措施如下：</w:t>
            </w:r>
          </w:p>
          <w:p w14:paraId="43E7D3BD">
            <w:pPr>
              <w:spacing w:line="360" w:lineRule="auto"/>
              <w:ind w:firstLine="480"/>
              <w:rPr>
                <w:color w:val="auto"/>
                <w:sz w:val="21"/>
                <w:szCs w:val="21"/>
              </w:rPr>
            </w:pPr>
            <w:r>
              <w:rPr>
                <w:color w:val="auto"/>
                <w:sz w:val="21"/>
                <w:szCs w:val="21"/>
              </w:rPr>
              <w:t>（1）弃渣和弃土：每天定时清运，弃渣和弃土填坑铺路，避免长期堆放遇大风产生扬尘。</w:t>
            </w:r>
          </w:p>
          <w:p w14:paraId="1A67848C">
            <w:pPr>
              <w:spacing w:line="360" w:lineRule="auto"/>
              <w:ind w:firstLine="480"/>
              <w:rPr>
                <w:color w:val="auto"/>
                <w:sz w:val="21"/>
                <w:szCs w:val="21"/>
              </w:rPr>
            </w:pPr>
            <w:r>
              <w:rPr>
                <w:color w:val="auto"/>
                <w:sz w:val="21"/>
                <w:szCs w:val="21"/>
              </w:rPr>
              <w:t>（2）施工废料处理：首先应考虑废料的回收利用。对建筑废弃物应集中堆放，外运采用苫布遮盖，定时清运到当地建设监管部门指定地点统一处理。</w:t>
            </w:r>
          </w:p>
          <w:p w14:paraId="50B4EAF7">
            <w:pPr>
              <w:spacing w:line="360" w:lineRule="auto"/>
              <w:ind w:firstLine="480"/>
              <w:rPr>
                <w:color w:val="auto"/>
                <w:sz w:val="21"/>
                <w:szCs w:val="21"/>
              </w:rPr>
            </w:pPr>
            <w:r>
              <w:rPr>
                <w:color w:val="auto"/>
                <w:sz w:val="21"/>
                <w:szCs w:val="21"/>
              </w:rPr>
              <w:t>（3）施工生活垃圾处置：集中收集，袋装化，定期送有关部门指定地点统一处理。</w:t>
            </w:r>
          </w:p>
          <w:p w14:paraId="4B589906">
            <w:pPr>
              <w:widowControl/>
              <w:spacing w:line="360" w:lineRule="auto"/>
              <w:ind w:firstLine="482"/>
              <w:rPr>
                <w:rFonts w:hint="eastAsia"/>
                <w:b/>
                <w:bCs/>
                <w:color w:val="auto"/>
                <w:sz w:val="21"/>
                <w:szCs w:val="21"/>
              </w:rPr>
            </w:pPr>
            <w:r>
              <w:rPr>
                <w:b/>
                <w:bCs/>
                <w:color w:val="auto"/>
                <w:sz w:val="21"/>
                <w:szCs w:val="21"/>
              </w:rPr>
              <w:t>5</w:t>
            </w:r>
            <w:r>
              <w:rPr>
                <w:rFonts w:hint="eastAsia"/>
                <w:b/>
                <w:bCs/>
                <w:color w:val="auto"/>
                <w:sz w:val="21"/>
                <w:szCs w:val="21"/>
              </w:rPr>
              <w:t>、施工期生态影响分析</w:t>
            </w:r>
          </w:p>
          <w:p w14:paraId="289A5926">
            <w:pPr>
              <w:widowControl/>
              <w:spacing w:line="360" w:lineRule="auto"/>
              <w:ind w:firstLine="480"/>
              <w:rPr>
                <w:rFonts w:hint="eastAsia"/>
                <w:color w:val="auto"/>
                <w:sz w:val="21"/>
                <w:szCs w:val="21"/>
              </w:rPr>
            </w:pPr>
            <w:r>
              <w:rPr>
                <w:rFonts w:hint="eastAsia"/>
                <w:color w:val="auto"/>
                <w:sz w:val="21"/>
                <w:szCs w:val="21"/>
              </w:rPr>
              <w:t>项目不设取土场，临时取土场位于项目临时占地范围内。施工期过程中使原有表土层受到破坏，土壤松动，或者施工过程中由于挖方及填方过程中形成的土堆不能及时清理，遇到较大降雨冲刷，可能会发生水土流失。建设项目所处区域地势不易形成地表径流，故只要不遇特大暴雨，不会造成大的水土流失。因此，只要加强施工管理，合理安排施工进度，做到随挖、随埋、随填，就可以避免发生水土流失。且随着施工期的结束，排水设施得到完善，对改变现有土地扰动可能引发水土流失的现状有利。</w:t>
            </w:r>
          </w:p>
          <w:p w14:paraId="7A2BA7E3">
            <w:pPr>
              <w:pStyle w:val="116"/>
              <w:spacing w:line="360" w:lineRule="auto"/>
              <w:ind w:firstLine="420"/>
              <w:rPr>
                <w:rFonts w:hint="eastAsia"/>
                <w:color w:val="auto"/>
                <w:sz w:val="21"/>
                <w:szCs w:val="21"/>
              </w:rPr>
            </w:pPr>
            <w:r>
              <w:rPr>
                <w:rFonts w:hint="eastAsia"/>
                <w:color w:val="auto"/>
                <w:sz w:val="21"/>
                <w:szCs w:val="21"/>
              </w:rPr>
              <w:t>综上所述，施工期对周围环境的影响是暂时的，它将随着施工期的结束而消失。但在施工期应严格执行环境管理计划和相应的环保措施，将其对周围环境的影响减至最小。</w:t>
            </w:r>
          </w:p>
          <w:p w14:paraId="71C90F80">
            <w:pPr>
              <w:pStyle w:val="46"/>
              <w:spacing w:before="24" w:after="24"/>
              <w:ind w:firstLine="420"/>
              <w:rPr>
                <w:rFonts w:ascii="Times New Roman" w:cs="Times New Roman"/>
                <w:color w:val="auto"/>
                <w:sz w:val="21"/>
                <w:szCs w:val="21"/>
              </w:rPr>
            </w:pPr>
          </w:p>
          <w:p w14:paraId="354CE3C9">
            <w:pPr>
              <w:rPr>
                <w:color w:val="auto"/>
                <w:szCs w:val="21"/>
              </w:rPr>
            </w:pPr>
          </w:p>
          <w:p w14:paraId="4543C22C">
            <w:pPr>
              <w:rPr>
                <w:color w:val="auto"/>
                <w:szCs w:val="21"/>
              </w:rPr>
            </w:pPr>
          </w:p>
          <w:p w14:paraId="007F1D07">
            <w:pPr>
              <w:pStyle w:val="46"/>
              <w:spacing w:before="24" w:after="24"/>
              <w:ind w:firstLine="420"/>
              <w:rPr>
                <w:rFonts w:ascii="Times New Roman" w:cs="Times New Roman"/>
                <w:color w:val="auto"/>
                <w:sz w:val="21"/>
                <w:szCs w:val="21"/>
              </w:rPr>
            </w:pPr>
          </w:p>
          <w:p w14:paraId="7CAE5087">
            <w:pPr>
              <w:pStyle w:val="46"/>
              <w:spacing w:before="24" w:after="24"/>
              <w:ind w:firstLine="420"/>
              <w:rPr>
                <w:rFonts w:ascii="Times New Roman" w:cs="Times New Roman"/>
                <w:color w:val="auto"/>
                <w:sz w:val="21"/>
                <w:szCs w:val="21"/>
              </w:rPr>
            </w:pPr>
          </w:p>
          <w:p w14:paraId="2736BBAC">
            <w:pPr>
              <w:rPr>
                <w:color w:val="auto"/>
                <w:szCs w:val="21"/>
              </w:rPr>
            </w:pPr>
          </w:p>
          <w:p w14:paraId="35716349">
            <w:pPr>
              <w:pStyle w:val="46"/>
              <w:spacing w:before="24" w:after="24"/>
              <w:ind w:firstLine="420"/>
              <w:rPr>
                <w:rFonts w:ascii="Times New Roman" w:cs="Times New Roman"/>
                <w:color w:val="auto"/>
                <w:sz w:val="21"/>
                <w:szCs w:val="21"/>
              </w:rPr>
            </w:pPr>
          </w:p>
          <w:p w14:paraId="138E0E72">
            <w:pPr>
              <w:rPr>
                <w:color w:val="auto"/>
                <w:szCs w:val="21"/>
              </w:rPr>
            </w:pPr>
          </w:p>
          <w:p w14:paraId="494A5567">
            <w:pPr>
              <w:pStyle w:val="46"/>
              <w:spacing w:before="24" w:after="24"/>
              <w:ind w:firstLine="420"/>
              <w:rPr>
                <w:color w:val="auto"/>
                <w:sz w:val="21"/>
                <w:szCs w:val="21"/>
              </w:rPr>
            </w:pPr>
          </w:p>
          <w:p w14:paraId="68E07958">
            <w:pPr>
              <w:pStyle w:val="15"/>
              <w:spacing w:line="480" w:lineRule="exact"/>
              <w:ind w:left="0" w:right="0" w:firstLine="380" w:firstLineChars="200"/>
              <w:rPr>
                <w:rFonts w:hint="default" w:ascii="Times New Roman" w:hAnsi="Times New Roman"/>
                <w:bCs/>
                <w:color w:val="auto"/>
                <w:spacing w:val="-10"/>
                <w:sz w:val="21"/>
                <w:szCs w:val="21"/>
              </w:rPr>
            </w:pPr>
          </w:p>
        </w:tc>
      </w:tr>
    </w:tbl>
    <w:p w14:paraId="7D00FA81">
      <w:pPr>
        <w:adjustRightInd w:val="0"/>
        <w:snapToGrid w:val="0"/>
        <w:spacing w:line="360" w:lineRule="auto"/>
        <w:rPr>
          <w:b/>
          <w:color w:val="auto"/>
          <w:kern w:val="0"/>
          <w:sz w:val="28"/>
          <w:szCs w:val="28"/>
        </w:rPr>
        <w:sectPr>
          <w:pgSz w:w="11907" w:h="16840"/>
          <w:pgMar w:top="1701" w:right="1531" w:bottom="1701" w:left="1531" w:header="851" w:footer="851" w:gutter="0"/>
          <w:cols w:space="720" w:num="1"/>
          <w:docGrid w:linePitch="312" w:charSpace="0"/>
        </w:sectPr>
      </w:pPr>
    </w:p>
    <w:tbl>
      <w:tblPr>
        <w:tblStyle w:val="33"/>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37"/>
        <w:gridCol w:w="8244"/>
      </w:tblGrid>
      <w:tr w14:paraId="1E8E02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552" w:hRule="atLeast"/>
          <w:jc w:val="center"/>
        </w:trPr>
        <w:tc>
          <w:tcPr>
            <w:tcW w:w="737" w:type="dxa"/>
            <w:noWrap/>
            <w:tcMar>
              <w:left w:w="28" w:type="dxa"/>
              <w:right w:w="28" w:type="dxa"/>
            </w:tcMar>
            <w:vAlign w:val="center"/>
          </w:tcPr>
          <w:p w14:paraId="590F2110">
            <w:pPr>
              <w:pStyle w:val="30"/>
              <w:adjustRightInd w:val="0"/>
              <w:snapToGrid w:val="0"/>
              <w:spacing w:before="0" w:beforeAutospacing="0" w:after="0" w:afterAutospacing="0"/>
              <w:jc w:val="center"/>
              <w:rPr>
                <w:rFonts w:ascii="Times New Roman" w:hAnsi="Times New Roman"/>
                <w:color w:val="auto"/>
                <w:kern w:val="2"/>
                <w:sz w:val="21"/>
                <w:szCs w:val="21"/>
              </w:rPr>
            </w:pPr>
            <w:r>
              <w:rPr>
                <w:rFonts w:ascii="Times New Roman" w:hAnsi="Times New Roman"/>
                <w:color w:val="auto"/>
                <w:kern w:val="2"/>
                <w:sz w:val="21"/>
                <w:szCs w:val="21"/>
              </w:rPr>
              <w:t>运营</w:t>
            </w:r>
          </w:p>
          <w:p w14:paraId="31CC5A23">
            <w:pPr>
              <w:pStyle w:val="30"/>
              <w:adjustRightInd w:val="0"/>
              <w:snapToGrid w:val="0"/>
              <w:spacing w:before="0" w:beforeAutospacing="0" w:after="0" w:afterAutospacing="0"/>
              <w:jc w:val="center"/>
              <w:rPr>
                <w:rFonts w:ascii="Times New Roman" w:hAnsi="Times New Roman"/>
                <w:color w:val="auto"/>
                <w:kern w:val="2"/>
                <w:sz w:val="21"/>
                <w:szCs w:val="21"/>
              </w:rPr>
            </w:pPr>
            <w:r>
              <w:rPr>
                <w:rFonts w:ascii="Times New Roman" w:hAnsi="Times New Roman"/>
                <w:color w:val="auto"/>
                <w:kern w:val="2"/>
                <w:sz w:val="21"/>
                <w:szCs w:val="21"/>
              </w:rPr>
              <w:t>期环</w:t>
            </w:r>
          </w:p>
          <w:p w14:paraId="1BC90AEA">
            <w:pPr>
              <w:pStyle w:val="30"/>
              <w:adjustRightInd w:val="0"/>
              <w:snapToGrid w:val="0"/>
              <w:spacing w:before="0" w:beforeAutospacing="0" w:after="0" w:afterAutospacing="0"/>
              <w:jc w:val="center"/>
              <w:rPr>
                <w:rFonts w:ascii="Times New Roman" w:hAnsi="Times New Roman"/>
                <w:color w:val="auto"/>
                <w:kern w:val="2"/>
                <w:sz w:val="21"/>
                <w:szCs w:val="21"/>
              </w:rPr>
            </w:pPr>
            <w:r>
              <w:rPr>
                <w:rFonts w:ascii="Times New Roman" w:hAnsi="Times New Roman"/>
                <w:color w:val="auto"/>
                <w:kern w:val="2"/>
                <w:sz w:val="21"/>
                <w:szCs w:val="21"/>
              </w:rPr>
              <w:t>境影</w:t>
            </w:r>
          </w:p>
          <w:p w14:paraId="770D127F">
            <w:pPr>
              <w:pStyle w:val="30"/>
              <w:adjustRightInd w:val="0"/>
              <w:snapToGrid w:val="0"/>
              <w:spacing w:before="0" w:beforeAutospacing="0" w:after="0" w:afterAutospacing="0"/>
              <w:jc w:val="center"/>
              <w:rPr>
                <w:rFonts w:ascii="Times New Roman" w:hAnsi="Times New Roman"/>
                <w:color w:val="auto"/>
                <w:kern w:val="2"/>
                <w:sz w:val="21"/>
                <w:szCs w:val="21"/>
              </w:rPr>
            </w:pPr>
            <w:r>
              <w:rPr>
                <w:rFonts w:ascii="Times New Roman" w:hAnsi="Times New Roman"/>
                <w:color w:val="auto"/>
                <w:kern w:val="2"/>
                <w:sz w:val="21"/>
                <w:szCs w:val="21"/>
              </w:rPr>
              <w:t>响和</w:t>
            </w:r>
          </w:p>
          <w:p w14:paraId="7F3CB86D">
            <w:pPr>
              <w:pStyle w:val="30"/>
              <w:adjustRightInd w:val="0"/>
              <w:snapToGrid w:val="0"/>
              <w:spacing w:before="0" w:beforeAutospacing="0" w:after="0" w:afterAutospacing="0"/>
              <w:jc w:val="center"/>
              <w:rPr>
                <w:rFonts w:ascii="Times New Roman" w:hAnsi="Times New Roman"/>
                <w:color w:val="auto"/>
                <w:kern w:val="2"/>
                <w:sz w:val="21"/>
                <w:szCs w:val="21"/>
              </w:rPr>
            </w:pPr>
            <w:r>
              <w:rPr>
                <w:rFonts w:ascii="Times New Roman" w:hAnsi="Times New Roman"/>
                <w:color w:val="auto"/>
                <w:kern w:val="2"/>
                <w:sz w:val="21"/>
                <w:szCs w:val="21"/>
              </w:rPr>
              <w:t>保护</w:t>
            </w:r>
          </w:p>
          <w:p w14:paraId="5FD023F7">
            <w:pPr>
              <w:pStyle w:val="30"/>
              <w:adjustRightInd w:val="0"/>
              <w:snapToGrid w:val="0"/>
              <w:spacing w:before="0" w:beforeAutospacing="0" w:after="0" w:afterAutospacing="0"/>
              <w:jc w:val="center"/>
              <w:rPr>
                <w:rFonts w:ascii="Times New Roman" w:hAnsi="Times New Roman"/>
                <w:bCs/>
                <w:color w:val="auto"/>
                <w:kern w:val="2"/>
                <w:sz w:val="21"/>
                <w:szCs w:val="21"/>
              </w:rPr>
            </w:pPr>
            <w:r>
              <w:rPr>
                <w:rFonts w:ascii="Times New Roman" w:hAnsi="Times New Roman"/>
                <w:color w:val="auto"/>
                <w:kern w:val="2"/>
                <w:sz w:val="21"/>
                <w:szCs w:val="21"/>
              </w:rPr>
              <w:t>措施</w:t>
            </w:r>
          </w:p>
        </w:tc>
        <w:tc>
          <w:tcPr>
            <w:tcW w:w="8244" w:type="dxa"/>
            <w:noWrap/>
            <w:vAlign w:val="center"/>
          </w:tcPr>
          <w:p w14:paraId="4DAA6233">
            <w:pPr>
              <w:pStyle w:val="122"/>
              <w:spacing w:beforeLines="50"/>
              <w:rPr>
                <w:color w:val="auto"/>
              </w:rPr>
            </w:pPr>
            <w:r>
              <w:rPr>
                <w:rFonts w:hint="eastAsia"/>
                <w:color w:val="auto"/>
              </w:rPr>
              <w:t>1、废气</w:t>
            </w:r>
          </w:p>
          <w:p w14:paraId="5570C3FC">
            <w:pPr>
              <w:pStyle w:val="116"/>
              <w:ind w:firstLine="420"/>
              <w:rPr>
                <w:color w:val="auto"/>
                <w:highlight w:val="none"/>
              </w:rPr>
            </w:pPr>
            <w:r>
              <w:rPr>
                <w:rFonts w:hint="eastAsia"/>
                <w:color w:val="auto"/>
                <w:highlight w:val="none"/>
              </w:rPr>
              <w:t>根据工程分析，</w:t>
            </w:r>
            <w:r>
              <w:rPr>
                <w:rFonts w:hint="eastAsia"/>
                <w:color w:val="auto"/>
                <w:highlight w:val="none"/>
                <w:lang w:eastAsia="zh-CN"/>
              </w:rPr>
              <w:t>本项目产生的废气</w:t>
            </w:r>
            <w:r>
              <w:rPr>
                <w:rFonts w:hint="eastAsia"/>
                <w:color w:val="auto"/>
                <w:highlight w:val="none"/>
              </w:rPr>
              <w:t>主要为</w:t>
            </w:r>
            <w:r>
              <w:rPr>
                <w:rFonts w:hint="default" w:ascii="Times New Roman" w:hAnsi="Times New Roman" w:cs="Times New Roman"/>
                <w:color w:val="auto"/>
                <w:spacing w:val="-2"/>
                <w:sz w:val="21"/>
                <w:szCs w:val="21"/>
                <w:highlight w:val="none"/>
              </w:rPr>
              <w:t>钢球生产</w:t>
            </w:r>
            <w:r>
              <w:rPr>
                <w:rFonts w:hint="eastAsia" w:ascii="Times New Roman" w:hAnsi="Times New Roman" w:cs="Times New Roman"/>
                <w:color w:val="auto"/>
                <w:spacing w:val="-2"/>
                <w:sz w:val="21"/>
                <w:szCs w:val="21"/>
                <w:highlight w:val="none"/>
                <w:lang w:val="en-US" w:eastAsia="zh-CN"/>
              </w:rPr>
              <w:t>线</w:t>
            </w:r>
            <w:r>
              <w:rPr>
                <w:rFonts w:hint="eastAsia" w:ascii="Times New Roman" w:hAnsi="Times New Roman" w:eastAsia="宋体" w:cs="Times New Roman"/>
                <w:color w:val="auto"/>
                <w:spacing w:val="-3"/>
                <w:sz w:val="21"/>
                <w:szCs w:val="21"/>
                <w:highlight w:val="none"/>
                <w:lang w:val="en-US" w:eastAsia="zh-CN"/>
              </w:rPr>
              <w:t>燃气回火炉、燃气环形炉，</w:t>
            </w:r>
            <w:r>
              <w:rPr>
                <w:rFonts w:hint="default" w:ascii="Times New Roman" w:hAnsi="Times New Roman" w:cs="Times New Roman"/>
                <w:color w:val="auto"/>
                <w:spacing w:val="-2"/>
                <w:sz w:val="21"/>
                <w:szCs w:val="21"/>
                <w:highlight w:val="none"/>
              </w:rPr>
              <w:t>自由锻</w:t>
            </w:r>
            <w:r>
              <w:rPr>
                <w:rFonts w:hint="eastAsia" w:ascii="Times New Roman" w:hAnsi="Times New Roman" w:cs="Times New Roman"/>
                <w:color w:val="auto"/>
                <w:spacing w:val="-2"/>
                <w:sz w:val="21"/>
                <w:szCs w:val="21"/>
                <w:highlight w:val="none"/>
                <w:lang w:val="en-US" w:eastAsia="zh-CN"/>
              </w:rPr>
              <w:t>生产线</w:t>
            </w:r>
            <w:r>
              <w:rPr>
                <w:rFonts w:hint="eastAsia" w:ascii="Times New Roman" w:hAnsi="Times New Roman" w:eastAsia="宋体" w:cs="Times New Roman"/>
                <w:color w:val="auto"/>
                <w:spacing w:val="-3"/>
                <w:sz w:val="21"/>
                <w:szCs w:val="21"/>
                <w:highlight w:val="none"/>
                <w:lang w:val="en-US" w:eastAsia="zh-CN"/>
              </w:rPr>
              <w:t>燃气加热炉、燃气回火炉，</w:t>
            </w:r>
            <w:r>
              <w:rPr>
                <w:rFonts w:hint="default" w:ascii="Times New Roman" w:hAnsi="Times New Roman" w:eastAsia="宋体" w:cs="Times New Roman"/>
                <w:color w:val="auto"/>
                <w:spacing w:val="-2"/>
                <w:sz w:val="21"/>
                <w:szCs w:val="21"/>
                <w:highlight w:val="none"/>
              </w:rPr>
              <w:t>燃烧</w:t>
            </w:r>
            <w:r>
              <w:rPr>
                <w:rFonts w:hint="default" w:ascii="Times New Roman" w:hAnsi="Times New Roman" w:eastAsia="宋体" w:cs="Times New Roman"/>
                <w:color w:val="auto"/>
                <w:spacing w:val="-2"/>
                <w:sz w:val="21"/>
                <w:szCs w:val="21"/>
                <w:highlight w:val="none"/>
                <w:lang w:val="en-US" w:eastAsia="zh-CN"/>
              </w:rPr>
              <w:t>天然气</w:t>
            </w:r>
            <w:r>
              <w:rPr>
                <w:rFonts w:hint="default" w:ascii="Times New Roman" w:hAnsi="Times New Roman" w:eastAsia="宋体" w:cs="Times New Roman"/>
                <w:color w:val="auto"/>
                <w:spacing w:val="-3"/>
                <w:sz w:val="21"/>
                <w:szCs w:val="21"/>
                <w:highlight w:val="none"/>
              </w:rPr>
              <w:t>产生</w:t>
            </w:r>
            <w:r>
              <w:rPr>
                <w:rFonts w:hint="eastAsia" w:cs="Times New Roman"/>
                <w:color w:val="auto"/>
                <w:spacing w:val="-3"/>
                <w:sz w:val="21"/>
                <w:szCs w:val="21"/>
                <w:highlight w:val="none"/>
                <w:lang w:val="en-US" w:eastAsia="zh-CN"/>
              </w:rPr>
              <w:t>的</w:t>
            </w:r>
            <w:r>
              <w:rPr>
                <w:rFonts w:hint="default" w:ascii="Times New Roman" w:hAnsi="Times New Roman" w:eastAsia="宋体" w:cs="Times New Roman"/>
                <w:color w:val="auto"/>
                <w:spacing w:val="-3"/>
                <w:sz w:val="21"/>
                <w:szCs w:val="21"/>
                <w:highlight w:val="none"/>
              </w:rPr>
              <w:t>废气</w:t>
            </w:r>
            <w:r>
              <w:rPr>
                <w:rFonts w:hint="eastAsia" w:cs="Times New Roman"/>
                <w:color w:val="auto"/>
                <w:spacing w:val="-3"/>
                <w:sz w:val="21"/>
                <w:szCs w:val="21"/>
                <w:highlight w:val="none"/>
                <w:lang w:eastAsia="zh-CN"/>
              </w:rPr>
              <w:t>，</w:t>
            </w:r>
            <w:r>
              <w:rPr>
                <w:rFonts w:hint="eastAsia" w:ascii="Times New Roman" w:hAnsi="Times New Roman" w:cs="Times New Roman"/>
                <w:color w:val="auto"/>
                <w:spacing w:val="-2"/>
                <w:sz w:val="21"/>
                <w:szCs w:val="21"/>
                <w:highlight w:val="none"/>
                <w:lang w:val="en-US" w:eastAsia="zh-CN"/>
              </w:rPr>
              <w:t>以及</w:t>
            </w:r>
            <w:r>
              <w:rPr>
                <w:rFonts w:hint="eastAsia"/>
                <w:color w:val="auto"/>
                <w:highlight w:val="none"/>
              </w:rPr>
              <w:t>抛丸工序产生的粉尘。</w:t>
            </w:r>
          </w:p>
          <w:p w14:paraId="79C30565">
            <w:pPr>
              <w:pStyle w:val="119"/>
              <w:rPr>
                <w:rFonts w:cs="宋体"/>
                <w:color w:val="auto"/>
                <w:highlight w:val="none"/>
              </w:rPr>
            </w:pPr>
            <w:r>
              <w:rPr>
                <w:rFonts w:hint="eastAsia" w:cs="宋体"/>
                <w:color w:val="auto"/>
                <w:highlight w:val="none"/>
              </w:rPr>
              <w:t>1</w:t>
            </w:r>
            <w:r>
              <w:rPr>
                <w:rFonts w:cs="宋体"/>
                <w:color w:val="auto"/>
                <w:highlight w:val="none"/>
              </w:rPr>
              <w:t>.1</w:t>
            </w:r>
            <w:r>
              <w:rPr>
                <w:rFonts w:hint="eastAsia" w:cs="宋体"/>
                <w:color w:val="auto"/>
                <w:highlight w:val="none"/>
              </w:rPr>
              <w:t>废气产生情况</w:t>
            </w:r>
          </w:p>
          <w:p w14:paraId="283261C4">
            <w:pPr>
              <w:pStyle w:val="116"/>
              <w:ind w:firstLine="420"/>
              <w:rPr>
                <w:color w:val="auto"/>
                <w:highlight w:val="none"/>
              </w:rPr>
            </w:pPr>
            <w:r>
              <w:rPr>
                <w:rFonts w:hint="eastAsia"/>
                <w:color w:val="auto"/>
                <w:highlight w:val="none"/>
                <w:lang w:eastAsia="zh-CN"/>
              </w:rPr>
              <w:t>本项目产生的废气</w:t>
            </w:r>
            <w:r>
              <w:rPr>
                <w:rFonts w:hint="eastAsia"/>
                <w:color w:val="auto"/>
                <w:highlight w:val="none"/>
              </w:rPr>
              <w:t>产生情况见</w:t>
            </w:r>
            <w:r>
              <w:rPr>
                <w:color w:val="auto"/>
                <w:highlight w:val="none"/>
              </w:rPr>
              <w:fldChar w:fldCharType="begin"/>
            </w:r>
            <w:r>
              <w:rPr>
                <w:color w:val="auto"/>
                <w:highlight w:val="none"/>
              </w:rPr>
              <w:instrText xml:space="preserve"> REF _Ref133413477 \h  \* MERGEFORMAT </w:instrText>
            </w:r>
            <w:r>
              <w:rPr>
                <w:color w:val="auto"/>
                <w:highlight w:val="none"/>
              </w:rPr>
              <w:fldChar w:fldCharType="separate"/>
            </w:r>
            <w:r>
              <w:rPr>
                <w:rFonts w:hint="eastAsia"/>
                <w:color w:val="auto"/>
                <w:highlight w:val="none"/>
              </w:rPr>
              <w:t>表4</w:t>
            </w:r>
            <w:r>
              <w:rPr>
                <w:rFonts w:hint="eastAsia"/>
                <w:color w:val="auto"/>
                <w:highlight w:val="none"/>
                <w:lang w:eastAsia="zh-CN"/>
              </w:rPr>
              <w:t>-</w:t>
            </w:r>
            <w:r>
              <w:rPr>
                <w:color w:val="auto"/>
                <w:highlight w:val="none"/>
              </w:rPr>
              <w:t>1</w:t>
            </w:r>
            <w:r>
              <w:rPr>
                <w:color w:val="auto"/>
                <w:highlight w:val="none"/>
              </w:rPr>
              <w:fldChar w:fldCharType="end"/>
            </w:r>
            <w:r>
              <w:rPr>
                <w:rFonts w:hint="eastAsia"/>
                <w:color w:val="auto"/>
                <w:highlight w:val="none"/>
              </w:rPr>
              <w:t>。</w:t>
            </w:r>
          </w:p>
          <w:p w14:paraId="5AC67FBB">
            <w:pPr>
              <w:pStyle w:val="10"/>
              <w:rPr>
                <w:bCs/>
                <w:color w:val="auto"/>
                <w:highlight w:val="none"/>
              </w:rPr>
            </w:pPr>
            <w:bookmarkStart w:id="22" w:name="_Ref133413477"/>
            <w:r>
              <w:rPr>
                <w:rFonts w:hint="eastAsia"/>
                <w:color w:val="auto"/>
                <w:highlight w:val="none"/>
              </w:rPr>
              <w:t>表4</w:t>
            </w:r>
            <w:r>
              <w:rPr>
                <w:rFonts w:hint="eastAsia"/>
                <w:color w:val="auto"/>
                <w:highlight w:val="none"/>
                <w:lang w:eastAsia="zh-CN"/>
              </w:rPr>
              <w:t>-</w:t>
            </w:r>
            <w:r>
              <w:rPr>
                <w:color w:val="auto"/>
                <w:highlight w:val="none"/>
              </w:rPr>
              <w:fldChar w:fldCharType="begin"/>
            </w:r>
            <w:r>
              <w:rPr>
                <w:color w:val="auto"/>
                <w:highlight w:val="none"/>
              </w:rPr>
              <w:instrText xml:space="preserve"> </w:instrText>
            </w:r>
            <w:r>
              <w:rPr>
                <w:rFonts w:hint="eastAsia"/>
                <w:color w:val="auto"/>
                <w:highlight w:val="none"/>
              </w:rPr>
              <w:instrText xml:space="preserve">SEQ 表4- \* ARABIC</w:instrText>
            </w:r>
            <w:r>
              <w:rPr>
                <w:color w:val="auto"/>
                <w:highlight w:val="none"/>
              </w:rPr>
              <w:instrText xml:space="preserve"> </w:instrText>
            </w:r>
            <w:r>
              <w:rPr>
                <w:color w:val="auto"/>
                <w:highlight w:val="none"/>
              </w:rPr>
              <w:fldChar w:fldCharType="separate"/>
            </w:r>
            <w:r>
              <w:rPr>
                <w:color w:val="auto"/>
                <w:highlight w:val="none"/>
              </w:rPr>
              <w:t>1</w:t>
            </w:r>
            <w:r>
              <w:rPr>
                <w:color w:val="auto"/>
                <w:highlight w:val="none"/>
              </w:rPr>
              <w:fldChar w:fldCharType="end"/>
            </w:r>
            <w:bookmarkEnd w:id="22"/>
            <w:r>
              <w:rPr>
                <w:rFonts w:hint="eastAsia"/>
                <w:bCs/>
                <w:color w:val="auto"/>
                <w:highlight w:val="none"/>
              </w:rPr>
              <w:t>本项目废气产生情况一览表</w:t>
            </w:r>
          </w:p>
          <w:tbl>
            <w:tblPr>
              <w:tblStyle w:val="33"/>
              <w:tblW w:w="8090"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0"/>
              <w:gridCol w:w="996"/>
              <w:gridCol w:w="1173"/>
              <w:gridCol w:w="1002"/>
              <w:gridCol w:w="1105"/>
              <w:gridCol w:w="1265"/>
              <w:gridCol w:w="1022"/>
              <w:gridCol w:w="787"/>
            </w:tblGrid>
            <w:tr w14:paraId="269E31B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740" w:type="dxa"/>
                  <w:vAlign w:val="center"/>
                </w:tcPr>
                <w:p w14:paraId="769615BE">
                  <w:pPr>
                    <w:adjustRightInd w:val="0"/>
                    <w:snapToGrid w:val="0"/>
                    <w:jc w:val="center"/>
                    <w:rPr>
                      <w:rFonts w:cs="宋体"/>
                      <w:bCs/>
                      <w:color w:val="auto"/>
                      <w:spacing w:val="-10"/>
                      <w:szCs w:val="21"/>
                      <w:highlight w:val="none"/>
                    </w:rPr>
                  </w:pPr>
                  <w:r>
                    <w:rPr>
                      <w:rFonts w:cs="宋体"/>
                      <w:bCs/>
                      <w:color w:val="auto"/>
                      <w:spacing w:val="-10"/>
                      <w:szCs w:val="21"/>
                      <w:highlight w:val="none"/>
                    </w:rPr>
                    <w:t>类型</w:t>
                  </w:r>
                </w:p>
              </w:tc>
              <w:tc>
                <w:tcPr>
                  <w:tcW w:w="2169" w:type="dxa"/>
                  <w:gridSpan w:val="2"/>
                  <w:vAlign w:val="center"/>
                </w:tcPr>
                <w:p w14:paraId="25358C47">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产污环节</w:t>
                  </w:r>
                </w:p>
              </w:tc>
              <w:tc>
                <w:tcPr>
                  <w:tcW w:w="1002" w:type="dxa"/>
                  <w:vAlign w:val="center"/>
                </w:tcPr>
                <w:p w14:paraId="4BD39ADB">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污染物</w:t>
                  </w:r>
                </w:p>
                <w:p w14:paraId="263D5A49">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种类</w:t>
                  </w:r>
                </w:p>
              </w:tc>
              <w:tc>
                <w:tcPr>
                  <w:tcW w:w="1105" w:type="dxa"/>
                  <w:shd w:val="clear" w:color="auto" w:fill="auto"/>
                  <w:vAlign w:val="center"/>
                </w:tcPr>
                <w:p w14:paraId="0E832874">
                  <w:pPr>
                    <w:adjustRightInd w:val="0"/>
                    <w:snapToGrid w:val="0"/>
                    <w:jc w:val="center"/>
                    <w:rPr>
                      <w:rFonts w:ascii="Times New Roman" w:hAnsi="Times New Roman" w:eastAsia="宋体" w:cs="宋体"/>
                      <w:bCs/>
                      <w:color w:val="auto"/>
                      <w:spacing w:val="-10"/>
                      <w:kern w:val="2"/>
                      <w:sz w:val="21"/>
                      <w:szCs w:val="21"/>
                      <w:highlight w:val="none"/>
                      <w:lang w:val="en-US" w:eastAsia="zh-CN" w:bidi="ar-SA"/>
                    </w:rPr>
                  </w:pPr>
                  <w:r>
                    <w:rPr>
                      <w:rFonts w:hint="eastAsia" w:cs="宋体"/>
                      <w:bCs/>
                      <w:color w:val="auto"/>
                      <w:spacing w:val="-10"/>
                      <w:szCs w:val="21"/>
                      <w:highlight w:val="none"/>
                    </w:rPr>
                    <w:t>产生浓度/（mg/m</w:t>
                  </w:r>
                  <w:r>
                    <w:rPr>
                      <w:rFonts w:hint="eastAsia" w:cs="宋体"/>
                      <w:bCs/>
                      <w:color w:val="auto"/>
                      <w:spacing w:val="-10"/>
                      <w:szCs w:val="21"/>
                      <w:highlight w:val="none"/>
                      <w:vertAlign w:val="superscript"/>
                    </w:rPr>
                    <w:t>3</w:t>
                  </w:r>
                  <w:r>
                    <w:rPr>
                      <w:rFonts w:hint="eastAsia" w:cs="宋体"/>
                      <w:bCs/>
                      <w:color w:val="auto"/>
                      <w:spacing w:val="-10"/>
                      <w:szCs w:val="21"/>
                      <w:highlight w:val="none"/>
                    </w:rPr>
                    <w:t>）</w:t>
                  </w:r>
                </w:p>
              </w:tc>
              <w:tc>
                <w:tcPr>
                  <w:tcW w:w="1265" w:type="dxa"/>
                  <w:shd w:val="clear" w:color="auto" w:fill="auto"/>
                  <w:vAlign w:val="center"/>
                </w:tcPr>
                <w:p w14:paraId="118E89FB">
                  <w:pPr>
                    <w:adjustRightInd w:val="0"/>
                    <w:snapToGrid w:val="0"/>
                    <w:jc w:val="center"/>
                    <w:rPr>
                      <w:rFonts w:ascii="Times New Roman" w:hAnsi="Times New Roman" w:eastAsia="宋体" w:cs="宋体"/>
                      <w:bCs/>
                      <w:color w:val="auto"/>
                      <w:spacing w:val="-10"/>
                      <w:kern w:val="2"/>
                      <w:sz w:val="21"/>
                      <w:szCs w:val="21"/>
                      <w:highlight w:val="none"/>
                      <w:lang w:val="en-US" w:eastAsia="zh-CN" w:bidi="ar-SA"/>
                    </w:rPr>
                  </w:pPr>
                  <w:r>
                    <w:rPr>
                      <w:rFonts w:hint="eastAsia" w:cs="宋体"/>
                      <w:bCs/>
                      <w:color w:val="auto"/>
                      <w:spacing w:val="-10"/>
                      <w:szCs w:val="21"/>
                      <w:highlight w:val="none"/>
                    </w:rPr>
                    <w:t>产生速率/（kg/h）</w:t>
                  </w:r>
                </w:p>
              </w:tc>
              <w:tc>
                <w:tcPr>
                  <w:tcW w:w="1022" w:type="dxa"/>
                  <w:vAlign w:val="center"/>
                </w:tcPr>
                <w:p w14:paraId="542CE89C">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产生量/（t/a）</w:t>
                  </w:r>
                </w:p>
              </w:tc>
              <w:tc>
                <w:tcPr>
                  <w:tcW w:w="787" w:type="dxa"/>
                  <w:vAlign w:val="center"/>
                </w:tcPr>
                <w:p w14:paraId="2C516328">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对应</w:t>
                  </w:r>
                </w:p>
                <w:p w14:paraId="092E094F">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排放口</w:t>
                  </w:r>
                </w:p>
              </w:tc>
            </w:tr>
            <w:tr w14:paraId="0F410E3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740" w:type="dxa"/>
                  <w:vMerge w:val="restart"/>
                  <w:vAlign w:val="center"/>
                </w:tcPr>
                <w:p w14:paraId="3B58CEF3">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有组织</w:t>
                  </w:r>
                </w:p>
              </w:tc>
              <w:tc>
                <w:tcPr>
                  <w:tcW w:w="996" w:type="dxa"/>
                  <w:vMerge w:val="restart"/>
                  <w:vAlign w:val="center"/>
                </w:tcPr>
                <w:p w14:paraId="47393C66">
                  <w:pPr>
                    <w:adjustRightInd w:val="0"/>
                    <w:snapToGrid w:val="0"/>
                    <w:jc w:val="center"/>
                    <w:rPr>
                      <w:rFonts w:cs="宋体"/>
                      <w:bCs/>
                      <w:color w:val="auto"/>
                      <w:spacing w:val="-10"/>
                      <w:szCs w:val="21"/>
                      <w:highlight w:val="none"/>
                    </w:rPr>
                  </w:pPr>
                  <w:r>
                    <w:rPr>
                      <w:rFonts w:hint="eastAsia"/>
                      <w:color w:val="auto"/>
                      <w:szCs w:val="21"/>
                      <w:highlight w:val="none"/>
                    </w:rPr>
                    <w:t>自由锻与热处理车间</w:t>
                  </w:r>
                </w:p>
              </w:tc>
              <w:tc>
                <w:tcPr>
                  <w:tcW w:w="1173" w:type="dxa"/>
                  <w:vMerge w:val="restart"/>
                  <w:shd w:val="clear" w:color="auto" w:fill="auto"/>
                  <w:vAlign w:val="center"/>
                </w:tcPr>
                <w:p w14:paraId="315F9EA1">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eastAsiaTheme="minorEastAsia"/>
                      <w:color w:val="auto"/>
                      <w:szCs w:val="21"/>
                      <w:highlight w:val="none"/>
                      <w:lang w:val="en-US" w:eastAsia="zh-CN"/>
                    </w:rPr>
                    <w:t>轧球</w:t>
                  </w:r>
                  <w:r>
                    <w:rPr>
                      <w:rFonts w:hint="eastAsia" w:ascii="Times New Roman" w:hAnsi="Times New Roman" w:cs="Times New Roman" w:eastAsiaTheme="minorEastAsia"/>
                      <w:b w:val="0"/>
                      <w:bCs w:val="0"/>
                      <w:color w:val="auto"/>
                      <w:sz w:val="21"/>
                      <w:szCs w:val="21"/>
                      <w:highlight w:val="none"/>
                      <w:lang w:val="en-US" w:eastAsia="zh-CN"/>
                    </w:rPr>
                    <w:t>燃气</w:t>
                  </w:r>
                  <w:r>
                    <w:rPr>
                      <w:rFonts w:hint="eastAsia" w:ascii="Times New Roman" w:hAnsi="Times New Roman" w:cs="Times New Roman" w:eastAsiaTheme="minorEastAsia"/>
                      <w:color w:val="auto"/>
                      <w:szCs w:val="21"/>
                      <w:highlight w:val="none"/>
                      <w:lang w:val="en-US" w:eastAsia="zh-CN"/>
                    </w:rPr>
                    <w:t>回火炉</w:t>
                  </w:r>
                  <w:r>
                    <w:rPr>
                      <w:rFonts w:hint="eastAsia" w:cs="Times New Roman" w:eastAsiaTheme="minorEastAsia"/>
                      <w:color w:val="auto"/>
                      <w:szCs w:val="21"/>
                      <w:highlight w:val="none"/>
                      <w:lang w:val="en-US" w:eastAsia="zh-CN"/>
                    </w:rPr>
                    <w:t>1#</w:t>
                  </w:r>
                </w:p>
              </w:tc>
              <w:tc>
                <w:tcPr>
                  <w:tcW w:w="1002" w:type="dxa"/>
                  <w:vAlign w:val="center"/>
                </w:tcPr>
                <w:p w14:paraId="2A2CC2AF">
                  <w:pPr>
                    <w:keepNext w:val="0"/>
                    <w:keepLines w:val="0"/>
                    <w:widowControl/>
                    <w:suppressLineNumbers w:val="0"/>
                    <w:jc w:val="center"/>
                    <w:textAlignment w:val="center"/>
                    <w:rPr>
                      <w:rFonts w:cs="宋体"/>
                      <w:bCs/>
                      <w:color w:val="auto"/>
                      <w:spacing w:val="-10"/>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1105" w:type="dxa"/>
                  <w:shd w:val="clear" w:color="auto" w:fill="auto"/>
                  <w:vAlign w:val="center"/>
                </w:tcPr>
                <w:p w14:paraId="14601723">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1.7</w:t>
                  </w:r>
                </w:p>
              </w:tc>
              <w:tc>
                <w:tcPr>
                  <w:tcW w:w="1265" w:type="dxa"/>
                  <w:shd w:val="clear" w:color="auto" w:fill="auto"/>
                  <w:vAlign w:val="center"/>
                </w:tcPr>
                <w:p w14:paraId="63696A2A">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0.046</w:t>
                  </w:r>
                </w:p>
              </w:tc>
              <w:tc>
                <w:tcPr>
                  <w:tcW w:w="1022" w:type="dxa"/>
                  <w:shd w:val="clear" w:color="auto" w:fill="auto"/>
                  <w:vAlign w:val="center"/>
                </w:tcPr>
                <w:p w14:paraId="2A665FB4">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0.242</w:t>
                  </w:r>
                </w:p>
              </w:tc>
              <w:tc>
                <w:tcPr>
                  <w:tcW w:w="787" w:type="dxa"/>
                  <w:vMerge w:val="restart"/>
                  <w:vAlign w:val="center"/>
                </w:tcPr>
                <w:p w14:paraId="0CD55E33">
                  <w:pPr>
                    <w:adjustRightInd w:val="0"/>
                    <w:snapToGrid w:val="0"/>
                    <w:jc w:val="center"/>
                    <w:rPr>
                      <w:rFonts w:hint="eastAsia" w:eastAsia="宋体" w:cs="宋体"/>
                      <w:bCs/>
                      <w:color w:val="auto"/>
                      <w:spacing w:val="-10"/>
                      <w:szCs w:val="21"/>
                      <w:highlight w:val="none"/>
                      <w:lang w:eastAsia="zh-CN"/>
                    </w:rPr>
                  </w:pPr>
                  <w:r>
                    <w:rPr>
                      <w:rFonts w:cs="宋体"/>
                      <w:bCs/>
                      <w:color w:val="auto"/>
                      <w:spacing w:val="-10"/>
                      <w:szCs w:val="21"/>
                      <w:highlight w:val="none"/>
                    </w:rPr>
                    <w:t>DA00</w:t>
                  </w:r>
                  <w:r>
                    <w:rPr>
                      <w:rFonts w:hint="eastAsia" w:cs="宋体"/>
                      <w:bCs/>
                      <w:color w:val="auto"/>
                      <w:spacing w:val="-10"/>
                      <w:szCs w:val="21"/>
                      <w:highlight w:val="none"/>
                      <w:lang w:val="en-US" w:eastAsia="zh-CN"/>
                    </w:rPr>
                    <w:t>5</w:t>
                  </w:r>
                </w:p>
              </w:tc>
            </w:tr>
            <w:tr w14:paraId="2AAD4B3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740" w:type="dxa"/>
                  <w:vMerge w:val="continue"/>
                  <w:vAlign w:val="center"/>
                </w:tcPr>
                <w:p w14:paraId="1A090F74">
                  <w:pPr>
                    <w:adjustRightInd w:val="0"/>
                    <w:snapToGrid w:val="0"/>
                    <w:jc w:val="center"/>
                    <w:rPr>
                      <w:color w:val="auto"/>
                      <w:highlight w:val="none"/>
                    </w:rPr>
                  </w:pPr>
                </w:p>
              </w:tc>
              <w:tc>
                <w:tcPr>
                  <w:tcW w:w="996" w:type="dxa"/>
                  <w:vMerge w:val="continue"/>
                  <w:vAlign w:val="center"/>
                </w:tcPr>
                <w:p w14:paraId="11FFDC11">
                  <w:pPr>
                    <w:adjustRightInd w:val="0"/>
                    <w:snapToGrid w:val="0"/>
                    <w:jc w:val="center"/>
                    <w:rPr>
                      <w:color w:val="auto"/>
                      <w:highlight w:val="none"/>
                    </w:rPr>
                  </w:pPr>
                </w:p>
              </w:tc>
              <w:tc>
                <w:tcPr>
                  <w:tcW w:w="1173" w:type="dxa"/>
                  <w:vMerge w:val="continue"/>
                  <w:shd w:val="clear" w:color="auto" w:fill="auto"/>
                  <w:vAlign w:val="center"/>
                </w:tcPr>
                <w:p w14:paraId="724A36B2">
                  <w:pPr>
                    <w:adjustRightInd w:val="0"/>
                    <w:snapToGrid w:val="0"/>
                    <w:jc w:val="center"/>
                    <w:rPr>
                      <w:color w:val="auto"/>
                      <w:highlight w:val="none"/>
                    </w:rPr>
                  </w:pPr>
                </w:p>
              </w:tc>
              <w:tc>
                <w:tcPr>
                  <w:tcW w:w="1002" w:type="dxa"/>
                  <w:vAlign w:val="center"/>
                </w:tcPr>
                <w:p w14:paraId="71B7FF10">
                  <w:pPr>
                    <w:keepNext w:val="0"/>
                    <w:keepLines w:val="0"/>
                    <w:widowControl/>
                    <w:suppressLineNumbers w:val="0"/>
                    <w:jc w:val="center"/>
                    <w:textAlignment w:val="center"/>
                    <w:rPr>
                      <w:rFonts w:cs="宋体"/>
                      <w:bCs/>
                      <w:color w:val="auto"/>
                      <w:spacing w:val="-10"/>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SO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p>
              </w:tc>
              <w:tc>
                <w:tcPr>
                  <w:tcW w:w="1105" w:type="dxa"/>
                  <w:shd w:val="clear" w:color="auto" w:fill="auto"/>
                  <w:vAlign w:val="center"/>
                </w:tcPr>
                <w:p w14:paraId="1AD8C819">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0.2</w:t>
                  </w:r>
                </w:p>
              </w:tc>
              <w:tc>
                <w:tcPr>
                  <w:tcW w:w="1265" w:type="dxa"/>
                  <w:shd w:val="clear" w:color="auto" w:fill="auto"/>
                  <w:vAlign w:val="center"/>
                </w:tcPr>
                <w:p w14:paraId="2C633394">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0.006</w:t>
                  </w:r>
                </w:p>
              </w:tc>
              <w:tc>
                <w:tcPr>
                  <w:tcW w:w="1022" w:type="dxa"/>
                  <w:shd w:val="clear" w:color="auto" w:fill="auto"/>
                  <w:vAlign w:val="center"/>
                </w:tcPr>
                <w:p w14:paraId="5FB540C6">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0.034</w:t>
                  </w:r>
                </w:p>
              </w:tc>
              <w:tc>
                <w:tcPr>
                  <w:tcW w:w="787" w:type="dxa"/>
                  <w:vMerge w:val="continue"/>
                  <w:vAlign w:val="center"/>
                </w:tcPr>
                <w:p w14:paraId="2EE7FDB4">
                  <w:pPr>
                    <w:adjustRightInd w:val="0"/>
                    <w:snapToGrid w:val="0"/>
                    <w:jc w:val="center"/>
                    <w:rPr>
                      <w:rFonts w:cs="宋体"/>
                      <w:bCs/>
                      <w:color w:val="auto"/>
                      <w:spacing w:val="-10"/>
                      <w:szCs w:val="21"/>
                      <w:highlight w:val="none"/>
                    </w:rPr>
                  </w:pPr>
                </w:p>
              </w:tc>
            </w:tr>
            <w:tr w14:paraId="51026BF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0" w:type="dxa"/>
                  <w:vMerge w:val="continue"/>
                  <w:vAlign w:val="center"/>
                </w:tcPr>
                <w:p w14:paraId="5117BC58">
                  <w:pPr>
                    <w:adjustRightInd w:val="0"/>
                    <w:snapToGrid w:val="0"/>
                    <w:jc w:val="center"/>
                    <w:rPr>
                      <w:rFonts w:cs="宋体"/>
                      <w:bCs/>
                      <w:color w:val="auto"/>
                      <w:spacing w:val="-10"/>
                      <w:szCs w:val="21"/>
                      <w:highlight w:val="none"/>
                    </w:rPr>
                  </w:pPr>
                </w:p>
              </w:tc>
              <w:tc>
                <w:tcPr>
                  <w:tcW w:w="996" w:type="dxa"/>
                  <w:vMerge w:val="continue"/>
                  <w:vAlign w:val="center"/>
                </w:tcPr>
                <w:p w14:paraId="77788EF3">
                  <w:pPr>
                    <w:adjustRightInd w:val="0"/>
                    <w:snapToGrid w:val="0"/>
                    <w:jc w:val="center"/>
                    <w:rPr>
                      <w:rFonts w:cs="宋体"/>
                      <w:bCs/>
                      <w:color w:val="auto"/>
                      <w:spacing w:val="-10"/>
                      <w:szCs w:val="21"/>
                      <w:highlight w:val="none"/>
                    </w:rPr>
                  </w:pPr>
                </w:p>
              </w:tc>
              <w:tc>
                <w:tcPr>
                  <w:tcW w:w="1173" w:type="dxa"/>
                  <w:vMerge w:val="continue"/>
                  <w:shd w:val="clear" w:color="auto" w:fill="auto"/>
                  <w:vAlign w:val="center"/>
                </w:tcPr>
                <w:p w14:paraId="40EE106C">
                  <w:pPr>
                    <w:adjustRightInd w:val="0"/>
                    <w:snapToGrid w:val="0"/>
                    <w:jc w:val="center"/>
                    <w:rPr>
                      <w:rFonts w:cs="宋体"/>
                      <w:bCs/>
                      <w:color w:val="auto"/>
                      <w:spacing w:val="-10"/>
                      <w:szCs w:val="21"/>
                      <w:highlight w:val="none"/>
                    </w:rPr>
                  </w:pPr>
                </w:p>
              </w:tc>
              <w:tc>
                <w:tcPr>
                  <w:tcW w:w="1002" w:type="dxa"/>
                  <w:vAlign w:val="center"/>
                </w:tcPr>
                <w:p w14:paraId="1033B5F1">
                  <w:pPr>
                    <w:keepNext w:val="0"/>
                    <w:keepLines w:val="0"/>
                    <w:widowControl/>
                    <w:suppressLineNumbers w:val="0"/>
                    <w:jc w:val="center"/>
                    <w:textAlignment w:val="center"/>
                    <w:rPr>
                      <w:rFonts w:cs="宋体"/>
                      <w:bCs/>
                      <w:color w:val="auto"/>
                      <w:spacing w:val="-10"/>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NOx</w:t>
                  </w:r>
                </w:p>
              </w:tc>
              <w:tc>
                <w:tcPr>
                  <w:tcW w:w="1105" w:type="dxa"/>
                  <w:shd w:val="clear" w:color="auto" w:fill="auto"/>
                  <w:vAlign w:val="center"/>
                </w:tcPr>
                <w:p w14:paraId="5E5881F2">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11.3</w:t>
                  </w:r>
                </w:p>
              </w:tc>
              <w:tc>
                <w:tcPr>
                  <w:tcW w:w="1265" w:type="dxa"/>
                  <w:shd w:val="clear" w:color="auto" w:fill="auto"/>
                  <w:vAlign w:val="center"/>
                </w:tcPr>
                <w:p w14:paraId="6B7DFB85">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0.299</w:t>
                  </w:r>
                </w:p>
              </w:tc>
              <w:tc>
                <w:tcPr>
                  <w:tcW w:w="1022" w:type="dxa"/>
                  <w:shd w:val="clear" w:color="auto" w:fill="auto"/>
                  <w:vAlign w:val="center"/>
                </w:tcPr>
                <w:p w14:paraId="5926AFAA">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1.580</w:t>
                  </w:r>
                </w:p>
              </w:tc>
              <w:tc>
                <w:tcPr>
                  <w:tcW w:w="787" w:type="dxa"/>
                  <w:vMerge w:val="continue"/>
                  <w:vAlign w:val="center"/>
                </w:tcPr>
                <w:p w14:paraId="1082A3B0">
                  <w:pPr>
                    <w:adjustRightInd w:val="0"/>
                    <w:snapToGrid w:val="0"/>
                    <w:jc w:val="center"/>
                    <w:rPr>
                      <w:rFonts w:cs="宋体"/>
                      <w:bCs/>
                      <w:color w:val="auto"/>
                      <w:spacing w:val="-10"/>
                      <w:szCs w:val="21"/>
                      <w:highlight w:val="none"/>
                    </w:rPr>
                  </w:pPr>
                </w:p>
              </w:tc>
            </w:tr>
            <w:tr w14:paraId="58EB45B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740" w:type="dxa"/>
                  <w:vMerge w:val="continue"/>
                  <w:vAlign w:val="center"/>
                </w:tcPr>
                <w:p w14:paraId="4ECEAE0A">
                  <w:pPr>
                    <w:adjustRightInd w:val="0"/>
                    <w:snapToGrid w:val="0"/>
                    <w:jc w:val="center"/>
                    <w:rPr>
                      <w:color w:val="auto"/>
                      <w:highlight w:val="none"/>
                    </w:rPr>
                  </w:pPr>
                </w:p>
              </w:tc>
              <w:tc>
                <w:tcPr>
                  <w:tcW w:w="996" w:type="dxa"/>
                  <w:vMerge w:val="continue"/>
                  <w:vAlign w:val="center"/>
                </w:tcPr>
                <w:p w14:paraId="24D7F324">
                  <w:pPr>
                    <w:adjustRightInd w:val="0"/>
                    <w:snapToGrid w:val="0"/>
                    <w:jc w:val="center"/>
                    <w:rPr>
                      <w:rFonts w:hint="eastAsia" w:cs="宋体"/>
                      <w:bCs/>
                      <w:color w:val="auto"/>
                      <w:spacing w:val="-10"/>
                      <w:szCs w:val="21"/>
                      <w:highlight w:val="none"/>
                    </w:rPr>
                  </w:pPr>
                </w:p>
              </w:tc>
              <w:tc>
                <w:tcPr>
                  <w:tcW w:w="1173" w:type="dxa"/>
                  <w:vMerge w:val="restart"/>
                  <w:shd w:val="clear" w:color="auto" w:fill="auto"/>
                  <w:vAlign w:val="center"/>
                </w:tcPr>
                <w:p w14:paraId="7E934644">
                  <w:pPr>
                    <w:jc w:val="center"/>
                    <w:rPr>
                      <w:rFonts w:hint="eastAsia" w:ascii="Times New Roman" w:hAnsi="Times New Roman" w:cs="Times New Roman"/>
                      <w:color w:val="auto"/>
                      <w:sz w:val="21"/>
                      <w:szCs w:val="21"/>
                      <w:highlight w:val="none"/>
                      <w:lang w:eastAsia="zh-CN"/>
                    </w:rPr>
                  </w:pPr>
                  <w:r>
                    <w:rPr>
                      <w:rFonts w:hint="eastAsia" w:ascii="Times New Roman" w:hAnsi="Times New Roman" w:cs="Times New Roman" w:eastAsiaTheme="minorEastAsia"/>
                      <w:color w:val="auto"/>
                      <w:sz w:val="21"/>
                      <w:szCs w:val="21"/>
                      <w:highlight w:val="none"/>
                      <w:lang w:val="en-US" w:eastAsia="zh-CN"/>
                    </w:rPr>
                    <w:t>锻球</w:t>
                  </w:r>
                  <w:r>
                    <w:rPr>
                      <w:rFonts w:hint="eastAsia" w:ascii="Times New Roman" w:hAnsi="Times New Roman" w:cs="Times New Roman" w:eastAsiaTheme="minorEastAsia"/>
                      <w:b w:val="0"/>
                      <w:bCs w:val="0"/>
                      <w:color w:val="auto"/>
                      <w:sz w:val="21"/>
                      <w:szCs w:val="21"/>
                      <w:highlight w:val="none"/>
                      <w:lang w:val="en-US" w:eastAsia="zh-CN"/>
                    </w:rPr>
                    <w:t>燃气</w:t>
                  </w:r>
                  <w:r>
                    <w:rPr>
                      <w:rFonts w:hint="eastAsia" w:ascii="Times New Roman" w:hAnsi="Times New Roman" w:cs="Times New Roman" w:eastAsiaTheme="minorEastAsia"/>
                      <w:color w:val="auto"/>
                      <w:sz w:val="21"/>
                      <w:szCs w:val="21"/>
                      <w:highlight w:val="none"/>
                      <w:lang w:val="en-US" w:eastAsia="zh-CN"/>
                    </w:rPr>
                    <w:t>环形炉</w:t>
                  </w:r>
                </w:p>
              </w:tc>
              <w:tc>
                <w:tcPr>
                  <w:tcW w:w="1002" w:type="dxa"/>
                  <w:vAlign w:val="center"/>
                </w:tcPr>
                <w:p w14:paraId="0667B6B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1105" w:type="dxa"/>
                  <w:shd w:val="clear" w:color="auto" w:fill="auto"/>
                  <w:vAlign w:val="center"/>
                </w:tcPr>
                <w:p w14:paraId="4388D52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1.6</w:t>
                  </w:r>
                </w:p>
              </w:tc>
              <w:tc>
                <w:tcPr>
                  <w:tcW w:w="1265" w:type="dxa"/>
                  <w:shd w:val="clear" w:color="auto" w:fill="auto"/>
                  <w:vAlign w:val="center"/>
                </w:tcPr>
                <w:p w14:paraId="57C52E6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0.051</w:t>
                  </w:r>
                </w:p>
              </w:tc>
              <w:tc>
                <w:tcPr>
                  <w:tcW w:w="1022" w:type="dxa"/>
                  <w:shd w:val="clear" w:color="auto" w:fill="auto"/>
                  <w:vAlign w:val="center"/>
                </w:tcPr>
                <w:p w14:paraId="29B2E46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0.272</w:t>
                  </w:r>
                </w:p>
              </w:tc>
              <w:tc>
                <w:tcPr>
                  <w:tcW w:w="787" w:type="dxa"/>
                  <w:vMerge w:val="continue"/>
                  <w:vAlign w:val="center"/>
                </w:tcPr>
                <w:p w14:paraId="336DE0F0">
                  <w:pPr>
                    <w:adjustRightInd w:val="0"/>
                    <w:snapToGrid w:val="0"/>
                    <w:jc w:val="center"/>
                    <w:rPr>
                      <w:rFonts w:hint="eastAsia" w:eastAsia="宋体" w:cs="宋体"/>
                      <w:bCs/>
                      <w:color w:val="auto"/>
                      <w:spacing w:val="-10"/>
                      <w:szCs w:val="21"/>
                      <w:highlight w:val="none"/>
                      <w:lang w:eastAsia="zh-CN"/>
                    </w:rPr>
                  </w:pPr>
                </w:p>
              </w:tc>
            </w:tr>
            <w:tr w14:paraId="69D7501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740" w:type="dxa"/>
                  <w:vMerge w:val="continue"/>
                  <w:vAlign w:val="center"/>
                </w:tcPr>
                <w:p w14:paraId="39ACC838">
                  <w:pPr>
                    <w:adjustRightInd w:val="0"/>
                    <w:snapToGrid w:val="0"/>
                    <w:jc w:val="center"/>
                    <w:rPr>
                      <w:color w:val="auto"/>
                      <w:highlight w:val="none"/>
                    </w:rPr>
                  </w:pPr>
                </w:p>
              </w:tc>
              <w:tc>
                <w:tcPr>
                  <w:tcW w:w="996" w:type="dxa"/>
                  <w:vMerge w:val="continue"/>
                  <w:vAlign w:val="center"/>
                </w:tcPr>
                <w:p w14:paraId="62000825">
                  <w:pPr>
                    <w:adjustRightInd w:val="0"/>
                    <w:snapToGrid w:val="0"/>
                    <w:jc w:val="center"/>
                    <w:rPr>
                      <w:rFonts w:hint="eastAsia" w:cs="宋体"/>
                      <w:bCs/>
                      <w:color w:val="auto"/>
                      <w:spacing w:val="-10"/>
                      <w:szCs w:val="21"/>
                      <w:highlight w:val="none"/>
                    </w:rPr>
                  </w:pPr>
                </w:p>
              </w:tc>
              <w:tc>
                <w:tcPr>
                  <w:tcW w:w="1173" w:type="dxa"/>
                  <w:vMerge w:val="continue"/>
                  <w:shd w:val="clear" w:color="auto" w:fill="auto"/>
                  <w:vAlign w:val="center"/>
                </w:tcPr>
                <w:p w14:paraId="3AEDA0D7">
                  <w:pPr>
                    <w:wordWrap w:val="0"/>
                    <w:jc w:val="center"/>
                    <w:rPr>
                      <w:rFonts w:hint="eastAsia" w:ascii="Times New Roman" w:hAnsi="Times New Roman" w:cs="Times New Roman"/>
                      <w:color w:val="auto"/>
                      <w:sz w:val="21"/>
                      <w:szCs w:val="21"/>
                      <w:highlight w:val="none"/>
                      <w:lang w:eastAsia="zh-CN"/>
                    </w:rPr>
                  </w:pPr>
                </w:p>
              </w:tc>
              <w:tc>
                <w:tcPr>
                  <w:tcW w:w="1002" w:type="dxa"/>
                  <w:vAlign w:val="center"/>
                </w:tcPr>
                <w:p w14:paraId="038DAB4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SO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p>
              </w:tc>
              <w:tc>
                <w:tcPr>
                  <w:tcW w:w="1105" w:type="dxa"/>
                  <w:shd w:val="clear" w:color="auto" w:fill="auto"/>
                  <w:vAlign w:val="center"/>
                </w:tcPr>
                <w:p w14:paraId="6A1429F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0.2</w:t>
                  </w:r>
                </w:p>
              </w:tc>
              <w:tc>
                <w:tcPr>
                  <w:tcW w:w="1265" w:type="dxa"/>
                  <w:shd w:val="clear" w:color="auto" w:fill="auto"/>
                  <w:vAlign w:val="center"/>
                </w:tcPr>
                <w:p w14:paraId="6EA5F71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0.007</w:t>
                  </w:r>
                </w:p>
              </w:tc>
              <w:tc>
                <w:tcPr>
                  <w:tcW w:w="1022" w:type="dxa"/>
                  <w:shd w:val="clear" w:color="auto" w:fill="auto"/>
                  <w:vAlign w:val="center"/>
                </w:tcPr>
                <w:p w14:paraId="141FFA6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0.038</w:t>
                  </w:r>
                </w:p>
              </w:tc>
              <w:tc>
                <w:tcPr>
                  <w:tcW w:w="787" w:type="dxa"/>
                  <w:vMerge w:val="continue"/>
                  <w:vAlign w:val="center"/>
                </w:tcPr>
                <w:p w14:paraId="4FCE8936">
                  <w:pPr>
                    <w:adjustRightInd w:val="0"/>
                    <w:snapToGrid w:val="0"/>
                    <w:jc w:val="center"/>
                    <w:rPr>
                      <w:rFonts w:hint="eastAsia" w:eastAsia="宋体" w:cs="宋体"/>
                      <w:bCs/>
                      <w:color w:val="auto"/>
                      <w:spacing w:val="-10"/>
                      <w:szCs w:val="21"/>
                      <w:highlight w:val="none"/>
                      <w:lang w:eastAsia="zh-CN"/>
                    </w:rPr>
                  </w:pPr>
                </w:p>
              </w:tc>
            </w:tr>
            <w:tr w14:paraId="3E40AB2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740" w:type="dxa"/>
                  <w:vMerge w:val="continue"/>
                  <w:vAlign w:val="center"/>
                </w:tcPr>
                <w:p w14:paraId="34F659F0">
                  <w:pPr>
                    <w:adjustRightInd w:val="0"/>
                    <w:snapToGrid w:val="0"/>
                    <w:jc w:val="center"/>
                    <w:rPr>
                      <w:color w:val="auto"/>
                      <w:highlight w:val="none"/>
                    </w:rPr>
                  </w:pPr>
                </w:p>
              </w:tc>
              <w:tc>
                <w:tcPr>
                  <w:tcW w:w="996" w:type="dxa"/>
                  <w:vMerge w:val="continue"/>
                  <w:vAlign w:val="center"/>
                </w:tcPr>
                <w:p w14:paraId="3ECBDFE2">
                  <w:pPr>
                    <w:adjustRightInd w:val="0"/>
                    <w:snapToGrid w:val="0"/>
                    <w:jc w:val="center"/>
                    <w:rPr>
                      <w:rFonts w:hint="eastAsia" w:cs="宋体"/>
                      <w:bCs/>
                      <w:color w:val="auto"/>
                      <w:spacing w:val="-10"/>
                      <w:szCs w:val="21"/>
                      <w:highlight w:val="none"/>
                    </w:rPr>
                  </w:pPr>
                </w:p>
              </w:tc>
              <w:tc>
                <w:tcPr>
                  <w:tcW w:w="1173" w:type="dxa"/>
                  <w:vMerge w:val="continue"/>
                  <w:shd w:val="clear" w:color="auto" w:fill="auto"/>
                  <w:vAlign w:val="center"/>
                </w:tcPr>
                <w:p w14:paraId="7ADD76D4">
                  <w:pPr>
                    <w:wordWrap w:val="0"/>
                    <w:jc w:val="center"/>
                    <w:rPr>
                      <w:rFonts w:hint="eastAsia" w:ascii="Times New Roman" w:hAnsi="Times New Roman" w:cs="Times New Roman"/>
                      <w:color w:val="auto"/>
                      <w:sz w:val="21"/>
                      <w:szCs w:val="21"/>
                      <w:highlight w:val="none"/>
                      <w:lang w:eastAsia="zh-CN"/>
                    </w:rPr>
                  </w:pPr>
                </w:p>
              </w:tc>
              <w:tc>
                <w:tcPr>
                  <w:tcW w:w="1002" w:type="dxa"/>
                  <w:vAlign w:val="center"/>
                </w:tcPr>
                <w:p w14:paraId="0EA9B16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NOx</w:t>
                  </w:r>
                </w:p>
              </w:tc>
              <w:tc>
                <w:tcPr>
                  <w:tcW w:w="1105" w:type="dxa"/>
                  <w:shd w:val="clear" w:color="auto" w:fill="auto"/>
                  <w:vAlign w:val="center"/>
                </w:tcPr>
                <w:p w14:paraId="16853CF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10.5</w:t>
                  </w:r>
                </w:p>
              </w:tc>
              <w:tc>
                <w:tcPr>
                  <w:tcW w:w="1265" w:type="dxa"/>
                  <w:shd w:val="clear" w:color="auto" w:fill="auto"/>
                  <w:vAlign w:val="center"/>
                </w:tcPr>
                <w:p w14:paraId="5801842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0.337</w:t>
                  </w:r>
                </w:p>
              </w:tc>
              <w:tc>
                <w:tcPr>
                  <w:tcW w:w="1022" w:type="dxa"/>
                  <w:shd w:val="clear" w:color="auto" w:fill="auto"/>
                  <w:vAlign w:val="center"/>
                </w:tcPr>
                <w:p w14:paraId="27EC4D9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1.777</w:t>
                  </w:r>
                </w:p>
              </w:tc>
              <w:tc>
                <w:tcPr>
                  <w:tcW w:w="787" w:type="dxa"/>
                  <w:vMerge w:val="continue"/>
                  <w:vAlign w:val="center"/>
                </w:tcPr>
                <w:p w14:paraId="44359BF1">
                  <w:pPr>
                    <w:adjustRightInd w:val="0"/>
                    <w:snapToGrid w:val="0"/>
                    <w:jc w:val="center"/>
                    <w:rPr>
                      <w:rFonts w:hint="eastAsia" w:eastAsia="宋体" w:cs="宋体"/>
                      <w:bCs/>
                      <w:color w:val="auto"/>
                      <w:spacing w:val="-10"/>
                      <w:szCs w:val="21"/>
                      <w:highlight w:val="none"/>
                      <w:lang w:eastAsia="zh-CN"/>
                    </w:rPr>
                  </w:pPr>
                </w:p>
              </w:tc>
            </w:tr>
            <w:tr w14:paraId="23FBA4E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740" w:type="dxa"/>
                  <w:vMerge w:val="continue"/>
                  <w:vAlign w:val="center"/>
                </w:tcPr>
                <w:p w14:paraId="1382B988">
                  <w:pPr>
                    <w:adjustRightInd w:val="0"/>
                    <w:snapToGrid w:val="0"/>
                    <w:jc w:val="center"/>
                    <w:rPr>
                      <w:color w:val="auto"/>
                      <w:highlight w:val="none"/>
                    </w:rPr>
                  </w:pPr>
                </w:p>
              </w:tc>
              <w:tc>
                <w:tcPr>
                  <w:tcW w:w="996" w:type="dxa"/>
                  <w:vMerge w:val="continue"/>
                  <w:vAlign w:val="center"/>
                </w:tcPr>
                <w:p w14:paraId="3EB1B69D">
                  <w:pPr>
                    <w:adjustRightInd w:val="0"/>
                    <w:snapToGrid w:val="0"/>
                    <w:jc w:val="center"/>
                    <w:rPr>
                      <w:rFonts w:hint="eastAsia" w:cs="宋体"/>
                      <w:bCs/>
                      <w:color w:val="auto"/>
                      <w:spacing w:val="-10"/>
                      <w:szCs w:val="21"/>
                      <w:highlight w:val="none"/>
                    </w:rPr>
                  </w:pPr>
                </w:p>
              </w:tc>
              <w:tc>
                <w:tcPr>
                  <w:tcW w:w="1173" w:type="dxa"/>
                  <w:vMerge w:val="restart"/>
                  <w:shd w:val="clear" w:color="auto" w:fill="auto"/>
                  <w:vAlign w:val="center"/>
                </w:tcPr>
                <w:p w14:paraId="74556B27">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eastAsiaTheme="minorEastAsia"/>
                      <w:color w:val="auto"/>
                      <w:sz w:val="21"/>
                      <w:szCs w:val="21"/>
                      <w:highlight w:val="none"/>
                      <w:lang w:val="en-US" w:eastAsia="zh-CN"/>
                    </w:rPr>
                    <w:t>锻球</w:t>
                  </w:r>
                  <w:r>
                    <w:rPr>
                      <w:rFonts w:hint="eastAsia" w:ascii="Times New Roman" w:hAnsi="Times New Roman" w:cs="Times New Roman" w:eastAsiaTheme="minorEastAsia"/>
                      <w:b w:val="0"/>
                      <w:bCs w:val="0"/>
                      <w:color w:val="auto"/>
                      <w:sz w:val="21"/>
                      <w:szCs w:val="21"/>
                      <w:highlight w:val="none"/>
                      <w:lang w:val="en-US" w:eastAsia="zh-CN"/>
                    </w:rPr>
                    <w:t>燃气</w:t>
                  </w:r>
                  <w:r>
                    <w:rPr>
                      <w:rFonts w:hint="eastAsia" w:ascii="Times New Roman" w:hAnsi="Times New Roman" w:cs="Times New Roman" w:eastAsiaTheme="minorEastAsia"/>
                      <w:color w:val="auto"/>
                      <w:szCs w:val="21"/>
                      <w:highlight w:val="none"/>
                      <w:lang w:val="en-US" w:eastAsia="zh-CN"/>
                    </w:rPr>
                    <w:t>回火炉</w:t>
                  </w:r>
                  <w:r>
                    <w:rPr>
                      <w:rFonts w:hint="eastAsia" w:cs="Times New Roman" w:eastAsiaTheme="minorEastAsia"/>
                      <w:color w:val="auto"/>
                      <w:szCs w:val="21"/>
                      <w:highlight w:val="none"/>
                      <w:lang w:val="en-US" w:eastAsia="zh-CN"/>
                    </w:rPr>
                    <w:t>2#</w:t>
                  </w:r>
                </w:p>
              </w:tc>
              <w:tc>
                <w:tcPr>
                  <w:tcW w:w="1002" w:type="dxa"/>
                  <w:vAlign w:val="center"/>
                </w:tcPr>
                <w:p w14:paraId="4C5D9A30">
                  <w:pPr>
                    <w:keepNext w:val="0"/>
                    <w:keepLines w:val="0"/>
                    <w:widowControl/>
                    <w:suppressLineNumbers w:val="0"/>
                    <w:jc w:val="center"/>
                    <w:textAlignment w:val="center"/>
                    <w:rPr>
                      <w:rFonts w:hint="eastAsia" w:cs="宋体"/>
                      <w:bCs/>
                      <w:color w:val="auto"/>
                      <w:spacing w:val="-10"/>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1105" w:type="dxa"/>
                  <w:shd w:val="clear" w:color="auto" w:fill="auto"/>
                  <w:vAlign w:val="center"/>
                </w:tcPr>
                <w:p w14:paraId="11E2DE9A">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0.2</w:t>
                  </w:r>
                </w:p>
              </w:tc>
              <w:tc>
                <w:tcPr>
                  <w:tcW w:w="1265" w:type="dxa"/>
                  <w:shd w:val="clear" w:color="auto" w:fill="auto"/>
                  <w:vAlign w:val="center"/>
                </w:tcPr>
                <w:p w14:paraId="1A7E548D">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0.011</w:t>
                  </w:r>
                </w:p>
              </w:tc>
              <w:tc>
                <w:tcPr>
                  <w:tcW w:w="1022" w:type="dxa"/>
                  <w:shd w:val="clear" w:color="auto" w:fill="auto"/>
                  <w:vAlign w:val="center"/>
                </w:tcPr>
                <w:p w14:paraId="10986473">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0.060</w:t>
                  </w:r>
                </w:p>
              </w:tc>
              <w:tc>
                <w:tcPr>
                  <w:tcW w:w="787" w:type="dxa"/>
                  <w:vMerge w:val="continue"/>
                  <w:vAlign w:val="center"/>
                </w:tcPr>
                <w:p w14:paraId="6A2DBEB7">
                  <w:pPr>
                    <w:adjustRightInd w:val="0"/>
                    <w:snapToGrid w:val="0"/>
                    <w:jc w:val="center"/>
                    <w:rPr>
                      <w:rFonts w:hint="eastAsia" w:eastAsia="宋体" w:cs="宋体"/>
                      <w:bCs/>
                      <w:color w:val="auto"/>
                      <w:spacing w:val="-10"/>
                      <w:szCs w:val="21"/>
                      <w:highlight w:val="none"/>
                      <w:lang w:eastAsia="zh-CN"/>
                    </w:rPr>
                  </w:pPr>
                </w:p>
              </w:tc>
            </w:tr>
            <w:tr w14:paraId="7EC7D8B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740" w:type="dxa"/>
                  <w:vMerge w:val="continue"/>
                  <w:vAlign w:val="center"/>
                </w:tcPr>
                <w:p w14:paraId="51B2CD84">
                  <w:pPr>
                    <w:adjustRightInd w:val="0"/>
                    <w:snapToGrid w:val="0"/>
                    <w:jc w:val="center"/>
                    <w:rPr>
                      <w:color w:val="auto"/>
                      <w:highlight w:val="none"/>
                    </w:rPr>
                  </w:pPr>
                </w:p>
              </w:tc>
              <w:tc>
                <w:tcPr>
                  <w:tcW w:w="996" w:type="dxa"/>
                  <w:vMerge w:val="continue"/>
                  <w:vAlign w:val="center"/>
                </w:tcPr>
                <w:p w14:paraId="68BF7573">
                  <w:pPr>
                    <w:adjustRightInd w:val="0"/>
                    <w:snapToGrid w:val="0"/>
                    <w:jc w:val="center"/>
                    <w:rPr>
                      <w:color w:val="auto"/>
                      <w:highlight w:val="none"/>
                    </w:rPr>
                  </w:pPr>
                </w:p>
              </w:tc>
              <w:tc>
                <w:tcPr>
                  <w:tcW w:w="1173" w:type="dxa"/>
                  <w:vMerge w:val="continue"/>
                  <w:shd w:val="clear" w:color="auto" w:fill="auto"/>
                  <w:vAlign w:val="center"/>
                </w:tcPr>
                <w:p w14:paraId="4D348381">
                  <w:pPr>
                    <w:adjustRightInd w:val="0"/>
                    <w:snapToGrid w:val="0"/>
                    <w:jc w:val="center"/>
                    <w:rPr>
                      <w:color w:val="auto"/>
                      <w:highlight w:val="none"/>
                    </w:rPr>
                  </w:pPr>
                </w:p>
              </w:tc>
              <w:tc>
                <w:tcPr>
                  <w:tcW w:w="1002" w:type="dxa"/>
                  <w:vAlign w:val="center"/>
                </w:tcPr>
                <w:p w14:paraId="4064C7D4">
                  <w:pPr>
                    <w:keepNext w:val="0"/>
                    <w:keepLines w:val="0"/>
                    <w:widowControl/>
                    <w:suppressLineNumbers w:val="0"/>
                    <w:jc w:val="center"/>
                    <w:textAlignment w:val="center"/>
                    <w:rPr>
                      <w:rFonts w:hint="eastAsia" w:cs="宋体"/>
                      <w:bCs/>
                      <w:color w:val="auto"/>
                      <w:spacing w:val="-10"/>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SO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p>
              </w:tc>
              <w:tc>
                <w:tcPr>
                  <w:tcW w:w="1105" w:type="dxa"/>
                  <w:shd w:val="clear" w:color="auto" w:fill="auto"/>
                  <w:vAlign w:val="center"/>
                </w:tcPr>
                <w:p w14:paraId="219512B9">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0.03</w:t>
                  </w:r>
                </w:p>
              </w:tc>
              <w:tc>
                <w:tcPr>
                  <w:tcW w:w="1265" w:type="dxa"/>
                  <w:shd w:val="clear" w:color="auto" w:fill="auto"/>
                  <w:vAlign w:val="center"/>
                </w:tcPr>
                <w:p w14:paraId="572A9F73">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0.002</w:t>
                  </w:r>
                </w:p>
              </w:tc>
              <w:tc>
                <w:tcPr>
                  <w:tcW w:w="1022" w:type="dxa"/>
                  <w:shd w:val="clear" w:color="auto" w:fill="auto"/>
                  <w:vAlign w:val="center"/>
                </w:tcPr>
                <w:p w14:paraId="12E317CB">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0.008</w:t>
                  </w:r>
                </w:p>
              </w:tc>
              <w:tc>
                <w:tcPr>
                  <w:tcW w:w="787" w:type="dxa"/>
                  <w:vMerge w:val="continue"/>
                  <w:vAlign w:val="center"/>
                </w:tcPr>
                <w:p w14:paraId="4AE0FDE9">
                  <w:pPr>
                    <w:adjustRightInd w:val="0"/>
                    <w:snapToGrid w:val="0"/>
                    <w:jc w:val="center"/>
                    <w:rPr>
                      <w:rFonts w:hint="eastAsia" w:cs="宋体"/>
                      <w:bCs/>
                      <w:color w:val="auto"/>
                      <w:spacing w:val="-10"/>
                      <w:szCs w:val="21"/>
                      <w:highlight w:val="none"/>
                    </w:rPr>
                  </w:pPr>
                </w:p>
              </w:tc>
            </w:tr>
            <w:tr w14:paraId="7DC9521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740" w:type="dxa"/>
                  <w:vMerge w:val="continue"/>
                  <w:vAlign w:val="center"/>
                </w:tcPr>
                <w:p w14:paraId="6179253A">
                  <w:pPr>
                    <w:adjustRightInd w:val="0"/>
                    <w:snapToGrid w:val="0"/>
                    <w:jc w:val="center"/>
                    <w:rPr>
                      <w:rFonts w:hint="eastAsia" w:cs="宋体"/>
                      <w:bCs/>
                      <w:color w:val="auto"/>
                      <w:spacing w:val="-10"/>
                      <w:szCs w:val="21"/>
                      <w:highlight w:val="none"/>
                    </w:rPr>
                  </w:pPr>
                </w:p>
              </w:tc>
              <w:tc>
                <w:tcPr>
                  <w:tcW w:w="996" w:type="dxa"/>
                  <w:vMerge w:val="continue"/>
                  <w:vAlign w:val="center"/>
                </w:tcPr>
                <w:p w14:paraId="22F0E8A7">
                  <w:pPr>
                    <w:adjustRightInd w:val="0"/>
                    <w:snapToGrid w:val="0"/>
                    <w:jc w:val="center"/>
                    <w:rPr>
                      <w:rFonts w:hint="eastAsia" w:cs="宋体"/>
                      <w:bCs/>
                      <w:color w:val="auto"/>
                      <w:spacing w:val="-10"/>
                      <w:szCs w:val="21"/>
                      <w:highlight w:val="none"/>
                    </w:rPr>
                  </w:pPr>
                </w:p>
              </w:tc>
              <w:tc>
                <w:tcPr>
                  <w:tcW w:w="1173" w:type="dxa"/>
                  <w:vMerge w:val="continue"/>
                  <w:shd w:val="clear" w:color="auto" w:fill="auto"/>
                  <w:vAlign w:val="center"/>
                </w:tcPr>
                <w:p w14:paraId="78E75C41">
                  <w:pPr>
                    <w:adjustRightInd w:val="0"/>
                    <w:snapToGrid w:val="0"/>
                    <w:jc w:val="center"/>
                    <w:rPr>
                      <w:rFonts w:hint="eastAsia" w:cs="宋体"/>
                      <w:bCs/>
                      <w:color w:val="auto"/>
                      <w:spacing w:val="-10"/>
                      <w:szCs w:val="21"/>
                      <w:highlight w:val="none"/>
                    </w:rPr>
                  </w:pPr>
                </w:p>
              </w:tc>
              <w:tc>
                <w:tcPr>
                  <w:tcW w:w="1002" w:type="dxa"/>
                  <w:vAlign w:val="center"/>
                </w:tcPr>
                <w:p w14:paraId="6B66606F">
                  <w:pPr>
                    <w:keepNext w:val="0"/>
                    <w:keepLines w:val="0"/>
                    <w:widowControl/>
                    <w:suppressLineNumbers w:val="0"/>
                    <w:jc w:val="center"/>
                    <w:textAlignment w:val="center"/>
                    <w:rPr>
                      <w:rFonts w:hint="eastAsia" w:cs="宋体"/>
                      <w:bCs/>
                      <w:color w:val="auto"/>
                      <w:spacing w:val="-10"/>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NOx</w:t>
                  </w:r>
                </w:p>
              </w:tc>
              <w:tc>
                <w:tcPr>
                  <w:tcW w:w="1105" w:type="dxa"/>
                  <w:shd w:val="clear" w:color="auto" w:fill="auto"/>
                  <w:vAlign w:val="center"/>
                </w:tcPr>
                <w:p w14:paraId="107616A5">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1.6</w:t>
                  </w:r>
                </w:p>
              </w:tc>
              <w:tc>
                <w:tcPr>
                  <w:tcW w:w="1265" w:type="dxa"/>
                  <w:shd w:val="clear" w:color="auto" w:fill="auto"/>
                  <w:vAlign w:val="center"/>
                </w:tcPr>
                <w:p w14:paraId="60F3A57C">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0.075</w:t>
                  </w:r>
                </w:p>
              </w:tc>
              <w:tc>
                <w:tcPr>
                  <w:tcW w:w="1022" w:type="dxa"/>
                  <w:shd w:val="clear" w:color="auto" w:fill="auto"/>
                  <w:vAlign w:val="center"/>
                </w:tcPr>
                <w:p w14:paraId="63B8729B">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0.395</w:t>
                  </w:r>
                </w:p>
              </w:tc>
              <w:tc>
                <w:tcPr>
                  <w:tcW w:w="787" w:type="dxa"/>
                  <w:vMerge w:val="continue"/>
                  <w:vAlign w:val="center"/>
                </w:tcPr>
                <w:p w14:paraId="1861A124">
                  <w:pPr>
                    <w:adjustRightInd w:val="0"/>
                    <w:snapToGrid w:val="0"/>
                    <w:jc w:val="center"/>
                    <w:rPr>
                      <w:rFonts w:hint="eastAsia" w:cs="宋体"/>
                      <w:bCs/>
                      <w:color w:val="auto"/>
                      <w:spacing w:val="-10"/>
                      <w:szCs w:val="21"/>
                      <w:highlight w:val="none"/>
                    </w:rPr>
                  </w:pPr>
                </w:p>
              </w:tc>
            </w:tr>
            <w:tr w14:paraId="49F8478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740" w:type="dxa"/>
                  <w:vMerge w:val="continue"/>
                  <w:vAlign w:val="center"/>
                </w:tcPr>
                <w:p w14:paraId="3B7BC689">
                  <w:pPr>
                    <w:adjustRightInd w:val="0"/>
                    <w:snapToGrid w:val="0"/>
                    <w:jc w:val="center"/>
                    <w:rPr>
                      <w:rFonts w:hint="eastAsia" w:cs="宋体"/>
                      <w:bCs/>
                      <w:color w:val="auto"/>
                      <w:spacing w:val="-10"/>
                      <w:szCs w:val="21"/>
                      <w:highlight w:val="none"/>
                    </w:rPr>
                  </w:pPr>
                </w:p>
              </w:tc>
              <w:tc>
                <w:tcPr>
                  <w:tcW w:w="996" w:type="dxa"/>
                  <w:vMerge w:val="continue"/>
                  <w:vAlign w:val="center"/>
                </w:tcPr>
                <w:p w14:paraId="7FADD7E4">
                  <w:pPr>
                    <w:adjustRightInd w:val="0"/>
                    <w:snapToGrid w:val="0"/>
                    <w:jc w:val="center"/>
                    <w:rPr>
                      <w:rFonts w:hint="eastAsia" w:cs="宋体"/>
                      <w:bCs/>
                      <w:color w:val="auto"/>
                      <w:spacing w:val="-10"/>
                      <w:szCs w:val="21"/>
                      <w:highlight w:val="none"/>
                    </w:rPr>
                  </w:pPr>
                </w:p>
              </w:tc>
              <w:tc>
                <w:tcPr>
                  <w:tcW w:w="1173" w:type="dxa"/>
                  <w:vMerge w:val="restart"/>
                  <w:shd w:val="clear" w:color="auto" w:fill="auto"/>
                  <w:vAlign w:val="center"/>
                </w:tcPr>
                <w:p w14:paraId="1092E008">
                  <w:pPr>
                    <w:snapToGrid w:val="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cs="Times New Roman" w:eastAsiaTheme="minorEastAsia"/>
                      <w:b w:val="0"/>
                      <w:bCs w:val="0"/>
                      <w:color w:val="auto"/>
                      <w:sz w:val="21"/>
                      <w:szCs w:val="21"/>
                      <w:highlight w:val="none"/>
                      <w:lang w:val="en-US" w:eastAsia="zh-CN"/>
                    </w:rPr>
                    <w:t>燃气</w:t>
                  </w:r>
                  <w:r>
                    <w:rPr>
                      <w:rFonts w:hint="eastAsia" w:cs="Times New Roman" w:eastAsiaTheme="minorEastAsia"/>
                      <w:b w:val="0"/>
                      <w:bCs w:val="0"/>
                      <w:color w:val="auto"/>
                      <w:sz w:val="21"/>
                      <w:szCs w:val="21"/>
                      <w:highlight w:val="none"/>
                      <w:lang w:val="en-US" w:eastAsia="zh-CN"/>
                    </w:rPr>
                    <w:t>加热</w:t>
                  </w:r>
                  <w:r>
                    <w:rPr>
                      <w:rFonts w:hint="eastAsia" w:ascii="Times New Roman" w:hAnsi="Times New Roman" w:cs="Times New Roman" w:eastAsiaTheme="minorEastAsia"/>
                      <w:b w:val="0"/>
                      <w:bCs w:val="0"/>
                      <w:color w:val="auto"/>
                      <w:sz w:val="21"/>
                      <w:szCs w:val="21"/>
                      <w:highlight w:val="none"/>
                      <w:lang w:val="en-US" w:eastAsia="zh-CN"/>
                    </w:rPr>
                    <w:t>炉</w:t>
                  </w:r>
                  <w:r>
                    <w:rPr>
                      <w:rFonts w:hint="eastAsia" w:cs="Times New Roman" w:eastAsiaTheme="minorEastAsia"/>
                      <w:b w:val="0"/>
                      <w:bCs w:val="0"/>
                      <w:color w:val="auto"/>
                      <w:szCs w:val="21"/>
                      <w:highlight w:val="none"/>
                      <w:lang w:val="en-US" w:eastAsia="zh-CN"/>
                    </w:rPr>
                    <w:t>1#</w:t>
                  </w:r>
                </w:p>
              </w:tc>
              <w:tc>
                <w:tcPr>
                  <w:tcW w:w="1002" w:type="dxa"/>
                  <w:vAlign w:val="center"/>
                </w:tcPr>
                <w:p w14:paraId="3060EAB4">
                  <w:pPr>
                    <w:keepNext w:val="0"/>
                    <w:keepLines w:val="0"/>
                    <w:widowControl/>
                    <w:suppressLineNumbers w:val="0"/>
                    <w:jc w:val="center"/>
                    <w:textAlignment w:val="center"/>
                    <w:rPr>
                      <w:rFonts w:hint="eastAsia" w:cs="宋体"/>
                      <w:bCs/>
                      <w:color w:val="auto"/>
                      <w:spacing w:val="-10"/>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1105" w:type="dxa"/>
                  <w:shd w:val="clear" w:color="auto" w:fill="auto"/>
                  <w:vAlign w:val="center"/>
                </w:tcPr>
                <w:p w14:paraId="0EA2F9BD">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10.2</w:t>
                  </w:r>
                </w:p>
              </w:tc>
              <w:tc>
                <w:tcPr>
                  <w:tcW w:w="1265" w:type="dxa"/>
                  <w:shd w:val="clear" w:color="auto" w:fill="auto"/>
                  <w:vAlign w:val="center"/>
                </w:tcPr>
                <w:p w14:paraId="78986640">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0.053</w:t>
                  </w:r>
                </w:p>
              </w:tc>
              <w:tc>
                <w:tcPr>
                  <w:tcW w:w="1022" w:type="dxa"/>
                  <w:shd w:val="clear" w:color="auto" w:fill="auto"/>
                  <w:vAlign w:val="center"/>
                </w:tcPr>
                <w:p w14:paraId="32AC1D0E">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0.140</w:t>
                  </w:r>
                </w:p>
              </w:tc>
              <w:tc>
                <w:tcPr>
                  <w:tcW w:w="787" w:type="dxa"/>
                  <w:vMerge w:val="restart"/>
                  <w:vAlign w:val="center"/>
                </w:tcPr>
                <w:p w14:paraId="5B2FB293">
                  <w:pPr>
                    <w:adjustRightInd w:val="0"/>
                    <w:snapToGrid w:val="0"/>
                    <w:jc w:val="center"/>
                    <w:rPr>
                      <w:rFonts w:hint="eastAsia" w:eastAsia="宋体" w:cs="宋体"/>
                      <w:bCs/>
                      <w:color w:val="auto"/>
                      <w:spacing w:val="-10"/>
                      <w:szCs w:val="21"/>
                      <w:highlight w:val="none"/>
                      <w:lang w:eastAsia="zh-CN"/>
                    </w:rPr>
                  </w:pPr>
                  <w:r>
                    <w:rPr>
                      <w:rFonts w:cs="宋体"/>
                      <w:bCs/>
                      <w:color w:val="auto"/>
                      <w:spacing w:val="-10"/>
                      <w:szCs w:val="21"/>
                      <w:highlight w:val="none"/>
                    </w:rPr>
                    <w:t>DA00</w:t>
                  </w:r>
                  <w:r>
                    <w:rPr>
                      <w:rFonts w:hint="eastAsia" w:cs="宋体"/>
                      <w:bCs/>
                      <w:color w:val="auto"/>
                      <w:spacing w:val="-10"/>
                      <w:szCs w:val="21"/>
                      <w:highlight w:val="none"/>
                      <w:lang w:val="en-US" w:eastAsia="zh-CN"/>
                    </w:rPr>
                    <w:t>6</w:t>
                  </w:r>
                </w:p>
              </w:tc>
            </w:tr>
            <w:tr w14:paraId="762EDD3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740" w:type="dxa"/>
                  <w:vMerge w:val="continue"/>
                  <w:vAlign w:val="center"/>
                </w:tcPr>
                <w:p w14:paraId="2529290B">
                  <w:pPr>
                    <w:adjustRightInd w:val="0"/>
                    <w:snapToGrid w:val="0"/>
                    <w:jc w:val="center"/>
                    <w:rPr>
                      <w:color w:val="auto"/>
                      <w:highlight w:val="none"/>
                    </w:rPr>
                  </w:pPr>
                </w:p>
              </w:tc>
              <w:tc>
                <w:tcPr>
                  <w:tcW w:w="996" w:type="dxa"/>
                  <w:vMerge w:val="continue"/>
                  <w:vAlign w:val="center"/>
                </w:tcPr>
                <w:p w14:paraId="4BCC6428">
                  <w:pPr>
                    <w:adjustRightInd w:val="0"/>
                    <w:snapToGrid w:val="0"/>
                    <w:jc w:val="center"/>
                    <w:rPr>
                      <w:color w:val="auto"/>
                      <w:highlight w:val="none"/>
                    </w:rPr>
                  </w:pPr>
                </w:p>
              </w:tc>
              <w:tc>
                <w:tcPr>
                  <w:tcW w:w="1173" w:type="dxa"/>
                  <w:vMerge w:val="continue"/>
                  <w:shd w:val="clear" w:color="auto" w:fill="auto"/>
                  <w:vAlign w:val="center"/>
                </w:tcPr>
                <w:p w14:paraId="635C85AA">
                  <w:pPr>
                    <w:adjustRightInd w:val="0"/>
                    <w:snapToGrid w:val="0"/>
                    <w:jc w:val="center"/>
                    <w:rPr>
                      <w:b w:val="0"/>
                      <w:bCs w:val="0"/>
                      <w:color w:val="auto"/>
                      <w:highlight w:val="none"/>
                    </w:rPr>
                  </w:pPr>
                </w:p>
              </w:tc>
              <w:tc>
                <w:tcPr>
                  <w:tcW w:w="1002" w:type="dxa"/>
                  <w:vAlign w:val="center"/>
                </w:tcPr>
                <w:p w14:paraId="1F96D2EB">
                  <w:pPr>
                    <w:keepNext w:val="0"/>
                    <w:keepLines w:val="0"/>
                    <w:widowControl/>
                    <w:suppressLineNumbers w:val="0"/>
                    <w:jc w:val="center"/>
                    <w:textAlignment w:val="center"/>
                    <w:rPr>
                      <w:rFonts w:hint="eastAsia" w:cs="宋体"/>
                      <w:bCs/>
                      <w:color w:val="auto"/>
                      <w:spacing w:val="-10"/>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SO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p>
              </w:tc>
              <w:tc>
                <w:tcPr>
                  <w:tcW w:w="1105" w:type="dxa"/>
                  <w:shd w:val="clear" w:color="auto" w:fill="auto"/>
                  <w:vAlign w:val="center"/>
                </w:tcPr>
                <w:p w14:paraId="3510CBAA">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1265" w:type="dxa"/>
                  <w:shd w:val="clear" w:color="auto" w:fill="auto"/>
                  <w:vAlign w:val="center"/>
                </w:tcPr>
                <w:p w14:paraId="0AE5D085">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0.007</w:t>
                  </w:r>
                </w:p>
              </w:tc>
              <w:tc>
                <w:tcPr>
                  <w:tcW w:w="1022" w:type="dxa"/>
                  <w:shd w:val="clear" w:color="auto" w:fill="auto"/>
                  <w:vAlign w:val="center"/>
                </w:tcPr>
                <w:p w14:paraId="3D98F71C">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0.020</w:t>
                  </w:r>
                </w:p>
              </w:tc>
              <w:tc>
                <w:tcPr>
                  <w:tcW w:w="787" w:type="dxa"/>
                  <w:vMerge w:val="continue"/>
                  <w:vAlign w:val="center"/>
                </w:tcPr>
                <w:p w14:paraId="5989306F">
                  <w:pPr>
                    <w:adjustRightInd w:val="0"/>
                    <w:snapToGrid w:val="0"/>
                    <w:jc w:val="center"/>
                    <w:rPr>
                      <w:rFonts w:hint="eastAsia" w:cs="宋体"/>
                      <w:bCs/>
                      <w:color w:val="auto"/>
                      <w:spacing w:val="-10"/>
                      <w:szCs w:val="21"/>
                      <w:highlight w:val="none"/>
                    </w:rPr>
                  </w:pPr>
                </w:p>
              </w:tc>
            </w:tr>
            <w:tr w14:paraId="2FA236F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740" w:type="dxa"/>
                  <w:vMerge w:val="continue"/>
                  <w:vAlign w:val="center"/>
                </w:tcPr>
                <w:p w14:paraId="00930DD9">
                  <w:pPr>
                    <w:adjustRightInd w:val="0"/>
                    <w:snapToGrid w:val="0"/>
                    <w:jc w:val="center"/>
                    <w:rPr>
                      <w:rFonts w:hint="eastAsia" w:cs="宋体"/>
                      <w:bCs/>
                      <w:color w:val="auto"/>
                      <w:spacing w:val="-10"/>
                      <w:szCs w:val="21"/>
                      <w:highlight w:val="none"/>
                    </w:rPr>
                  </w:pPr>
                </w:p>
              </w:tc>
              <w:tc>
                <w:tcPr>
                  <w:tcW w:w="996" w:type="dxa"/>
                  <w:vMerge w:val="continue"/>
                  <w:vAlign w:val="center"/>
                </w:tcPr>
                <w:p w14:paraId="60D662B4">
                  <w:pPr>
                    <w:adjustRightInd w:val="0"/>
                    <w:snapToGrid w:val="0"/>
                    <w:jc w:val="center"/>
                    <w:rPr>
                      <w:rFonts w:hint="eastAsia" w:cs="宋体"/>
                      <w:bCs/>
                      <w:color w:val="auto"/>
                      <w:spacing w:val="-10"/>
                      <w:szCs w:val="21"/>
                      <w:highlight w:val="none"/>
                    </w:rPr>
                  </w:pPr>
                </w:p>
              </w:tc>
              <w:tc>
                <w:tcPr>
                  <w:tcW w:w="1173" w:type="dxa"/>
                  <w:vMerge w:val="continue"/>
                  <w:shd w:val="clear" w:color="auto" w:fill="auto"/>
                  <w:vAlign w:val="center"/>
                </w:tcPr>
                <w:p w14:paraId="28B45565">
                  <w:pPr>
                    <w:adjustRightInd w:val="0"/>
                    <w:snapToGrid w:val="0"/>
                    <w:jc w:val="center"/>
                    <w:rPr>
                      <w:rFonts w:hint="eastAsia" w:cs="宋体"/>
                      <w:b w:val="0"/>
                      <w:bCs w:val="0"/>
                      <w:color w:val="auto"/>
                      <w:spacing w:val="-10"/>
                      <w:szCs w:val="21"/>
                      <w:highlight w:val="none"/>
                    </w:rPr>
                  </w:pPr>
                </w:p>
              </w:tc>
              <w:tc>
                <w:tcPr>
                  <w:tcW w:w="1002" w:type="dxa"/>
                  <w:vAlign w:val="center"/>
                </w:tcPr>
                <w:p w14:paraId="79FD8A5E">
                  <w:pPr>
                    <w:keepNext w:val="0"/>
                    <w:keepLines w:val="0"/>
                    <w:widowControl/>
                    <w:suppressLineNumbers w:val="0"/>
                    <w:jc w:val="center"/>
                    <w:textAlignment w:val="center"/>
                    <w:rPr>
                      <w:rFonts w:hint="eastAsia" w:cs="宋体"/>
                      <w:bCs/>
                      <w:color w:val="auto"/>
                      <w:spacing w:val="-10"/>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NOx</w:t>
                  </w:r>
                </w:p>
              </w:tc>
              <w:tc>
                <w:tcPr>
                  <w:tcW w:w="1105" w:type="dxa"/>
                  <w:shd w:val="clear" w:color="auto" w:fill="auto"/>
                  <w:vAlign w:val="center"/>
                </w:tcPr>
                <w:p w14:paraId="458A2BEC">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66.5</w:t>
                  </w:r>
                </w:p>
              </w:tc>
              <w:tc>
                <w:tcPr>
                  <w:tcW w:w="1265" w:type="dxa"/>
                  <w:shd w:val="clear" w:color="auto" w:fill="auto"/>
                  <w:vAlign w:val="center"/>
                </w:tcPr>
                <w:p w14:paraId="7C81F081">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0.346</w:t>
                  </w:r>
                </w:p>
              </w:tc>
              <w:tc>
                <w:tcPr>
                  <w:tcW w:w="1022" w:type="dxa"/>
                  <w:shd w:val="clear" w:color="auto" w:fill="auto"/>
                  <w:vAlign w:val="center"/>
                </w:tcPr>
                <w:p w14:paraId="7B85786C">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0.913</w:t>
                  </w:r>
                </w:p>
              </w:tc>
              <w:tc>
                <w:tcPr>
                  <w:tcW w:w="787" w:type="dxa"/>
                  <w:vMerge w:val="continue"/>
                  <w:vAlign w:val="center"/>
                </w:tcPr>
                <w:p w14:paraId="2A2DC5A5">
                  <w:pPr>
                    <w:adjustRightInd w:val="0"/>
                    <w:snapToGrid w:val="0"/>
                    <w:jc w:val="center"/>
                    <w:rPr>
                      <w:rFonts w:hint="eastAsia" w:cs="宋体"/>
                      <w:bCs/>
                      <w:color w:val="auto"/>
                      <w:spacing w:val="-10"/>
                      <w:szCs w:val="21"/>
                      <w:highlight w:val="none"/>
                    </w:rPr>
                  </w:pPr>
                </w:p>
              </w:tc>
            </w:tr>
            <w:tr w14:paraId="343F4D0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740" w:type="dxa"/>
                  <w:vMerge w:val="continue"/>
                  <w:vAlign w:val="center"/>
                </w:tcPr>
                <w:p w14:paraId="62685ECB">
                  <w:pPr>
                    <w:adjustRightInd w:val="0"/>
                    <w:snapToGrid w:val="0"/>
                    <w:jc w:val="center"/>
                    <w:rPr>
                      <w:rFonts w:hint="eastAsia" w:cs="宋体"/>
                      <w:bCs/>
                      <w:color w:val="auto"/>
                      <w:spacing w:val="-10"/>
                      <w:szCs w:val="21"/>
                      <w:highlight w:val="none"/>
                    </w:rPr>
                  </w:pPr>
                </w:p>
              </w:tc>
              <w:tc>
                <w:tcPr>
                  <w:tcW w:w="996" w:type="dxa"/>
                  <w:vMerge w:val="continue"/>
                  <w:vAlign w:val="center"/>
                </w:tcPr>
                <w:p w14:paraId="7FF412B8">
                  <w:pPr>
                    <w:adjustRightInd w:val="0"/>
                    <w:snapToGrid w:val="0"/>
                    <w:jc w:val="center"/>
                    <w:rPr>
                      <w:rFonts w:hint="eastAsia" w:cs="宋体"/>
                      <w:bCs/>
                      <w:color w:val="auto"/>
                      <w:spacing w:val="-10"/>
                      <w:szCs w:val="21"/>
                      <w:highlight w:val="none"/>
                    </w:rPr>
                  </w:pPr>
                </w:p>
              </w:tc>
              <w:tc>
                <w:tcPr>
                  <w:tcW w:w="1173" w:type="dxa"/>
                  <w:vMerge w:val="restart"/>
                  <w:shd w:val="clear" w:color="auto" w:fill="auto"/>
                  <w:vAlign w:val="center"/>
                </w:tcPr>
                <w:p w14:paraId="7DA4E48D">
                  <w:pPr>
                    <w:pBdr>
                      <w:top w:val="none" w:color="auto" w:sz="0" w:space="1"/>
                      <w:left w:val="none" w:color="auto" w:sz="0" w:space="4"/>
                      <w:bottom w:val="none" w:color="auto" w:sz="0" w:space="1"/>
                      <w:right w:val="none" w:color="auto" w:sz="0" w:space="4"/>
                    </w:pBdr>
                    <w:adjustRightInd w:val="0"/>
                    <w:snapToGrid w:val="0"/>
                    <w:jc w:val="center"/>
                    <w:rPr>
                      <w:rFonts w:hint="eastAsia" w:cs="宋体"/>
                      <w:b w:val="0"/>
                      <w:bCs w:val="0"/>
                      <w:color w:val="auto"/>
                      <w:spacing w:val="-10"/>
                      <w:szCs w:val="21"/>
                      <w:highlight w:val="none"/>
                    </w:rPr>
                  </w:pPr>
                  <w:r>
                    <w:rPr>
                      <w:rFonts w:hint="eastAsia" w:ascii="Times New Roman" w:hAnsi="Times New Roman" w:cs="Times New Roman" w:eastAsiaTheme="minorEastAsia"/>
                      <w:b w:val="0"/>
                      <w:bCs w:val="0"/>
                      <w:color w:val="auto"/>
                      <w:sz w:val="21"/>
                      <w:szCs w:val="21"/>
                      <w:highlight w:val="none"/>
                      <w:lang w:val="en-US" w:eastAsia="zh-CN"/>
                    </w:rPr>
                    <w:t>燃气</w:t>
                  </w:r>
                  <w:r>
                    <w:rPr>
                      <w:rFonts w:hint="eastAsia" w:cs="Times New Roman" w:eastAsiaTheme="minorEastAsia"/>
                      <w:b w:val="0"/>
                      <w:bCs w:val="0"/>
                      <w:color w:val="auto"/>
                      <w:sz w:val="21"/>
                      <w:szCs w:val="21"/>
                      <w:highlight w:val="none"/>
                      <w:lang w:val="en-US" w:eastAsia="zh-CN"/>
                    </w:rPr>
                    <w:t>加热</w:t>
                  </w:r>
                  <w:r>
                    <w:rPr>
                      <w:rFonts w:hint="eastAsia" w:ascii="Times New Roman" w:hAnsi="Times New Roman" w:cs="Times New Roman" w:eastAsiaTheme="minorEastAsia"/>
                      <w:b w:val="0"/>
                      <w:bCs w:val="0"/>
                      <w:color w:val="auto"/>
                      <w:sz w:val="21"/>
                      <w:szCs w:val="21"/>
                      <w:highlight w:val="none"/>
                      <w:lang w:val="en-US" w:eastAsia="zh-CN"/>
                    </w:rPr>
                    <w:t>炉</w:t>
                  </w:r>
                  <w:r>
                    <w:rPr>
                      <w:rFonts w:hint="eastAsia" w:cs="Times New Roman" w:eastAsiaTheme="minorEastAsia"/>
                      <w:b w:val="0"/>
                      <w:bCs w:val="0"/>
                      <w:color w:val="auto"/>
                      <w:szCs w:val="21"/>
                      <w:highlight w:val="none"/>
                      <w:lang w:val="en-US" w:eastAsia="zh-CN"/>
                    </w:rPr>
                    <w:t>2#</w:t>
                  </w:r>
                </w:p>
              </w:tc>
              <w:tc>
                <w:tcPr>
                  <w:tcW w:w="1002" w:type="dxa"/>
                  <w:vAlign w:val="center"/>
                </w:tcPr>
                <w:p w14:paraId="1CEBA22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1105" w:type="dxa"/>
                  <w:shd w:val="clear" w:color="auto" w:fill="auto"/>
                  <w:vAlign w:val="center"/>
                </w:tcPr>
                <w:p w14:paraId="49A2233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yellow"/>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10.2</w:t>
                  </w:r>
                </w:p>
              </w:tc>
              <w:tc>
                <w:tcPr>
                  <w:tcW w:w="1265" w:type="dxa"/>
                  <w:shd w:val="clear" w:color="auto" w:fill="auto"/>
                  <w:vAlign w:val="center"/>
                </w:tcPr>
                <w:p w14:paraId="2EF931D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yellow"/>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0.053</w:t>
                  </w:r>
                </w:p>
              </w:tc>
              <w:tc>
                <w:tcPr>
                  <w:tcW w:w="1022" w:type="dxa"/>
                  <w:shd w:val="clear" w:color="auto" w:fill="auto"/>
                  <w:vAlign w:val="center"/>
                </w:tcPr>
                <w:p w14:paraId="56920C5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yellow"/>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0.140</w:t>
                  </w:r>
                </w:p>
              </w:tc>
              <w:tc>
                <w:tcPr>
                  <w:tcW w:w="787" w:type="dxa"/>
                  <w:vMerge w:val="continue"/>
                  <w:vAlign w:val="center"/>
                </w:tcPr>
                <w:p w14:paraId="078D2A2E">
                  <w:pPr>
                    <w:adjustRightInd w:val="0"/>
                    <w:snapToGrid w:val="0"/>
                    <w:jc w:val="center"/>
                    <w:rPr>
                      <w:rFonts w:hint="eastAsia" w:cs="宋体"/>
                      <w:bCs/>
                      <w:color w:val="auto"/>
                      <w:spacing w:val="-10"/>
                      <w:szCs w:val="21"/>
                      <w:highlight w:val="none"/>
                    </w:rPr>
                  </w:pPr>
                </w:p>
              </w:tc>
            </w:tr>
            <w:tr w14:paraId="3C2562F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740" w:type="dxa"/>
                  <w:vMerge w:val="continue"/>
                  <w:vAlign w:val="center"/>
                </w:tcPr>
                <w:p w14:paraId="6B8CC32A">
                  <w:pPr>
                    <w:adjustRightInd w:val="0"/>
                    <w:snapToGrid w:val="0"/>
                    <w:jc w:val="center"/>
                    <w:rPr>
                      <w:rFonts w:hint="eastAsia" w:cs="宋体"/>
                      <w:bCs/>
                      <w:color w:val="auto"/>
                      <w:spacing w:val="-10"/>
                      <w:szCs w:val="21"/>
                      <w:highlight w:val="none"/>
                    </w:rPr>
                  </w:pPr>
                </w:p>
              </w:tc>
              <w:tc>
                <w:tcPr>
                  <w:tcW w:w="996" w:type="dxa"/>
                  <w:vMerge w:val="continue"/>
                  <w:vAlign w:val="center"/>
                </w:tcPr>
                <w:p w14:paraId="5B6FA0C0">
                  <w:pPr>
                    <w:adjustRightInd w:val="0"/>
                    <w:snapToGrid w:val="0"/>
                    <w:jc w:val="center"/>
                    <w:rPr>
                      <w:rFonts w:hint="eastAsia" w:cs="宋体"/>
                      <w:bCs/>
                      <w:color w:val="auto"/>
                      <w:spacing w:val="-10"/>
                      <w:szCs w:val="21"/>
                      <w:highlight w:val="none"/>
                    </w:rPr>
                  </w:pPr>
                </w:p>
              </w:tc>
              <w:tc>
                <w:tcPr>
                  <w:tcW w:w="1173" w:type="dxa"/>
                  <w:vMerge w:val="continue"/>
                  <w:shd w:val="clear" w:color="auto" w:fill="auto"/>
                  <w:vAlign w:val="center"/>
                </w:tcPr>
                <w:p w14:paraId="06BE5C63">
                  <w:pPr>
                    <w:adjustRightInd w:val="0"/>
                    <w:snapToGrid w:val="0"/>
                    <w:jc w:val="center"/>
                    <w:rPr>
                      <w:rFonts w:hint="eastAsia" w:cs="宋体"/>
                      <w:b w:val="0"/>
                      <w:bCs w:val="0"/>
                      <w:color w:val="auto"/>
                      <w:spacing w:val="-10"/>
                      <w:szCs w:val="21"/>
                      <w:highlight w:val="none"/>
                    </w:rPr>
                  </w:pPr>
                </w:p>
              </w:tc>
              <w:tc>
                <w:tcPr>
                  <w:tcW w:w="1002" w:type="dxa"/>
                  <w:vAlign w:val="center"/>
                </w:tcPr>
                <w:p w14:paraId="6E91AD8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SO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p>
              </w:tc>
              <w:tc>
                <w:tcPr>
                  <w:tcW w:w="1105" w:type="dxa"/>
                  <w:shd w:val="clear" w:color="auto" w:fill="auto"/>
                  <w:vAlign w:val="center"/>
                </w:tcPr>
                <w:p w14:paraId="2D18599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yellow"/>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1265" w:type="dxa"/>
                  <w:shd w:val="clear" w:color="auto" w:fill="auto"/>
                  <w:vAlign w:val="center"/>
                </w:tcPr>
                <w:p w14:paraId="0DCB4D6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yellow"/>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0.007</w:t>
                  </w:r>
                </w:p>
              </w:tc>
              <w:tc>
                <w:tcPr>
                  <w:tcW w:w="1022" w:type="dxa"/>
                  <w:shd w:val="clear" w:color="auto" w:fill="auto"/>
                  <w:vAlign w:val="center"/>
                </w:tcPr>
                <w:p w14:paraId="3AD1B7E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yellow"/>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0.020</w:t>
                  </w:r>
                </w:p>
              </w:tc>
              <w:tc>
                <w:tcPr>
                  <w:tcW w:w="787" w:type="dxa"/>
                  <w:vMerge w:val="continue"/>
                  <w:vAlign w:val="center"/>
                </w:tcPr>
                <w:p w14:paraId="6F5B5FC8">
                  <w:pPr>
                    <w:adjustRightInd w:val="0"/>
                    <w:snapToGrid w:val="0"/>
                    <w:jc w:val="center"/>
                    <w:rPr>
                      <w:rFonts w:hint="eastAsia" w:cs="宋体"/>
                      <w:bCs/>
                      <w:color w:val="auto"/>
                      <w:spacing w:val="-10"/>
                      <w:szCs w:val="21"/>
                      <w:highlight w:val="none"/>
                    </w:rPr>
                  </w:pPr>
                </w:p>
              </w:tc>
            </w:tr>
            <w:tr w14:paraId="121CBC2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740" w:type="dxa"/>
                  <w:vMerge w:val="continue"/>
                  <w:vAlign w:val="center"/>
                </w:tcPr>
                <w:p w14:paraId="29394517">
                  <w:pPr>
                    <w:adjustRightInd w:val="0"/>
                    <w:snapToGrid w:val="0"/>
                    <w:jc w:val="center"/>
                    <w:rPr>
                      <w:rFonts w:hint="eastAsia" w:cs="宋体"/>
                      <w:bCs/>
                      <w:color w:val="auto"/>
                      <w:spacing w:val="-10"/>
                      <w:szCs w:val="21"/>
                      <w:highlight w:val="none"/>
                    </w:rPr>
                  </w:pPr>
                </w:p>
              </w:tc>
              <w:tc>
                <w:tcPr>
                  <w:tcW w:w="996" w:type="dxa"/>
                  <w:vMerge w:val="continue"/>
                  <w:vAlign w:val="center"/>
                </w:tcPr>
                <w:p w14:paraId="5EBDDF39">
                  <w:pPr>
                    <w:adjustRightInd w:val="0"/>
                    <w:snapToGrid w:val="0"/>
                    <w:jc w:val="center"/>
                    <w:rPr>
                      <w:rFonts w:hint="eastAsia" w:cs="宋体"/>
                      <w:bCs/>
                      <w:color w:val="auto"/>
                      <w:spacing w:val="-10"/>
                      <w:szCs w:val="21"/>
                      <w:highlight w:val="none"/>
                    </w:rPr>
                  </w:pPr>
                </w:p>
              </w:tc>
              <w:tc>
                <w:tcPr>
                  <w:tcW w:w="1173" w:type="dxa"/>
                  <w:vMerge w:val="continue"/>
                  <w:shd w:val="clear" w:color="auto" w:fill="auto"/>
                  <w:vAlign w:val="center"/>
                </w:tcPr>
                <w:p w14:paraId="53D713B4">
                  <w:pPr>
                    <w:adjustRightInd w:val="0"/>
                    <w:snapToGrid w:val="0"/>
                    <w:jc w:val="center"/>
                    <w:rPr>
                      <w:rFonts w:hint="eastAsia" w:cs="宋体"/>
                      <w:b w:val="0"/>
                      <w:bCs w:val="0"/>
                      <w:color w:val="auto"/>
                      <w:spacing w:val="-10"/>
                      <w:szCs w:val="21"/>
                      <w:highlight w:val="none"/>
                    </w:rPr>
                  </w:pPr>
                </w:p>
              </w:tc>
              <w:tc>
                <w:tcPr>
                  <w:tcW w:w="1002" w:type="dxa"/>
                  <w:vAlign w:val="center"/>
                </w:tcPr>
                <w:p w14:paraId="0A32E3B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NOx</w:t>
                  </w:r>
                </w:p>
              </w:tc>
              <w:tc>
                <w:tcPr>
                  <w:tcW w:w="1105" w:type="dxa"/>
                  <w:shd w:val="clear" w:color="auto" w:fill="auto"/>
                  <w:vAlign w:val="center"/>
                </w:tcPr>
                <w:p w14:paraId="1847EF1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yellow"/>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66.5</w:t>
                  </w:r>
                </w:p>
              </w:tc>
              <w:tc>
                <w:tcPr>
                  <w:tcW w:w="1265" w:type="dxa"/>
                  <w:shd w:val="clear" w:color="auto" w:fill="auto"/>
                  <w:vAlign w:val="center"/>
                </w:tcPr>
                <w:p w14:paraId="396E57B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yellow"/>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0.346</w:t>
                  </w:r>
                </w:p>
              </w:tc>
              <w:tc>
                <w:tcPr>
                  <w:tcW w:w="1022" w:type="dxa"/>
                  <w:shd w:val="clear" w:color="auto" w:fill="auto"/>
                  <w:vAlign w:val="center"/>
                </w:tcPr>
                <w:p w14:paraId="6A42B8D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yellow"/>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0.913</w:t>
                  </w:r>
                </w:p>
              </w:tc>
              <w:tc>
                <w:tcPr>
                  <w:tcW w:w="787" w:type="dxa"/>
                  <w:vMerge w:val="continue"/>
                  <w:vAlign w:val="center"/>
                </w:tcPr>
                <w:p w14:paraId="35AE20FC">
                  <w:pPr>
                    <w:adjustRightInd w:val="0"/>
                    <w:snapToGrid w:val="0"/>
                    <w:jc w:val="center"/>
                    <w:rPr>
                      <w:rFonts w:hint="eastAsia" w:cs="宋体"/>
                      <w:bCs/>
                      <w:color w:val="auto"/>
                      <w:spacing w:val="-10"/>
                      <w:szCs w:val="21"/>
                      <w:highlight w:val="none"/>
                    </w:rPr>
                  </w:pPr>
                </w:p>
              </w:tc>
            </w:tr>
            <w:tr w14:paraId="44AB28F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740" w:type="dxa"/>
                  <w:vMerge w:val="continue"/>
                  <w:vAlign w:val="center"/>
                </w:tcPr>
                <w:p w14:paraId="065CF9EB">
                  <w:pPr>
                    <w:adjustRightInd w:val="0"/>
                    <w:snapToGrid w:val="0"/>
                    <w:jc w:val="center"/>
                    <w:rPr>
                      <w:rFonts w:hint="eastAsia" w:cs="宋体"/>
                      <w:bCs/>
                      <w:color w:val="auto"/>
                      <w:spacing w:val="-10"/>
                      <w:szCs w:val="21"/>
                      <w:highlight w:val="none"/>
                    </w:rPr>
                  </w:pPr>
                </w:p>
              </w:tc>
              <w:tc>
                <w:tcPr>
                  <w:tcW w:w="996" w:type="dxa"/>
                  <w:vMerge w:val="continue"/>
                  <w:vAlign w:val="center"/>
                </w:tcPr>
                <w:p w14:paraId="0C1C4805">
                  <w:pPr>
                    <w:adjustRightInd w:val="0"/>
                    <w:snapToGrid w:val="0"/>
                    <w:jc w:val="center"/>
                    <w:rPr>
                      <w:rFonts w:hint="eastAsia" w:cs="宋体"/>
                      <w:bCs/>
                      <w:color w:val="auto"/>
                      <w:spacing w:val="-10"/>
                      <w:szCs w:val="21"/>
                      <w:highlight w:val="none"/>
                    </w:rPr>
                  </w:pPr>
                </w:p>
              </w:tc>
              <w:tc>
                <w:tcPr>
                  <w:tcW w:w="1173" w:type="dxa"/>
                  <w:vMerge w:val="restart"/>
                  <w:shd w:val="clear" w:color="auto" w:fill="auto"/>
                  <w:vAlign w:val="center"/>
                </w:tcPr>
                <w:p w14:paraId="2B969410">
                  <w:pPr>
                    <w:snapToGrid w:val="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cs="Times New Roman" w:eastAsiaTheme="minorEastAsia"/>
                      <w:b w:val="0"/>
                      <w:bCs w:val="0"/>
                      <w:color w:val="auto"/>
                      <w:sz w:val="21"/>
                      <w:szCs w:val="21"/>
                      <w:highlight w:val="none"/>
                      <w:lang w:val="en-US" w:eastAsia="zh-CN"/>
                    </w:rPr>
                    <w:t>燃气</w:t>
                  </w:r>
                  <w:r>
                    <w:rPr>
                      <w:rFonts w:hint="eastAsia" w:cs="Times New Roman" w:eastAsiaTheme="minorEastAsia"/>
                      <w:b w:val="0"/>
                      <w:bCs w:val="0"/>
                      <w:color w:val="auto"/>
                      <w:sz w:val="21"/>
                      <w:szCs w:val="21"/>
                      <w:highlight w:val="none"/>
                      <w:lang w:val="en-US" w:eastAsia="zh-CN"/>
                    </w:rPr>
                    <w:t>加热</w:t>
                  </w:r>
                  <w:r>
                    <w:rPr>
                      <w:rFonts w:hint="eastAsia" w:ascii="Times New Roman" w:hAnsi="Times New Roman" w:cs="Times New Roman" w:eastAsiaTheme="minorEastAsia"/>
                      <w:b w:val="0"/>
                      <w:bCs w:val="0"/>
                      <w:color w:val="auto"/>
                      <w:sz w:val="21"/>
                      <w:szCs w:val="21"/>
                      <w:highlight w:val="none"/>
                      <w:lang w:val="en-US" w:eastAsia="zh-CN"/>
                    </w:rPr>
                    <w:t>炉</w:t>
                  </w:r>
                  <w:r>
                    <w:rPr>
                      <w:rFonts w:hint="eastAsia" w:cs="Times New Roman" w:eastAsiaTheme="minorEastAsia"/>
                      <w:b w:val="0"/>
                      <w:bCs w:val="0"/>
                      <w:color w:val="auto"/>
                      <w:szCs w:val="21"/>
                      <w:highlight w:val="none"/>
                      <w:lang w:val="en-US" w:eastAsia="zh-CN"/>
                    </w:rPr>
                    <w:t>3#</w:t>
                  </w:r>
                </w:p>
              </w:tc>
              <w:tc>
                <w:tcPr>
                  <w:tcW w:w="1002" w:type="dxa"/>
                  <w:shd w:val="clear" w:color="auto" w:fill="auto"/>
                  <w:vAlign w:val="center"/>
                </w:tcPr>
                <w:p w14:paraId="34B1E583">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1105" w:type="dxa"/>
                  <w:shd w:val="clear" w:color="auto" w:fill="auto"/>
                  <w:vAlign w:val="center"/>
                </w:tcPr>
                <w:p w14:paraId="615DC1BD">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10.3</w:t>
                  </w:r>
                </w:p>
              </w:tc>
              <w:tc>
                <w:tcPr>
                  <w:tcW w:w="1265" w:type="dxa"/>
                  <w:shd w:val="clear" w:color="auto" w:fill="auto"/>
                  <w:vAlign w:val="center"/>
                </w:tcPr>
                <w:p w14:paraId="664945D0">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0.074</w:t>
                  </w:r>
                </w:p>
              </w:tc>
              <w:tc>
                <w:tcPr>
                  <w:tcW w:w="1022" w:type="dxa"/>
                  <w:shd w:val="clear" w:color="auto" w:fill="auto"/>
                  <w:vAlign w:val="center"/>
                </w:tcPr>
                <w:p w14:paraId="0E5E9552">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0.196</w:t>
                  </w:r>
                </w:p>
              </w:tc>
              <w:tc>
                <w:tcPr>
                  <w:tcW w:w="787" w:type="dxa"/>
                  <w:vMerge w:val="continue"/>
                  <w:vAlign w:val="center"/>
                </w:tcPr>
                <w:p w14:paraId="12512CC0">
                  <w:pPr>
                    <w:adjustRightInd w:val="0"/>
                    <w:snapToGrid w:val="0"/>
                    <w:jc w:val="center"/>
                    <w:rPr>
                      <w:rFonts w:hint="eastAsia" w:eastAsia="宋体" w:cs="宋体"/>
                      <w:bCs/>
                      <w:color w:val="auto"/>
                      <w:spacing w:val="-10"/>
                      <w:szCs w:val="21"/>
                      <w:highlight w:val="none"/>
                      <w:lang w:eastAsia="zh-CN"/>
                    </w:rPr>
                  </w:pPr>
                </w:p>
              </w:tc>
            </w:tr>
            <w:tr w14:paraId="480F5AE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0" w:type="dxa"/>
                  <w:vMerge w:val="continue"/>
                  <w:vAlign w:val="center"/>
                </w:tcPr>
                <w:p w14:paraId="3D899129">
                  <w:pPr>
                    <w:adjustRightInd w:val="0"/>
                    <w:snapToGrid w:val="0"/>
                    <w:jc w:val="center"/>
                    <w:rPr>
                      <w:color w:val="auto"/>
                      <w:highlight w:val="none"/>
                    </w:rPr>
                  </w:pPr>
                </w:p>
              </w:tc>
              <w:tc>
                <w:tcPr>
                  <w:tcW w:w="996" w:type="dxa"/>
                  <w:vMerge w:val="continue"/>
                  <w:vAlign w:val="center"/>
                </w:tcPr>
                <w:p w14:paraId="4F5F4C43">
                  <w:pPr>
                    <w:adjustRightInd w:val="0"/>
                    <w:snapToGrid w:val="0"/>
                    <w:jc w:val="center"/>
                    <w:rPr>
                      <w:color w:val="auto"/>
                      <w:highlight w:val="none"/>
                    </w:rPr>
                  </w:pPr>
                </w:p>
              </w:tc>
              <w:tc>
                <w:tcPr>
                  <w:tcW w:w="1173" w:type="dxa"/>
                  <w:vMerge w:val="continue"/>
                  <w:shd w:val="clear" w:color="auto" w:fill="auto"/>
                  <w:vAlign w:val="center"/>
                </w:tcPr>
                <w:p w14:paraId="18CDAA33">
                  <w:pPr>
                    <w:adjustRightInd w:val="0"/>
                    <w:snapToGrid w:val="0"/>
                    <w:jc w:val="center"/>
                    <w:rPr>
                      <w:color w:val="auto"/>
                      <w:highlight w:val="none"/>
                    </w:rPr>
                  </w:pPr>
                </w:p>
              </w:tc>
              <w:tc>
                <w:tcPr>
                  <w:tcW w:w="1002" w:type="dxa"/>
                  <w:shd w:val="clear" w:color="auto" w:fill="auto"/>
                  <w:vAlign w:val="center"/>
                </w:tcPr>
                <w:p w14:paraId="0C829B59">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SO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p>
              </w:tc>
              <w:tc>
                <w:tcPr>
                  <w:tcW w:w="1105" w:type="dxa"/>
                  <w:shd w:val="clear" w:color="auto" w:fill="auto"/>
                  <w:vAlign w:val="center"/>
                </w:tcPr>
                <w:p w14:paraId="1D07D69F">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1265" w:type="dxa"/>
                  <w:shd w:val="clear" w:color="auto" w:fill="auto"/>
                  <w:vAlign w:val="center"/>
                </w:tcPr>
                <w:p w14:paraId="4D0D5EC5">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0.010</w:t>
                  </w:r>
                </w:p>
              </w:tc>
              <w:tc>
                <w:tcPr>
                  <w:tcW w:w="1022" w:type="dxa"/>
                  <w:shd w:val="clear" w:color="auto" w:fill="auto"/>
                  <w:vAlign w:val="center"/>
                </w:tcPr>
                <w:p w14:paraId="481B8BAD">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0.027</w:t>
                  </w:r>
                </w:p>
              </w:tc>
              <w:tc>
                <w:tcPr>
                  <w:tcW w:w="787" w:type="dxa"/>
                  <w:vMerge w:val="continue"/>
                  <w:vAlign w:val="center"/>
                </w:tcPr>
                <w:p w14:paraId="04DFD942">
                  <w:pPr>
                    <w:adjustRightInd w:val="0"/>
                    <w:snapToGrid w:val="0"/>
                    <w:jc w:val="center"/>
                    <w:rPr>
                      <w:rFonts w:hint="eastAsia" w:cs="宋体"/>
                      <w:bCs/>
                      <w:color w:val="auto"/>
                      <w:spacing w:val="-10"/>
                      <w:szCs w:val="21"/>
                      <w:highlight w:val="none"/>
                    </w:rPr>
                  </w:pPr>
                </w:p>
              </w:tc>
            </w:tr>
            <w:tr w14:paraId="6B14320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740" w:type="dxa"/>
                  <w:vMerge w:val="continue"/>
                  <w:vAlign w:val="center"/>
                </w:tcPr>
                <w:p w14:paraId="596A93B7">
                  <w:pPr>
                    <w:adjustRightInd w:val="0"/>
                    <w:snapToGrid w:val="0"/>
                    <w:jc w:val="center"/>
                    <w:rPr>
                      <w:rFonts w:hint="eastAsia" w:cs="宋体"/>
                      <w:bCs/>
                      <w:color w:val="auto"/>
                      <w:spacing w:val="-10"/>
                      <w:szCs w:val="21"/>
                      <w:highlight w:val="none"/>
                    </w:rPr>
                  </w:pPr>
                </w:p>
              </w:tc>
              <w:tc>
                <w:tcPr>
                  <w:tcW w:w="996" w:type="dxa"/>
                  <w:vMerge w:val="continue"/>
                  <w:vAlign w:val="center"/>
                </w:tcPr>
                <w:p w14:paraId="36BE1227">
                  <w:pPr>
                    <w:adjustRightInd w:val="0"/>
                    <w:snapToGrid w:val="0"/>
                    <w:jc w:val="center"/>
                    <w:rPr>
                      <w:rFonts w:hint="eastAsia" w:cs="宋体"/>
                      <w:bCs/>
                      <w:color w:val="auto"/>
                      <w:spacing w:val="-10"/>
                      <w:szCs w:val="21"/>
                      <w:highlight w:val="none"/>
                    </w:rPr>
                  </w:pPr>
                </w:p>
              </w:tc>
              <w:tc>
                <w:tcPr>
                  <w:tcW w:w="1173" w:type="dxa"/>
                  <w:vMerge w:val="continue"/>
                  <w:shd w:val="clear" w:color="auto" w:fill="auto"/>
                  <w:vAlign w:val="center"/>
                </w:tcPr>
                <w:p w14:paraId="2AE45FB9">
                  <w:pPr>
                    <w:adjustRightInd w:val="0"/>
                    <w:snapToGrid w:val="0"/>
                    <w:jc w:val="center"/>
                    <w:rPr>
                      <w:rFonts w:hint="eastAsia" w:cs="宋体"/>
                      <w:bCs/>
                      <w:color w:val="auto"/>
                      <w:spacing w:val="-10"/>
                      <w:szCs w:val="21"/>
                      <w:highlight w:val="none"/>
                    </w:rPr>
                  </w:pPr>
                </w:p>
              </w:tc>
              <w:tc>
                <w:tcPr>
                  <w:tcW w:w="1002" w:type="dxa"/>
                  <w:shd w:val="clear" w:color="auto" w:fill="auto"/>
                  <w:vAlign w:val="center"/>
                </w:tcPr>
                <w:p w14:paraId="606C0EE2">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NOx</w:t>
                  </w:r>
                </w:p>
              </w:tc>
              <w:tc>
                <w:tcPr>
                  <w:tcW w:w="1105" w:type="dxa"/>
                  <w:shd w:val="clear" w:color="auto" w:fill="auto"/>
                  <w:vAlign w:val="center"/>
                </w:tcPr>
                <w:p w14:paraId="7CD2DA8D">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67.5</w:t>
                  </w:r>
                </w:p>
              </w:tc>
              <w:tc>
                <w:tcPr>
                  <w:tcW w:w="1265" w:type="dxa"/>
                  <w:shd w:val="clear" w:color="auto" w:fill="auto"/>
                  <w:vAlign w:val="center"/>
                </w:tcPr>
                <w:p w14:paraId="7D71050B">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0.486</w:t>
                  </w:r>
                </w:p>
              </w:tc>
              <w:tc>
                <w:tcPr>
                  <w:tcW w:w="1022" w:type="dxa"/>
                  <w:shd w:val="clear" w:color="auto" w:fill="auto"/>
                  <w:vAlign w:val="center"/>
                </w:tcPr>
                <w:p w14:paraId="5BE2689C">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1.284</w:t>
                  </w:r>
                </w:p>
              </w:tc>
              <w:tc>
                <w:tcPr>
                  <w:tcW w:w="787" w:type="dxa"/>
                  <w:vMerge w:val="continue"/>
                  <w:vAlign w:val="center"/>
                </w:tcPr>
                <w:p w14:paraId="695FFE9B">
                  <w:pPr>
                    <w:adjustRightInd w:val="0"/>
                    <w:snapToGrid w:val="0"/>
                    <w:jc w:val="center"/>
                    <w:rPr>
                      <w:rFonts w:hint="eastAsia" w:cs="宋体"/>
                      <w:bCs/>
                      <w:color w:val="auto"/>
                      <w:spacing w:val="-10"/>
                      <w:szCs w:val="21"/>
                      <w:highlight w:val="none"/>
                    </w:rPr>
                  </w:pPr>
                </w:p>
              </w:tc>
            </w:tr>
            <w:tr w14:paraId="2D38F33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740" w:type="dxa"/>
                  <w:vMerge w:val="continue"/>
                  <w:vAlign w:val="center"/>
                </w:tcPr>
                <w:p w14:paraId="7F42581F">
                  <w:pPr>
                    <w:adjustRightInd w:val="0"/>
                    <w:snapToGrid w:val="0"/>
                    <w:jc w:val="center"/>
                    <w:rPr>
                      <w:rFonts w:hint="eastAsia" w:cs="宋体"/>
                      <w:bCs/>
                      <w:color w:val="auto"/>
                      <w:spacing w:val="-10"/>
                      <w:szCs w:val="21"/>
                      <w:highlight w:val="none"/>
                    </w:rPr>
                  </w:pPr>
                </w:p>
              </w:tc>
              <w:tc>
                <w:tcPr>
                  <w:tcW w:w="996" w:type="dxa"/>
                  <w:vMerge w:val="continue"/>
                  <w:vAlign w:val="center"/>
                </w:tcPr>
                <w:p w14:paraId="53878A19">
                  <w:pPr>
                    <w:adjustRightInd w:val="0"/>
                    <w:snapToGrid w:val="0"/>
                    <w:jc w:val="center"/>
                    <w:rPr>
                      <w:rFonts w:hint="eastAsia" w:cs="宋体"/>
                      <w:bCs/>
                      <w:color w:val="auto"/>
                      <w:spacing w:val="-10"/>
                      <w:szCs w:val="21"/>
                      <w:highlight w:val="none"/>
                    </w:rPr>
                  </w:pPr>
                </w:p>
              </w:tc>
              <w:tc>
                <w:tcPr>
                  <w:tcW w:w="1173" w:type="dxa"/>
                  <w:vMerge w:val="restart"/>
                  <w:shd w:val="clear" w:color="auto" w:fill="auto"/>
                  <w:vAlign w:val="center"/>
                </w:tcPr>
                <w:p w14:paraId="1FF8C38C">
                  <w:pPr>
                    <w:snapToGrid w:val="0"/>
                    <w:jc w:val="center"/>
                    <w:rPr>
                      <w:rFonts w:hint="eastAsia" w:cs="宋体"/>
                      <w:bCs/>
                      <w:color w:val="auto"/>
                      <w:spacing w:val="-10"/>
                      <w:szCs w:val="21"/>
                      <w:highlight w:val="none"/>
                    </w:rPr>
                  </w:pPr>
                  <w:r>
                    <w:rPr>
                      <w:rFonts w:hint="eastAsia" w:cs="Times New Roman"/>
                      <w:b w:val="0"/>
                      <w:bCs w:val="0"/>
                      <w:color w:val="auto"/>
                      <w:sz w:val="21"/>
                      <w:szCs w:val="21"/>
                      <w:highlight w:val="none"/>
                      <w:lang w:val="en-US" w:eastAsia="zh-CN"/>
                    </w:rPr>
                    <w:t>自由锻</w:t>
                  </w:r>
                  <w:r>
                    <w:rPr>
                      <w:rFonts w:hint="eastAsia" w:ascii="Times New Roman" w:hAnsi="Times New Roman" w:cs="Times New Roman" w:eastAsiaTheme="minorEastAsia"/>
                      <w:b w:val="0"/>
                      <w:bCs w:val="0"/>
                      <w:color w:val="auto"/>
                      <w:sz w:val="21"/>
                      <w:szCs w:val="21"/>
                      <w:highlight w:val="none"/>
                      <w:lang w:val="en-US" w:eastAsia="zh-CN"/>
                    </w:rPr>
                    <w:t>燃气</w:t>
                  </w:r>
                  <w:r>
                    <w:rPr>
                      <w:rFonts w:hint="default" w:ascii="Times New Roman" w:hAnsi="Times New Roman" w:cs="Times New Roman"/>
                      <w:b w:val="0"/>
                      <w:bCs w:val="0"/>
                      <w:color w:val="auto"/>
                      <w:sz w:val="21"/>
                      <w:szCs w:val="21"/>
                      <w:highlight w:val="none"/>
                      <w:lang w:eastAsia="zh-CN"/>
                    </w:rPr>
                    <w:t>回火炉</w:t>
                  </w:r>
                  <w:r>
                    <w:rPr>
                      <w:rFonts w:hint="eastAsia" w:cs="Times New Roman"/>
                      <w:b w:val="0"/>
                      <w:bCs w:val="0"/>
                      <w:color w:val="auto"/>
                      <w:sz w:val="21"/>
                      <w:szCs w:val="21"/>
                      <w:highlight w:val="none"/>
                      <w:lang w:val="en-US" w:eastAsia="zh-CN"/>
                    </w:rPr>
                    <w:t>3#</w:t>
                  </w:r>
                </w:p>
              </w:tc>
              <w:tc>
                <w:tcPr>
                  <w:tcW w:w="1002" w:type="dxa"/>
                  <w:shd w:val="clear" w:color="auto" w:fill="auto"/>
                  <w:vAlign w:val="center"/>
                </w:tcPr>
                <w:p w14:paraId="031A3F95">
                  <w:pPr>
                    <w:keepNext w:val="0"/>
                    <w:keepLines w:val="0"/>
                    <w:widowControl/>
                    <w:suppressLineNumbers w:val="0"/>
                    <w:jc w:val="center"/>
                    <w:textAlignment w:val="center"/>
                    <w:rPr>
                      <w:rFonts w:hint="default" w:ascii="Times New Roman" w:hAnsi="Times New Roman" w:eastAsia="宋体" w:cs="宋体"/>
                      <w:bCs/>
                      <w:color w:val="auto"/>
                      <w:spacing w:val="-10"/>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1105" w:type="dxa"/>
                  <w:shd w:val="clear" w:color="auto" w:fill="auto"/>
                  <w:vAlign w:val="center"/>
                </w:tcPr>
                <w:p w14:paraId="615359EC">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10.3</w:t>
                  </w:r>
                </w:p>
              </w:tc>
              <w:tc>
                <w:tcPr>
                  <w:tcW w:w="1265" w:type="dxa"/>
                  <w:shd w:val="clear" w:color="auto" w:fill="auto"/>
                  <w:vAlign w:val="center"/>
                </w:tcPr>
                <w:p w14:paraId="47ABA1E7">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0.074</w:t>
                  </w:r>
                </w:p>
              </w:tc>
              <w:tc>
                <w:tcPr>
                  <w:tcW w:w="1022" w:type="dxa"/>
                  <w:shd w:val="clear" w:color="auto" w:fill="auto"/>
                  <w:vAlign w:val="center"/>
                </w:tcPr>
                <w:p w14:paraId="1DF8641C">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0.196</w:t>
                  </w:r>
                </w:p>
              </w:tc>
              <w:tc>
                <w:tcPr>
                  <w:tcW w:w="787" w:type="dxa"/>
                  <w:vMerge w:val="restart"/>
                  <w:vAlign w:val="center"/>
                </w:tcPr>
                <w:p w14:paraId="637E5C12">
                  <w:pPr>
                    <w:adjustRightInd w:val="0"/>
                    <w:snapToGrid w:val="0"/>
                    <w:jc w:val="center"/>
                    <w:rPr>
                      <w:rFonts w:hint="eastAsia" w:cs="宋体"/>
                      <w:bCs/>
                      <w:color w:val="auto"/>
                      <w:spacing w:val="-10"/>
                      <w:szCs w:val="21"/>
                      <w:highlight w:val="none"/>
                    </w:rPr>
                  </w:pPr>
                  <w:r>
                    <w:rPr>
                      <w:rFonts w:cs="宋体"/>
                      <w:bCs/>
                      <w:color w:val="auto"/>
                      <w:spacing w:val="-10"/>
                      <w:szCs w:val="21"/>
                      <w:highlight w:val="none"/>
                    </w:rPr>
                    <w:t>DA00</w:t>
                  </w:r>
                  <w:r>
                    <w:rPr>
                      <w:rFonts w:hint="eastAsia" w:cs="宋体"/>
                      <w:bCs/>
                      <w:color w:val="auto"/>
                      <w:spacing w:val="-10"/>
                      <w:szCs w:val="21"/>
                      <w:highlight w:val="none"/>
                      <w:lang w:val="en-US" w:eastAsia="zh-CN"/>
                    </w:rPr>
                    <w:t>7</w:t>
                  </w:r>
                </w:p>
              </w:tc>
            </w:tr>
            <w:tr w14:paraId="06C569B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740" w:type="dxa"/>
                  <w:vMerge w:val="continue"/>
                  <w:vAlign w:val="center"/>
                </w:tcPr>
                <w:p w14:paraId="4771EC1E">
                  <w:pPr>
                    <w:adjustRightInd w:val="0"/>
                    <w:snapToGrid w:val="0"/>
                    <w:jc w:val="center"/>
                    <w:rPr>
                      <w:rFonts w:hint="eastAsia" w:cs="宋体"/>
                      <w:bCs/>
                      <w:color w:val="auto"/>
                      <w:spacing w:val="-10"/>
                      <w:szCs w:val="21"/>
                      <w:highlight w:val="none"/>
                    </w:rPr>
                  </w:pPr>
                </w:p>
              </w:tc>
              <w:tc>
                <w:tcPr>
                  <w:tcW w:w="996" w:type="dxa"/>
                  <w:vMerge w:val="continue"/>
                  <w:vAlign w:val="center"/>
                </w:tcPr>
                <w:p w14:paraId="55DB0280">
                  <w:pPr>
                    <w:adjustRightInd w:val="0"/>
                    <w:snapToGrid w:val="0"/>
                    <w:jc w:val="center"/>
                    <w:rPr>
                      <w:rFonts w:hint="eastAsia" w:cs="宋体"/>
                      <w:bCs/>
                      <w:color w:val="auto"/>
                      <w:spacing w:val="-10"/>
                      <w:szCs w:val="21"/>
                      <w:highlight w:val="none"/>
                    </w:rPr>
                  </w:pPr>
                </w:p>
              </w:tc>
              <w:tc>
                <w:tcPr>
                  <w:tcW w:w="1173" w:type="dxa"/>
                  <w:vMerge w:val="continue"/>
                  <w:shd w:val="clear" w:color="auto" w:fill="auto"/>
                  <w:vAlign w:val="center"/>
                </w:tcPr>
                <w:p w14:paraId="3731674A">
                  <w:pPr>
                    <w:adjustRightInd w:val="0"/>
                    <w:snapToGrid w:val="0"/>
                    <w:jc w:val="center"/>
                    <w:rPr>
                      <w:rFonts w:hint="eastAsia" w:cs="宋体"/>
                      <w:bCs/>
                      <w:color w:val="auto"/>
                      <w:spacing w:val="-10"/>
                      <w:szCs w:val="21"/>
                      <w:highlight w:val="none"/>
                    </w:rPr>
                  </w:pPr>
                </w:p>
              </w:tc>
              <w:tc>
                <w:tcPr>
                  <w:tcW w:w="1002" w:type="dxa"/>
                  <w:shd w:val="clear" w:color="auto" w:fill="auto"/>
                  <w:vAlign w:val="center"/>
                </w:tcPr>
                <w:p w14:paraId="2343C89E">
                  <w:pPr>
                    <w:keepNext w:val="0"/>
                    <w:keepLines w:val="0"/>
                    <w:widowControl/>
                    <w:suppressLineNumbers w:val="0"/>
                    <w:jc w:val="center"/>
                    <w:textAlignment w:val="center"/>
                    <w:rPr>
                      <w:rFonts w:hint="default" w:ascii="Times New Roman" w:hAnsi="Times New Roman" w:eastAsia="宋体" w:cs="宋体"/>
                      <w:bCs/>
                      <w:color w:val="auto"/>
                      <w:spacing w:val="-10"/>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SO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p>
              </w:tc>
              <w:tc>
                <w:tcPr>
                  <w:tcW w:w="1105" w:type="dxa"/>
                  <w:shd w:val="clear" w:color="auto" w:fill="auto"/>
                  <w:vAlign w:val="center"/>
                </w:tcPr>
                <w:p w14:paraId="5F48CCE5">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1265" w:type="dxa"/>
                  <w:shd w:val="clear" w:color="auto" w:fill="auto"/>
                  <w:vAlign w:val="center"/>
                </w:tcPr>
                <w:p w14:paraId="577C8D1E">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0.010</w:t>
                  </w:r>
                </w:p>
              </w:tc>
              <w:tc>
                <w:tcPr>
                  <w:tcW w:w="1022" w:type="dxa"/>
                  <w:shd w:val="clear" w:color="auto" w:fill="auto"/>
                  <w:vAlign w:val="center"/>
                </w:tcPr>
                <w:p w14:paraId="07BC81B5">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0.027</w:t>
                  </w:r>
                </w:p>
              </w:tc>
              <w:tc>
                <w:tcPr>
                  <w:tcW w:w="787" w:type="dxa"/>
                  <w:vMerge w:val="continue"/>
                  <w:vAlign w:val="center"/>
                </w:tcPr>
                <w:p w14:paraId="27044002">
                  <w:pPr>
                    <w:adjustRightInd w:val="0"/>
                    <w:snapToGrid w:val="0"/>
                    <w:jc w:val="center"/>
                    <w:rPr>
                      <w:rFonts w:hint="eastAsia" w:cs="宋体"/>
                      <w:bCs/>
                      <w:color w:val="auto"/>
                      <w:spacing w:val="-10"/>
                      <w:szCs w:val="21"/>
                      <w:highlight w:val="none"/>
                    </w:rPr>
                  </w:pPr>
                </w:p>
              </w:tc>
            </w:tr>
            <w:tr w14:paraId="0E6207D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740" w:type="dxa"/>
                  <w:vMerge w:val="continue"/>
                  <w:vAlign w:val="center"/>
                </w:tcPr>
                <w:p w14:paraId="275D2A11">
                  <w:pPr>
                    <w:adjustRightInd w:val="0"/>
                    <w:snapToGrid w:val="0"/>
                    <w:jc w:val="center"/>
                    <w:rPr>
                      <w:rFonts w:hint="eastAsia" w:cs="宋体"/>
                      <w:bCs/>
                      <w:color w:val="auto"/>
                      <w:spacing w:val="-10"/>
                      <w:szCs w:val="21"/>
                      <w:highlight w:val="none"/>
                    </w:rPr>
                  </w:pPr>
                </w:p>
              </w:tc>
              <w:tc>
                <w:tcPr>
                  <w:tcW w:w="996" w:type="dxa"/>
                  <w:vMerge w:val="continue"/>
                  <w:vAlign w:val="center"/>
                </w:tcPr>
                <w:p w14:paraId="3896FD34">
                  <w:pPr>
                    <w:adjustRightInd w:val="0"/>
                    <w:snapToGrid w:val="0"/>
                    <w:jc w:val="center"/>
                    <w:rPr>
                      <w:rFonts w:hint="eastAsia" w:cs="宋体"/>
                      <w:bCs/>
                      <w:color w:val="auto"/>
                      <w:spacing w:val="-10"/>
                      <w:szCs w:val="21"/>
                      <w:highlight w:val="none"/>
                    </w:rPr>
                  </w:pPr>
                </w:p>
              </w:tc>
              <w:tc>
                <w:tcPr>
                  <w:tcW w:w="1173" w:type="dxa"/>
                  <w:vMerge w:val="continue"/>
                  <w:shd w:val="clear" w:color="auto" w:fill="auto"/>
                  <w:vAlign w:val="center"/>
                </w:tcPr>
                <w:p w14:paraId="158E6687">
                  <w:pPr>
                    <w:adjustRightInd w:val="0"/>
                    <w:snapToGrid w:val="0"/>
                    <w:jc w:val="center"/>
                    <w:rPr>
                      <w:rFonts w:hint="eastAsia" w:cs="宋体"/>
                      <w:bCs/>
                      <w:color w:val="auto"/>
                      <w:spacing w:val="-10"/>
                      <w:szCs w:val="21"/>
                      <w:highlight w:val="none"/>
                    </w:rPr>
                  </w:pPr>
                </w:p>
              </w:tc>
              <w:tc>
                <w:tcPr>
                  <w:tcW w:w="1002" w:type="dxa"/>
                  <w:shd w:val="clear" w:color="auto" w:fill="auto"/>
                  <w:vAlign w:val="center"/>
                </w:tcPr>
                <w:p w14:paraId="49CCC2D7">
                  <w:pPr>
                    <w:keepNext w:val="0"/>
                    <w:keepLines w:val="0"/>
                    <w:widowControl/>
                    <w:suppressLineNumbers w:val="0"/>
                    <w:jc w:val="center"/>
                    <w:textAlignment w:val="center"/>
                    <w:rPr>
                      <w:rFonts w:hint="default" w:ascii="Times New Roman" w:hAnsi="Times New Roman" w:eastAsia="宋体" w:cs="宋体"/>
                      <w:bCs/>
                      <w:color w:val="auto"/>
                      <w:spacing w:val="-10"/>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NOx</w:t>
                  </w:r>
                </w:p>
              </w:tc>
              <w:tc>
                <w:tcPr>
                  <w:tcW w:w="1105" w:type="dxa"/>
                  <w:shd w:val="clear" w:color="auto" w:fill="auto"/>
                  <w:vAlign w:val="center"/>
                </w:tcPr>
                <w:p w14:paraId="13EBCF90">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67.5</w:t>
                  </w:r>
                </w:p>
              </w:tc>
              <w:tc>
                <w:tcPr>
                  <w:tcW w:w="1265" w:type="dxa"/>
                  <w:shd w:val="clear" w:color="auto" w:fill="auto"/>
                  <w:vAlign w:val="center"/>
                </w:tcPr>
                <w:p w14:paraId="55705278">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0.486</w:t>
                  </w:r>
                </w:p>
              </w:tc>
              <w:tc>
                <w:tcPr>
                  <w:tcW w:w="1022" w:type="dxa"/>
                  <w:shd w:val="clear" w:color="auto" w:fill="auto"/>
                  <w:vAlign w:val="center"/>
                </w:tcPr>
                <w:p w14:paraId="27991163">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1.284</w:t>
                  </w:r>
                </w:p>
              </w:tc>
              <w:tc>
                <w:tcPr>
                  <w:tcW w:w="787" w:type="dxa"/>
                  <w:vMerge w:val="continue"/>
                  <w:vAlign w:val="center"/>
                </w:tcPr>
                <w:p w14:paraId="18080C4E">
                  <w:pPr>
                    <w:adjustRightInd w:val="0"/>
                    <w:snapToGrid w:val="0"/>
                    <w:jc w:val="center"/>
                    <w:rPr>
                      <w:rFonts w:hint="eastAsia" w:cs="宋体"/>
                      <w:bCs/>
                      <w:color w:val="auto"/>
                      <w:spacing w:val="-10"/>
                      <w:szCs w:val="21"/>
                      <w:highlight w:val="none"/>
                    </w:rPr>
                  </w:pPr>
                </w:p>
              </w:tc>
            </w:tr>
            <w:tr w14:paraId="1500D84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740" w:type="dxa"/>
                  <w:vMerge w:val="continue"/>
                  <w:vAlign w:val="center"/>
                </w:tcPr>
                <w:p w14:paraId="02A21572">
                  <w:pPr>
                    <w:adjustRightInd w:val="0"/>
                    <w:snapToGrid w:val="0"/>
                    <w:jc w:val="center"/>
                    <w:rPr>
                      <w:rFonts w:hint="eastAsia" w:cs="宋体"/>
                      <w:bCs/>
                      <w:color w:val="auto"/>
                      <w:spacing w:val="-10"/>
                      <w:szCs w:val="21"/>
                      <w:highlight w:val="none"/>
                    </w:rPr>
                  </w:pPr>
                </w:p>
              </w:tc>
              <w:tc>
                <w:tcPr>
                  <w:tcW w:w="996" w:type="dxa"/>
                  <w:shd w:val="clear" w:color="auto" w:fill="auto"/>
                  <w:vAlign w:val="center"/>
                </w:tcPr>
                <w:p w14:paraId="2098C7AB">
                  <w:pPr>
                    <w:adjustRightInd w:val="0"/>
                    <w:snapToGrid w:val="0"/>
                    <w:jc w:val="center"/>
                    <w:rPr>
                      <w:rFonts w:hint="eastAsia" w:ascii="Times New Roman" w:hAnsi="Times New Roman" w:eastAsia="宋体" w:cs="宋体"/>
                      <w:bCs/>
                      <w:color w:val="auto"/>
                      <w:spacing w:val="-10"/>
                      <w:kern w:val="2"/>
                      <w:sz w:val="21"/>
                      <w:szCs w:val="21"/>
                      <w:highlight w:val="none"/>
                      <w:lang w:val="en-US" w:eastAsia="zh-CN" w:bidi="ar-SA"/>
                    </w:rPr>
                  </w:pPr>
                  <w:r>
                    <w:rPr>
                      <w:rFonts w:hint="eastAsia" w:cs="宋体"/>
                      <w:bCs/>
                      <w:color w:val="auto"/>
                      <w:spacing w:val="-10"/>
                      <w:szCs w:val="21"/>
                      <w:highlight w:val="none"/>
                    </w:rPr>
                    <w:t>重型车间</w:t>
                  </w:r>
                </w:p>
              </w:tc>
              <w:tc>
                <w:tcPr>
                  <w:tcW w:w="1173" w:type="dxa"/>
                  <w:shd w:val="clear" w:color="auto" w:fill="auto"/>
                  <w:vAlign w:val="center"/>
                </w:tcPr>
                <w:p w14:paraId="056D4E79">
                  <w:pPr>
                    <w:adjustRightInd w:val="0"/>
                    <w:snapToGrid w:val="0"/>
                    <w:jc w:val="center"/>
                    <w:rPr>
                      <w:rFonts w:hint="eastAsia" w:ascii="Times New Roman" w:hAnsi="Times New Roman" w:eastAsia="宋体" w:cs="宋体"/>
                      <w:bCs/>
                      <w:color w:val="auto"/>
                      <w:spacing w:val="-10"/>
                      <w:kern w:val="2"/>
                      <w:sz w:val="21"/>
                      <w:szCs w:val="21"/>
                      <w:highlight w:val="none"/>
                      <w:lang w:val="en-US" w:eastAsia="zh-CN" w:bidi="ar-SA"/>
                    </w:rPr>
                  </w:pPr>
                  <w:r>
                    <w:rPr>
                      <w:rFonts w:hint="eastAsia" w:cs="宋体"/>
                      <w:bCs/>
                      <w:color w:val="auto"/>
                      <w:spacing w:val="-10"/>
                      <w:szCs w:val="21"/>
                      <w:highlight w:val="none"/>
                    </w:rPr>
                    <w:t>抛丸工序</w:t>
                  </w:r>
                </w:p>
              </w:tc>
              <w:tc>
                <w:tcPr>
                  <w:tcW w:w="1002" w:type="dxa"/>
                  <w:shd w:val="clear" w:color="auto" w:fill="auto"/>
                  <w:vAlign w:val="center"/>
                </w:tcPr>
                <w:p w14:paraId="6DB1BC5E">
                  <w:pPr>
                    <w:adjustRightInd w:val="0"/>
                    <w:snapToGrid w:val="0"/>
                    <w:jc w:val="center"/>
                    <w:rPr>
                      <w:rFonts w:hint="eastAsia" w:ascii="Times New Roman" w:hAnsi="Times New Roman" w:eastAsia="宋体" w:cs="宋体"/>
                      <w:bCs/>
                      <w:color w:val="auto"/>
                      <w:spacing w:val="-10"/>
                      <w:kern w:val="2"/>
                      <w:sz w:val="21"/>
                      <w:szCs w:val="21"/>
                      <w:highlight w:val="none"/>
                      <w:lang w:val="en-US" w:eastAsia="zh-CN" w:bidi="ar-SA"/>
                    </w:rPr>
                  </w:pPr>
                  <w:r>
                    <w:rPr>
                      <w:rFonts w:hint="eastAsia" w:cs="宋体"/>
                      <w:bCs/>
                      <w:color w:val="auto"/>
                      <w:spacing w:val="-10"/>
                      <w:szCs w:val="21"/>
                      <w:highlight w:val="none"/>
                    </w:rPr>
                    <w:t>颗粒物</w:t>
                  </w:r>
                </w:p>
              </w:tc>
              <w:tc>
                <w:tcPr>
                  <w:tcW w:w="1105" w:type="dxa"/>
                  <w:shd w:val="clear" w:color="auto" w:fill="auto"/>
                  <w:vAlign w:val="center"/>
                </w:tcPr>
                <w:p w14:paraId="4D384F68">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825</w:t>
                  </w:r>
                </w:p>
              </w:tc>
              <w:tc>
                <w:tcPr>
                  <w:tcW w:w="1265" w:type="dxa"/>
                  <w:shd w:val="clear" w:color="auto" w:fill="auto"/>
                  <w:vAlign w:val="center"/>
                </w:tcPr>
                <w:p w14:paraId="0BC35DAB">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19.79</w:t>
                  </w:r>
                </w:p>
              </w:tc>
              <w:tc>
                <w:tcPr>
                  <w:tcW w:w="1022" w:type="dxa"/>
                  <w:shd w:val="clear" w:color="auto" w:fill="auto"/>
                  <w:vAlign w:val="center"/>
                </w:tcPr>
                <w:p w14:paraId="64737C9D">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17.813</w:t>
                  </w:r>
                </w:p>
              </w:tc>
              <w:tc>
                <w:tcPr>
                  <w:tcW w:w="787" w:type="dxa"/>
                  <w:shd w:val="clear" w:color="auto" w:fill="auto"/>
                  <w:vAlign w:val="center"/>
                </w:tcPr>
                <w:p w14:paraId="014981C6">
                  <w:pPr>
                    <w:adjustRightInd w:val="0"/>
                    <w:snapToGrid w:val="0"/>
                    <w:jc w:val="center"/>
                    <w:rPr>
                      <w:rFonts w:hint="eastAsia" w:ascii="Times New Roman" w:hAnsi="Times New Roman" w:eastAsia="宋体" w:cs="宋体"/>
                      <w:bCs/>
                      <w:color w:val="auto"/>
                      <w:spacing w:val="-10"/>
                      <w:kern w:val="2"/>
                      <w:sz w:val="21"/>
                      <w:szCs w:val="21"/>
                      <w:highlight w:val="none"/>
                      <w:lang w:val="en-US" w:eastAsia="zh-CN" w:bidi="ar-SA"/>
                    </w:rPr>
                  </w:pPr>
                  <w:r>
                    <w:rPr>
                      <w:rFonts w:cs="宋体"/>
                      <w:bCs/>
                      <w:color w:val="auto"/>
                      <w:spacing w:val="-10"/>
                      <w:szCs w:val="21"/>
                      <w:highlight w:val="none"/>
                    </w:rPr>
                    <w:t>DA00</w:t>
                  </w:r>
                  <w:r>
                    <w:rPr>
                      <w:rFonts w:hint="eastAsia" w:cs="宋体"/>
                      <w:bCs/>
                      <w:color w:val="auto"/>
                      <w:spacing w:val="-10"/>
                      <w:szCs w:val="21"/>
                      <w:highlight w:val="none"/>
                    </w:rPr>
                    <w:t>4</w:t>
                  </w:r>
                </w:p>
              </w:tc>
            </w:tr>
            <w:tr w14:paraId="3767071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40" w:type="dxa"/>
                  <w:vAlign w:val="center"/>
                </w:tcPr>
                <w:p w14:paraId="697CB8C5">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无组织</w:t>
                  </w:r>
                </w:p>
              </w:tc>
              <w:tc>
                <w:tcPr>
                  <w:tcW w:w="996" w:type="dxa"/>
                  <w:vAlign w:val="center"/>
                </w:tcPr>
                <w:p w14:paraId="1D2574C9">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重型车间</w:t>
                  </w:r>
                </w:p>
              </w:tc>
              <w:tc>
                <w:tcPr>
                  <w:tcW w:w="1173" w:type="dxa"/>
                  <w:vAlign w:val="center"/>
                </w:tcPr>
                <w:p w14:paraId="2F0B477A">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抛丸工序未收集废气</w:t>
                  </w:r>
                </w:p>
              </w:tc>
              <w:tc>
                <w:tcPr>
                  <w:tcW w:w="1002" w:type="dxa"/>
                  <w:vAlign w:val="center"/>
                </w:tcPr>
                <w:p w14:paraId="62E87B2F">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颗粒物</w:t>
                  </w:r>
                </w:p>
              </w:tc>
              <w:tc>
                <w:tcPr>
                  <w:tcW w:w="1105" w:type="dxa"/>
                  <w:vAlign w:val="center"/>
                </w:tcPr>
                <w:p w14:paraId="234F6F2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65" w:type="dxa"/>
                  <w:vAlign w:val="center"/>
                </w:tcPr>
                <w:p w14:paraId="60E4886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22" w:type="dxa"/>
                  <w:vAlign w:val="center"/>
                </w:tcPr>
                <w:p w14:paraId="0C15454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0.364</w:t>
                  </w:r>
                </w:p>
              </w:tc>
              <w:tc>
                <w:tcPr>
                  <w:tcW w:w="787" w:type="dxa"/>
                  <w:vAlign w:val="center"/>
                </w:tcPr>
                <w:p w14:paraId="4BF009C0">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w:t>
                  </w:r>
                </w:p>
              </w:tc>
            </w:tr>
          </w:tbl>
          <w:p w14:paraId="48DB716E">
            <w:pPr>
              <w:pStyle w:val="119"/>
              <w:rPr>
                <w:color w:val="auto"/>
                <w:highlight w:val="none"/>
              </w:rPr>
            </w:pPr>
            <w:r>
              <w:rPr>
                <w:rFonts w:hint="eastAsia"/>
                <w:color w:val="auto"/>
                <w:highlight w:val="none"/>
              </w:rPr>
              <w:t>1</w:t>
            </w:r>
            <w:r>
              <w:rPr>
                <w:color w:val="auto"/>
                <w:highlight w:val="none"/>
              </w:rPr>
              <w:t>.2</w:t>
            </w:r>
            <w:r>
              <w:rPr>
                <w:rFonts w:hint="eastAsia"/>
                <w:color w:val="auto"/>
                <w:highlight w:val="none"/>
              </w:rPr>
              <w:t>废气治理措施情况</w:t>
            </w:r>
          </w:p>
          <w:p w14:paraId="67E4B0D8">
            <w:pPr>
              <w:pStyle w:val="116"/>
              <w:ind w:firstLine="420"/>
              <w:rPr>
                <w:color w:val="auto"/>
                <w:highlight w:val="none"/>
              </w:rPr>
            </w:pPr>
            <w:r>
              <w:rPr>
                <w:rFonts w:hint="eastAsia"/>
                <w:color w:val="auto"/>
                <w:highlight w:val="none"/>
              </w:rPr>
              <w:t>本项目废气治理措施情况见</w:t>
            </w:r>
            <w:r>
              <w:rPr>
                <w:color w:val="auto"/>
                <w:highlight w:val="none"/>
              </w:rPr>
              <w:fldChar w:fldCharType="begin"/>
            </w:r>
            <w:r>
              <w:rPr>
                <w:color w:val="auto"/>
                <w:highlight w:val="none"/>
              </w:rPr>
              <w:instrText xml:space="preserve"> REF _Ref114732425 \h  \* MERGEFORMAT </w:instrText>
            </w:r>
            <w:r>
              <w:rPr>
                <w:color w:val="auto"/>
                <w:highlight w:val="none"/>
              </w:rPr>
              <w:fldChar w:fldCharType="separate"/>
            </w:r>
            <w:r>
              <w:rPr>
                <w:rFonts w:hint="eastAsia"/>
                <w:color w:val="auto"/>
                <w:highlight w:val="none"/>
              </w:rPr>
              <w:t>表4</w:t>
            </w:r>
            <w:r>
              <w:rPr>
                <w:rFonts w:hint="eastAsia"/>
                <w:color w:val="auto"/>
                <w:highlight w:val="none"/>
                <w:lang w:eastAsia="zh-CN"/>
              </w:rPr>
              <w:t>-</w:t>
            </w:r>
            <w:r>
              <w:rPr>
                <w:color w:val="auto"/>
                <w:highlight w:val="none"/>
              </w:rPr>
              <w:t>2</w:t>
            </w:r>
            <w:r>
              <w:rPr>
                <w:color w:val="auto"/>
                <w:highlight w:val="none"/>
              </w:rPr>
              <w:fldChar w:fldCharType="end"/>
            </w:r>
            <w:r>
              <w:rPr>
                <w:rFonts w:hint="eastAsia"/>
                <w:color w:val="auto"/>
                <w:highlight w:val="none"/>
              </w:rPr>
              <w:t>。</w:t>
            </w:r>
          </w:p>
          <w:p w14:paraId="711043BC">
            <w:pPr>
              <w:pStyle w:val="10"/>
              <w:rPr>
                <w:bCs/>
                <w:color w:val="auto"/>
                <w:highlight w:val="none"/>
              </w:rPr>
            </w:pPr>
            <w:r>
              <w:rPr>
                <w:rFonts w:hint="eastAsia"/>
                <w:color w:val="auto"/>
                <w:highlight w:val="none"/>
              </w:rPr>
              <w:t>表4</w:t>
            </w:r>
            <w:r>
              <w:rPr>
                <w:rFonts w:hint="eastAsia"/>
                <w:color w:val="auto"/>
                <w:highlight w:val="none"/>
                <w:lang w:eastAsia="zh-CN"/>
              </w:rPr>
              <w:t>-</w:t>
            </w:r>
            <w:r>
              <w:rPr>
                <w:color w:val="auto"/>
                <w:highlight w:val="none"/>
              </w:rPr>
              <w:fldChar w:fldCharType="begin"/>
            </w:r>
            <w:r>
              <w:rPr>
                <w:color w:val="auto"/>
                <w:highlight w:val="none"/>
              </w:rPr>
              <w:instrText xml:space="preserve"> </w:instrText>
            </w:r>
            <w:r>
              <w:rPr>
                <w:rFonts w:hint="eastAsia"/>
                <w:color w:val="auto"/>
                <w:highlight w:val="none"/>
              </w:rPr>
              <w:instrText xml:space="preserve">SEQ 表4- \* ARABIC</w:instrText>
            </w:r>
            <w:r>
              <w:rPr>
                <w:color w:val="auto"/>
                <w:highlight w:val="none"/>
              </w:rPr>
              <w:instrText xml:space="preserve"> </w:instrText>
            </w:r>
            <w:r>
              <w:rPr>
                <w:color w:val="auto"/>
                <w:highlight w:val="none"/>
              </w:rPr>
              <w:fldChar w:fldCharType="separate"/>
            </w:r>
            <w:r>
              <w:rPr>
                <w:color w:val="auto"/>
                <w:highlight w:val="none"/>
              </w:rPr>
              <w:t>2</w:t>
            </w:r>
            <w:r>
              <w:rPr>
                <w:color w:val="auto"/>
                <w:highlight w:val="none"/>
              </w:rPr>
              <w:fldChar w:fldCharType="end"/>
            </w:r>
            <w:r>
              <w:rPr>
                <w:rFonts w:hint="eastAsia"/>
                <w:bCs/>
                <w:color w:val="auto"/>
                <w:highlight w:val="none"/>
              </w:rPr>
              <w:t>废气治理措施情况一览表</w:t>
            </w:r>
          </w:p>
          <w:tbl>
            <w:tblPr>
              <w:tblStyle w:val="3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05"/>
              <w:gridCol w:w="443"/>
              <w:gridCol w:w="1010"/>
              <w:gridCol w:w="804"/>
              <w:gridCol w:w="2223"/>
              <w:gridCol w:w="973"/>
              <w:gridCol w:w="650"/>
              <w:gridCol w:w="640"/>
              <w:gridCol w:w="680"/>
            </w:tblGrid>
            <w:tr w14:paraId="6D83CC1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1" w:type="pct"/>
                  <w:gridSpan w:val="3"/>
                  <w:vAlign w:val="center"/>
                </w:tcPr>
                <w:p w14:paraId="6615D7D6">
                  <w:pPr>
                    <w:snapToGrid w:val="0"/>
                    <w:jc w:val="center"/>
                    <w:rPr>
                      <w:rFonts w:hAnsi="宋体"/>
                      <w:bCs/>
                      <w:color w:val="auto"/>
                      <w:szCs w:val="21"/>
                      <w:highlight w:val="none"/>
                    </w:rPr>
                  </w:pPr>
                  <w:r>
                    <w:rPr>
                      <w:rFonts w:hAnsi="宋体"/>
                      <w:bCs/>
                      <w:color w:val="auto"/>
                      <w:szCs w:val="21"/>
                      <w:highlight w:val="none"/>
                    </w:rPr>
                    <w:t>产污</w:t>
                  </w:r>
                </w:p>
                <w:p w14:paraId="6C35831C">
                  <w:pPr>
                    <w:snapToGrid w:val="0"/>
                    <w:jc w:val="center"/>
                    <w:rPr>
                      <w:rFonts w:hAnsi="宋体"/>
                      <w:bCs/>
                      <w:color w:val="auto"/>
                      <w:szCs w:val="21"/>
                      <w:highlight w:val="none"/>
                    </w:rPr>
                  </w:pPr>
                  <w:r>
                    <w:rPr>
                      <w:rFonts w:hAnsi="宋体"/>
                      <w:bCs/>
                      <w:color w:val="auto"/>
                      <w:szCs w:val="21"/>
                      <w:highlight w:val="none"/>
                    </w:rPr>
                    <w:t>环节</w:t>
                  </w:r>
                </w:p>
              </w:tc>
              <w:tc>
                <w:tcPr>
                  <w:tcW w:w="500" w:type="pct"/>
                  <w:vAlign w:val="center"/>
                </w:tcPr>
                <w:p w14:paraId="26A2584C">
                  <w:pPr>
                    <w:snapToGrid w:val="0"/>
                    <w:jc w:val="center"/>
                    <w:rPr>
                      <w:rFonts w:hAnsi="宋体"/>
                      <w:bCs/>
                      <w:color w:val="auto"/>
                      <w:szCs w:val="21"/>
                      <w:highlight w:val="none"/>
                    </w:rPr>
                  </w:pPr>
                  <w:r>
                    <w:rPr>
                      <w:rFonts w:hAnsi="宋体"/>
                      <w:bCs/>
                      <w:color w:val="auto"/>
                      <w:szCs w:val="21"/>
                      <w:highlight w:val="none"/>
                    </w:rPr>
                    <w:t>污染物</w:t>
                  </w:r>
                </w:p>
              </w:tc>
              <w:tc>
                <w:tcPr>
                  <w:tcW w:w="1384" w:type="pct"/>
                  <w:vAlign w:val="center"/>
                </w:tcPr>
                <w:p w14:paraId="251E5D74">
                  <w:pPr>
                    <w:snapToGrid w:val="0"/>
                    <w:jc w:val="center"/>
                    <w:rPr>
                      <w:rFonts w:hAnsi="宋体"/>
                      <w:bCs/>
                      <w:color w:val="auto"/>
                      <w:szCs w:val="21"/>
                      <w:highlight w:val="none"/>
                    </w:rPr>
                  </w:pPr>
                  <w:r>
                    <w:rPr>
                      <w:rFonts w:hint="eastAsia" w:hAnsi="宋体"/>
                      <w:bCs/>
                      <w:color w:val="auto"/>
                      <w:szCs w:val="21"/>
                      <w:highlight w:val="none"/>
                    </w:rPr>
                    <w:t>治</w:t>
                  </w:r>
                  <w:r>
                    <w:rPr>
                      <w:rFonts w:hAnsi="宋体"/>
                      <w:bCs/>
                      <w:color w:val="auto"/>
                      <w:szCs w:val="21"/>
                      <w:highlight w:val="none"/>
                    </w:rPr>
                    <w:t>理</w:t>
                  </w:r>
                  <w:r>
                    <w:rPr>
                      <w:rFonts w:hint="eastAsia" w:hAnsi="宋体"/>
                      <w:bCs/>
                      <w:color w:val="auto"/>
                      <w:szCs w:val="21"/>
                      <w:highlight w:val="none"/>
                    </w:rPr>
                    <w:t>措</w:t>
                  </w:r>
                  <w:r>
                    <w:rPr>
                      <w:rFonts w:hAnsi="宋体"/>
                      <w:bCs/>
                      <w:color w:val="auto"/>
                      <w:szCs w:val="21"/>
                      <w:highlight w:val="none"/>
                    </w:rPr>
                    <w:t>施</w:t>
                  </w:r>
                </w:p>
              </w:tc>
              <w:tc>
                <w:tcPr>
                  <w:tcW w:w="606" w:type="pct"/>
                  <w:vAlign w:val="center"/>
                </w:tcPr>
                <w:p w14:paraId="7C97481E">
                  <w:pPr>
                    <w:snapToGrid w:val="0"/>
                    <w:jc w:val="center"/>
                    <w:rPr>
                      <w:rFonts w:hAnsi="宋体"/>
                      <w:bCs/>
                      <w:color w:val="auto"/>
                      <w:szCs w:val="21"/>
                      <w:highlight w:val="none"/>
                    </w:rPr>
                  </w:pPr>
                  <w:r>
                    <w:rPr>
                      <w:rFonts w:hint="eastAsia" w:hAnsi="宋体"/>
                      <w:bCs/>
                      <w:color w:val="auto"/>
                      <w:szCs w:val="21"/>
                      <w:highlight w:val="none"/>
                    </w:rPr>
                    <w:t>处理能力/（</w:t>
                  </w:r>
                  <w:r>
                    <w:rPr>
                      <w:rFonts w:hAnsi="宋体"/>
                      <w:bCs/>
                      <w:color w:val="auto"/>
                      <w:szCs w:val="21"/>
                      <w:highlight w:val="none"/>
                    </w:rPr>
                    <w:t>m</w:t>
                  </w:r>
                  <w:r>
                    <w:rPr>
                      <w:rFonts w:hAnsi="宋体"/>
                      <w:bCs/>
                      <w:color w:val="auto"/>
                      <w:szCs w:val="21"/>
                      <w:highlight w:val="none"/>
                      <w:vertAlign w:val="superscript"/>
                    </w:rPr>
                    <w:t>3</w:t>
                  </w:r>
                  <w:r>
                    <w:rPr>
                      <w:rFonts w:hAnsi="宋体"/>
                      <w:bCs/>
                      <w:color w:val="auto"/>
                      <w:szCs w:val="21"/>
                      <w:highlight w:val="none"/>
                    </w:rPr>
                    <w:t>/h</w:t>
                  </w:r>
                  <w:r>
                    <w:rPr>
                      <w:rFonts w:hint="eastAsia" w:hAnsi="宋体"/>
                      <w:bCs/>
                      <w:color w:val="auto"/>
                      <w:szCs w:val="21"/>
                      <w:highlight w:val="none"/>
                    </w:rPr>
                    <w:t>）</w:t>
                  </w:r>
                </w:p>
              </w:tc>
              <w:tc>
                <w:tcPr>
                  <w:tcW w:w="404" w:type="pct"/>
                  <w:vAlign w:val="center"/>
                </w:tcPr>
                <w:p w14:paraId="099DE0DD">
                  <w:pPr>
                    <w:snapToGrid w:val="0"/>
                    <w:jc w:val="center"/>
                    <w:rPr>
                      <w:rFonts w:hAnsi="宋体"/>
                      <w:bCs/>
                      <w:color w:val="auto"/>
                      <w:szCs w:val="21"/>
                      <w:highlight w:val="none"/>
                    </w:rPr>
                  </w:pPr>
                  <w:r>
                    <w:rPr>
                      <w:rFonts w:hint="eastAsia" w:hAnsi="宋体"/>
                      <w:bCs/>
                      <w:color w:val="auto"/>
                      <w:szCs w:val="21"/>
                      <w:highlight w:val="none"/>
                    </w:rPr>
                    <w:t>收集</w:t>
                  </w:r>
                  <w:r>
                    <w:rPr>
                      <w:rFonts w:hAnsi="宋体"/>
                      <w:bCs/>
                      <w:color w:val="auto"/>
                      <w:szCs w:val="21"/>
                      <w:highlight w:val="none"/>
                    </w:rPr>
                    <w:t>效率%</w:t>
                  </w:r>
                </w:p>
              </w:tc>
              <w:tc>
                <w:tcPr>
                  <w:tcW w:w="398" w:type="pct"/>
                  <w:vAlign w:val="center"/>
                </w:tcPr>
                <w:p w14:paraId="5438E5C9">
                  <w:pPr>
                    <w:snapToGrid w:val="0"/>
                    <w:jc w:val="center"/>
                    <w:rPr>
                      <w:rFonts w:hAnsi="宋体"/>
                      <w:bCs/>
                      <w:color w:val="auto"/>
                      <w:szCs w:val="21"/>
                      <w:highlight w:val="none"/>
                    </w:rPr>
                  </w:pPr>
                  <w:r>
                    <w:rPr>
                      <w:rFonts w:hAnsi="宋体"/>
                      <w:bCs/>
                      <w:color w:val="auto"/>
                      <w:szCs w:val="21"/>
                      <w:highlight w:val="none"/>
                    </w:rPr>
                    <w:t>去除</w:t>
                  </w:r>
                </w:p>
                <w:p w14:paraId="3F98F4A3">
                  <w:pPr>
                    <w:snapToGrid w:val="0"/>
                    <w:jc w:val="center"/>
                    <w:rPr>
                      <w:rFonts w:hAnsi="宋体"/>
                      <w:bCs/>
                      <w:color w:val="auto"/>
                      <w:szCs w:val="21"/>
                      <w:highlight w:val="none"/>
                    </w:rPr>
                  </w:pPr>
                  <w:r>
                    <w:rPr>
                      <w:rFonts w:hAnsi="宋体"/>
                      <w:bCs/>
                      <w:color w:val="auto"/>
                      <w:szCs w:val="21"/>
                      <w:highlight w:val="none"/>
                    </w:rPr>
                    <w:t>效率%</w:t>
                  </w:r>
                </w:p>
              </w:tc>
              <w:tc>
                <w:tcPr>
                  <w:tcW w:w="423" w:type="pct"/>
                  <w:vAlign w:val="center"/>
                </w:tcPr>
                <w:p w14:paraId="43AB32AA">
                  <w:pPr>
                    <w:snapToGrid w:val="0"/>
                    <w:jc w:val="center"/>
                    <w:rPr>
                      <w:rFonts w:hAnsi="宋体"/>
                      <w:bCs/>
                      <w:color w:val="auto"/>
                      <w:szCs w:val="21"/>
                      <w:highlight w:val="none"/>
                    </w:rPr>
                  </w:pPr>
                  <w:r>
                    <w:rPr>
                      <w:rFonts w:hint="eastAsia" w:hAnsi="宋体"/>
                      <w:bCs/>
                      <w:color w:val="auto"/>
                      <w:szCs w:val="21"/>
                      <w:highlight w:val="none"/>
                    </w:rPr>
                    <w:t>排放</w:t>
                  </w:r>
                  <w:r>
                    <w:rPr>
                      <w:rFonts w:hAnsi="宋体"/>
                      <w:bCs/>
                      <w:color w:val="auto"/>
                      <w:szCs w:val="21"/>
                      <w:highlight w:val="none"/>
                    </w:rPr>
                    <w:t>形式</w:t>
                  </w:r>
                </w:p>
              </w:tc>
            </w:tr>
            <w:tr w14:paraId="32A1D45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376" w:type="pct"/>
                  <w:vMerge w:val="restart"/>
                  <w:vAlign w:val="center"/>
                </w:tcPr>
                <w:p w14:paraId="4E300687">
                  <w:pPr>
                    <w:pStyle w:val="116"/>
                    <w:spacing w:line="240" w:lineRule="auto"/>
                    <w:ind w:firstLine="0" w:firstLineChars="0"/>
                    <w:jc w:val="center"/>
                    <w:rPr>
                      <w:rFonts w:hint="eastAsia" w:cs="宋体"/>
                      <w:color w:val="auto"/>
                      <w:highlight w:val="none"/>
                    </w:rPr>
                  </w:pPr>
                  <w:r>
                    <w:rPr>
                      <w:rFonts w:hint="eastAsia"/>
                      <w:color w:val="auto"/>
                      <w:szCs w:val="21"/>
                      <w:highlight w:val="none"/>
                    </w:rPr>
                    <w:t>自由锻与热处理车间</w:t>
                  </w:r>
                </w:p>
              </w:tc>
              <w:tc>
                <w:tcPr>
                  <w:tcW w:w="904" w:type="pct"/>
                  <w:gridSpan w:val="2"/>
                  <w:vAlign w:val="center"/>
                </w:tcPr>
                <w:p w14:paraId="27C342AF">
                  <w:pPr>
                    <w:jc w:val="center"/>
                    <w:rPr>
                      <w:rFonts w:hint="eastAsia" w:eastAsia="宋体" w:cs="宋体"/>
                      <w:bCs/>
                      <w:color w:val="auto"/>
                      <w:spacing w:val="-10"/>
                      <w:szCs w:val="21"/>
                      <w:highlight w:val="none"/>
                      <w:lang w:val="en-US" w:eastAsia="zh-CN"/>
                    </w:rPr>
                  </w:pPr>
                  <w:r>
                    <w:rPr>
                      <w:rFonts w:hint="eastAsia" w:ascii="Times New Roman" w:hAnsi="Times New Roman" w:cs="Times New Roman" w:eastAsiaTheme="minorEastAsia"/>
                      <w:color w:val="auto"/>
                      <w:szCs w:val="21"/>
                      <w:highlight w:val="none"/>
                      <w:lang w:val="en-US" w:eastAsia="zh-CN"/>
                    </w:rPr>
                    <w:t>轧球</w:t>
                  </w:r>
                  <w:r>
                    <w:rPr>
                      <w:rFonts w:hint="eastAsia" w:ascii="Times New Roman" w:hAnsi="Times New Roman" w:cs="Times New Roman" w:eastAsiaTheme="minorEastAsia"/>
                      <w:b w:val="0"/>
                      <w:bCs w:val="0"/>
                      <w:color w:val="auto"/>
                      <w:sz w:val="21"/>
                      <w:szCs w:val="21"/>
                      <w:highlight w:val="none"/>
                      <w:lang w:val="en-US" w:eastAsia="zh-CN"/>
                    </w:rPr>
                    <w:t>燃气</w:t>
                  </w:r>
                  <w:r>
                    <w:rPr>
                      <w:rFonts w:hint="eastAsia" w:ascii="Times New Roman" w:hAnsi="Times New Roman" w:cs="Times New Roman" w:eastAsiaTheme="minorEastAsia"/>
                      <w:color w:val="auto"/>
                      <w:szCs w:val="21"/>
                      <w:highlight w:val="none"/>
                      <w:lang w:val="en-US" w:eastAsia="zh-CN"/>
                    </w:rPr>
                    <w:t>回火炉</w:t>
                  </w:r>
                  <w:r>
                    <w:rPr>
                      <w:rFonts w:hint="eastAsia" w:cs="Times New Roman" w:eastAsiaTheme="minorEastAsia"/>
                      <w:color w:val="auto"/>
                      <w:szCs w:val="21"/>
                      <w:highlight w:val="none"/>
                      <w:lang w:val="en-US" w:eastAsia="zh-CN"/>
                    </w:rPr>
                    <w:t>1#</w:t>
                  </w:r>
                </w:p>
              </w:tc>
              <w:tc>
                <w:tcPr>
                  <w:tcW w:w="500" w:type="pct"/>
                  <w:vMerge w:val="restart"/>
                  <w:vAlign w:val="center"/>
                </w:tcPr>
                <w:p w14:paraId="230790E0">
                  <w:pPr>
                    <w:pStyle w:val="116"/>
                    <w:spacing w:line="240" w:lineRule="auto"/>
                    <w:ind w:firstLine="0" w:firstLineChars="0"/>
                    <w:jc w:val="center"/>
                    <w:rPr>
                      <w:rFonts w:hint="eastAsia" w:cs="宋体"/>
                      <w:color w:val="auto"/>
                      <w:highlight w:val="none"/>
                    </w:rPr>
                  </w:pPr>
                  <w:r>
                    <w:rPr>
                      <w:rFonts w:hint="eastAsia" w:cs="宋体"/>
                      <w:color w:val="auto"/>
                      <w:highlight w:val="none"/>
                    </w:rPr>
                    <w:t>颗粒物</w:t>
                  </w:r>
                  <w:r>
                    <w:rPr>
                      <w:rFonts w:hint="eastAsia" w:cs="宋体"/>
                      <w:color w:val="auto"/>
                      <w:highlight w:val="none"/>
                      <w:lang w:eastAsia="zh-CN"/>
                    </w:rPr>
                    <w:t>、</w:t>
                  </w:r>
                  <w:r>
                    <w:rPr>
                      <w:rFonts w:hint="eastAsia" w:cs="宋体"/>
                      <w:color w:val="auto"/>
                      <w:highlight w:val="none"/>
                    </w:rPr>
                    <w:t>SO</w:t>
                  </w:r>
                  <w:r>
                    <w:rPr>
                      <w:rFonts w:hint="eastAsia" w:cs="宋体"/>
                      <w:color w:val="auto"/>
                      <w:highlight w:val="none"/>
                      <w:vertAlign w:val="subscript"/>
                    </w:rPr>
                    <w:t>2</w:t>
                  </w:r>
                  <w:r>
                    <w:rPr>
                      <w:rFonts w:hint="eastAsia" w:cs="宋体"/>
                      <w:color w:val="auto"/>
                      <w:highlight w:val="none"/>
                      <w:lang w:eastAsia="zh-CN"/>
                    </w:rPr>
                    <w:t>、</w:t>
                  </w:r>
                  <w:r>
                    <w:rPr>
                      <w:rFonts w:hint="eastAsia" w:cs="宋体"/>
                      <w:color w:val="auto"/>
                      <w:highlight w:val="none"/>
                    </w:rPr>
                    <w:t>NOx</w:t>
                  </w:r>
                </w:p>
              </w:tc>
              <w:tc>
                <w:tcPr>
                  <w:tcW w:w="1384" w:type="pct"/>
                  <w:vMerge w:val="restart"/>
                  <w:vAlign w:val="center"/>
                </w:tcPr>
                <w:p w14:paraId="67A48E7A">
                  <w:pPr>
                    <w:snapToGrid w:val="0"/>
                    <w:jc w:val="center"/>
                    <w:rPr>
                      <w:rFonts w:hint="eastAsia" w:hAnsi="宋体"/>
                      <w:bCs/>
                      <w:color w:val="auto"/>
                      <w:szCs w:val="21"/>
                      <w:highlight w:val="none"/>
                    </w:rPr>
                  </w:pPr>
                  <w:r>
                    <w:rPr>
                      <w:rFonts w:hint="default" w:ascii="Times New Roman" w:hAnsi="Times New Roman" w:eastAsia="宋体" w:cs="Times New Roman"/>
                      <w:color w:val="auto"/>
                      <w:spacing w:val="-5"/>
                      <w:sz w:val="21"/>
                      <w:szCs w:val="21"/>
                      <w:highlight w:val="none"/>
                    </w:rPr>
                    <w:t>安装低氮燃烧器</w:t>
                  </w:r>
                  <w:r>
                    <w:rPr>
                      <w:rFonts w:hint="eastAsia" w:cs="Times New Roman"/>
                      <w:color w:val="auto"/>
                      <w:spacing w:val="-5"/>
                      <w:sz w:val="21"/>
                      <w:szCs w:val="21"/>
                      <w:highlight w:val="none"/>
                      <w:lang w:eastAsia="zh-CN"/>
                    </w:rPr>
                    <w:t>，</w:t>
                  </w:r>
                  <w:r>
                    <w:rPr>
                      <w:rFonts w:hint="default" w:ascii="Times New Roman" w:hAnsi="Times New Roman" w:cs="Times New Roman"/>
                      <w:color w:val="auto"/>
                      <w:spacing w:val="-8"/>
                      <w:sz w:val="21"/>
                      <w:szCs w:val="21"/>
                      <w:highlight w:val="none"/>
                      <w:lang w:val="en-US" w:eastAsia="zh-CN"/>
                    </w:rPr>
                    <w:t>经1根27m高排气筒</w:t>
                  </w:r>
                  <w:r>
                    <w:rPr>
                      <w:rFonts w:hint="default" w:ascii="Times New Roman" w:hAnsi="Times New Roman" w:cs="Times New Roman"/>
                      <w:color w:val="auto"/>
                      <w:spacing w:val="-2"/>
                      <w:sz w:val="21"/>
                      <w:szCs w:val="21"/>
                      <w:highlight w:val="none"/>
                      <w:lang w:eastAsia="zh-CN"/>
                    </w:rPr>
                    <w:t>（</w:t>
                  </w:r>
                  <w:r>
                    <w:rPr>
                      <w:rFonts w:hint="default" w:ascii="Times New Roman" w:hAnsi="Times New Roman" w:cs="Times New Roman"/>
                      <w:color w:val="auto"/>
                      <w:spacing w:val="-2"/>
                      <w:sz w:val="21"/>
                      <w:szCs w:val="21"/>
                      <w:highlight w:val="none"/>
                      <w:lang w:val="en-US" w:eastAsia="zh-CN"/>
                    </w:rPr>
                    <w:t>DA005</w:t>
                  </w:r>
                  <w:r>
                    <w:rPr>
                      <w:rFonts w:hint="default" w:ascii="Times New Roman" w:hAnsi="Times New Roman" w:cs="Times New Roman"/>
                      <w:color w:val="auto"/>
                      <w:spacing w:val="-2"/>
                      <w:sz w:val="21"/>
                      <w:szCs w:val="21"/>
                      <w:highlight w:val="none"/>
                      <w:lang w:eastAsia="zh-CN"/>
                    </w:rPr>
                    <w:t>）</w:t>
                  </w:r>
                  <w:r>
                    <w:rPr>
                      <w:rFonts w:hint="default" w:ascii="Times New Roman" w:hAnsi="Times New Roman" w:cs="Times New Roman"/>
                      <w:color w:val="auto"/>
                      <w:spacing w:val="-2"/>
                      <w:sz w:val="21"/>
                      <w:szCs w:val="21"/>
                      <w:highlight w:val="none"/>
                      <w:lang w:val="en-US" w:eastAsia="zh-CN"/>
                    </w:rPr>
                    <w:t>排放</w:t>
                  </w:r>
                </w:p>
              </w:tc>
              <w:tc>
                <w:tcPr>
                  <w:tcW w:w="606" w:type="pct"/>
                  <w:vAlign w:val="center"/>
                </w:tcPr>
                <w:p w14:paraId="3306BCD7">
                  <w:pPr>
                    <w:snapToGrid w:val="0"/>
                    <w:jc w:val="center"/>
                    <w:rPr>
                      <w:rFonts w:hint="default" w:hAnsi="宋体" w:eastAsia="宋体"/>
                      <w:bCs/>
                      <w:color w:val="auto"/>
                      <w:szCs w:val="21"/>
                      <w:highlight w:val="none"/>
                      <w:lang w:val="en-US" w:eastAsia="zh-CN"/>
                    </w:rPr>
                  </w:pPr>
                  <w:r>
                    <w:rPr>
                      <w:rFonts w:hint="eastAsia" w:hAnsi="宋体"/>
                      <w:bCs/>
                      <w:color w:val="auto"/>
                      <w:szCs w:val="21"/>
                      <w:highlight w:val="none"/>
                      <w:lang w:val="en-US" w:eastAsia="zh-CN"/>
                    </w:rPr>
                    <w:t>26460</w:t>
                  </w:r>
                </w:p>
              </w:tc>
              <w:tc>
                <w:tcPr>
                  <w:tcW w:w="404" w:type="pct"/>
                  <w:vAlign w:val="center"/>
                </w:tcPr>
                <w:p w14:paraId="5F98C688">
                  <w:pPr>
                    <w:snapToGrid w:val="0"/>
                    <w:jc w:val="center"/>
                    <w:rPr>
                      <w:rFonts w:hint="default" w:hAnsi="宋体" w:eastAsia="宋体"/>
                      <w:bCs/>
                      <w:color w:val="auto"/>
                      <w:szCs w:val="21"/>
                      <w:highlight w:val="none"/>
                      <w:lang w:val="en-US" w:eastAsia="zh-CN"/>
                    </w:rPr>
                  </w:pPr>
                  <w:r>
                    <w:rPr>
                      <w:rFonts w:hint="eastAsia" w:hAnsi="宋体"/>
                      <w:bCs/>
                      <w:color w:val="auto"/>
                      <w:szCs w:val="21"/>
                      <w:highlight w:val="none"/>
                      <w:lang w:val="en-US" w:eastAsia="zh-CN"/>
                    </w:rPr>
                    <w:t>100</w:t>
                  </w:r>
                </w:p>
              </w:tc>
              <w:tc>
                <w:tcPr>
                  <w:tcW w:w="398" w:type="pct"/>
                  <w:vAlign w:val="center"/>
                </w:tcPr>
                <w:p w14:paraId="102B2723">
                  <w:pPr>
                    <w:snapToGrid w:val="0"/>
                    <w:jc w:val="center"/>
                    <w:rPr>
                      <w:rFonts w:hint="default" w:hAnsi="宋体" w:eastAsia="宋体"/>
                      <w:bCs/>
                      <w:color w:val="auto"/>
                      <w:szCs w:val="21"/>
                      <w:highlight w:val="none"/>
                      <w:lang w:val="en-US" w:eastAsia="zh-CN"/>
                    </w:rPr>
                  </w:pPr>
                  <w:r>
                    <w:rPr>
                      <w:rFonts w:hint="eastAsia" w:hAnsi="宋体"/>
                      <w:bCs/>
                      <w:color w:val="auto"/>
                      <w:szCs w:val="21"/>
                      <w:highlight w:val="none"/>
                      <w:lang w:val="en-US" w:eastAsia="zh-CN"/>
                    </w:rPr>
                    <w:t>50</w:t>
                  </w:r>
                </w:p>
              </w:tc>
              <w:tc>
                <w:tcPr>
                  <w:tcW w:w="423" w:type="pct"/>
                  <w:vAlign w:val="center"/>
                </w:tcPr>
                <w:p w14:paraId="231E618A">
                  <w:pPr>
                    <w:snapToGrid w:val="0"/>
                    <w:jc w:val="center"/>
                    <w:rPr>
                      <w:rFonts w:hint="eastAsia" w:hAnsi="宋体"/>
                      <w:bCs/>
                      <w:color w:val="auto"/>
                      <w:szCs w:val="21"/>
                      <w:highlight w:val="none"/>
                    </w:rPr>
                  </w:pPr>
                  <w:r>
                    <w:rPr>
                      <w:rFonts w:hint="eastAsia" w:hAnsi="宋体"/>
                      <w:bCs/>
                      <w:color w:val="auto"/>
                      <w:szCs w:val="21"/>
                      <w:highlight w:val="none"/>
                    </w:rPr>
                    <w:t>有组织</w:t>
                  </w:r>
                </w:p>
              </w:tc>
            </w:tr>
            <w:tr w14:paraId="64C6239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376" w:type="pct"/>
                  <w:vMerge w:val="continue"/>
                  <w:vAlign w:val="center"/>
                </w:tcPr>
                <w:p w14:paraId="04DC9B33">
                  <w:pPr>
                    <w:snapToGrid w:val="0"/>
                    <w:jc w:val="center"/>
                    <w:rPr>
                      <w:color w:val="auto"/>
                      <w:highlight w:val="none"/>
                    </w:rPr>
                  </w:pPr>
                </w:p>
              </w:tc>
              <w:tc>
                <w:tcPr>
                  <w:tcW w:w="904" w:type="pct"/>
                  <w:gridSpan w:val="2"/>
                  <w:vAlign w:val="center"/>
                </w:tcPr>
                <w:p w14:paraId="0CF20FB0">
                  <w:pPr>
                    <w:jc w:val="center"/>
                    <w:rPr>
                      <w:rFonts w:hint="eastAsia" w:ascii="Times New Roman" w:hAnsi="Times New Roman" w:cs="Times New Roman"/>
                      <w:color w:val="auto"/>
                      <w:sz w:val="21"/>
                      <w:szCs w:val="21"/>
                      <w:highlight w:val="none"/>
                      <w:lang w:eastAsia="zh-CN"/>
                    </w:rPr>
                  </w:pPr>
                  <w:r>
                    <w:rPr>
                      <w:rFonts w:hint="eastAsia" w:ascii="Times New Roman" w:hAnsi="Times New Roman" w:cs="Times New Roman" w:eastAsiaTheme="minorEastAsia"/>
                      <w:color w:val="auto"/>
                      <w:sz w:val="21"/>
                      <w:szCs w:val="21"/>
                      <w:highlight w:val="none"/>
                      <w:lang w:val="en-US" w:eastAsia="zh-CN"/>
                    </w:rPr>
                    <w:t>锻球</w:t>
                  </w:r>
                  <w:r>
                    <w:rPr>
                      <w:rFonts w:hint="eastAsia" w:ascii="Times New Roman" w:hAnsi="Times New Roman" w:cs="Times New Roman" w:eastAsiaTheme="minorEastAsia"/>
                      <w:b w:val="0"/>
                      <w:bCs w:val="0"/>
                      <w:color w:val="auto"/>
                      <w:sz w:val="21"/>
                      <w:szCs w:val="21"/>
                      <w:highlight w:val="none"/>
                      <w:lang w:val="en-US" w:eastAsia="zh-CN"/>
                    </w:rPr>
                    <w:t>燃气</w:t>
                  </w:r>
                  <w:r>
                    <w:rPr>
                      <w:rFonts w:hint="eastAsia" w:ascii="Times New Roman" w:hAnsi="Times New Roman" w:cs="Times New Roman" w:eastAsiaTheme="minorEastAsia"/>
                      <w:color w:val="auto"/>
                      <w:sz w:val="21"/>
                      <w:szCs w:val="21"/>
                      <w:highlight w:val="none"/>
                      <w:lang w:val="en-US" w:eastAsia="zh-CN"/>
                    </w:rPr>
                    <w:t>环形炉</w:t>
                  </w:r>
                </w:p>
              </w:tc>
              <w:tc>
                <w:tcPr>
                  <w:tcW w:w="500" w:type="pct"/>
                  <w:vMerge w:val="continue"/>
                  <w:vAlign w:val="center"/>
                </w:tcPr>
                <w:p w14:paraId="1A20BC92">
                  <w:pPr>
                    <w:snapToGrid w:val="0"/>
                    <w:spacing w:line="240" w:lineRule="auto"/>
                    <w:ind w:firstLine="0" w:firstLineChars="0"/>
                    <w:jc w:val="center"/>
                    <w:rPr>
                      <w:rFonts w:hint="eastAsia" w:cs="宋体"/>
                      <w:color w:val="auto"/>
                      <w:highlight w:val="none"/>
                    </w:rPr>
                  </w:pPr>
                </w:p>
              </w:tc>
              <w:tc>
                <w:tcPr>
                  <w:tcW w:w="1384" w:type="pct"/>
                  <w:vMerge w:val="continue"/>
                  <w:shd w:val="clear" w:color="auto" w:fill="auto"/>
                  <w:vAlign w:val="center"/>
                </w:tcPr>
                <w:p w14:paraId="315E75CB">
                  <w:pPr>
                    <w:spacing w:line="240" w:lineRule="auto"/>
                    <w:rPr>
                      <w:rFonts w:hint="default" w:ascii="Times New Roman" w:hAnsi="Times New Roman" w:cs="Times New Roman"/>
                      <w:color w:val="auto"/>
                      <w:spacing w:val="-8"/>
                      <w:sz w:val="21"/>
                      <w:szCs w:val="21"/>
                      <w:highlight w:val="none"/>
                      <w:lang w:val="en-US" w:eastAsia="zh-CN"/>
                    </w:rPr>
                  </w:pPr>
                </w:p>
              </w:tc>
              <w:tc>
                <w:tcPr>
                  <w:tcW w:w="606" w:type="pct"/>
                  <w:vAlign w:val="center"/>
                </w:tcPr>
                <w:p w14:paraId="50734398">
                  <w:pPr>
                    <w:snapToGrid w:val="0"/>
                    <w:jc w:val="center"/>
                    <w:rPr>
                      <w:rFonts w:hint="default" w:cs="宋体"/>
                      <w:bCs/>
                      <w:color w:val="auto"/>
                      <w:spacing w:val="-10"/>
                      <w:szCs w:val="21"/>
                      <w:highlight w:val="none"/>
                      <w:lang w:val="en-US" w:eastAsia="zh-CN"/>
                    </w:rPr>
                  </w:pPr>
                  <w:r>
                    <w:rPr>
                      <w:rFonts w:hint="eastAsia" w:cs="宋体"/>
                      <w:bCs/>
                      <w:color w:val="auto"/>
                      <w:spacing w:val="-10"/>
                      <w:szCs w:val="21"/>
                      <w:highlight w:val="none"/>
                      <w:lang w:val="en-US" w:eastAsia="zh-CN"/>
                    </w:rPr>
                    <w:t>32000</w:t>
                  </w:r>
                </w:p>
              </w:tc>
              <w:tc>
                <w:tcPr>
                  <w:tcW w:w="404" w:type="pct"/>
                  <w:vAlign w:val="center"/>
                </w:tcPr>
                <w:p w14:paraId="60151E28">
                  <w:pPr>
                    <w:snapToGrid w:val="0"/>
                    <w:jc w:val="center"/>
                    <w:rPr>
                      <w:rFonts w:hint="eastAsia" w:hAnsi="宋体"/>
                      <w:bCs/>
                      <w:color w:val="auto"/>
                      <w:szCs w:val="21"/>
                      <w:highlight w:val="none"/>
                      <w:lang w:val="en-US" w:eastAsia="zh-CN"/>
                    </w:rPr>
                  </w:pPr>
                  <w:r>
                    <w:rPr>
                      <w:rFonts w:hint="eastAsia" w:hAnsi="宋体"/>
                      <w:bCs/>
                      <w:color w:val="auto"/>
                      <w:szCs w:val="21"/>
                      <w:highlight w:val="none"/>
                      <w:lang w:val="en-US" w:eastAsia="zh-CN"/>
                    </w:rPr>
                    <w:t>100</w:t>
                  </w:r>
                </w:p>
              </w:tc>
              <w:tc>
                <w:tcPr>
                  <w:tcW w:w="398" w:type="pct"/>
                  <w:shd w:val="clear" w:color="auto" w:fill="auto"/>
                  <w:vAlign w:val="center"/>
                </w:tcPr>
                <w:p w14:paraId="7409DFB1">
                  <w:pPr>
                    <w:snapToGrid w:val="0"/>
                    <w:jc w:val="center"/>
                    <w:rPr>
                      <w:rFonts w:hint="eastAsia" w:ascii="Times New Roman" w:hAnsi="宋体" w:eastAsia="宋体" w:cs="Times New Roman"/>
                      <w:bCs/>
                      <w:color w:val="auto"/>
                      <w:kern w:val="2"/>
                      <w:sz w:val="21"/>
                      <w:szCs w:val="21"/>
                      <w:highlight w:val="none"/>
                      <w:lang w:val="en-US" w:eastAsia="zh-CN" w:bidi="ar-SA"/>
                    </w:rPr>
                  </w:pPr>
                  <w:r>
                    <w:rPr>
                      <w:rFonts w:hint="eastAsia" w:hAnsi="宋体"/>
                      <w:bCs/>
                      <w:color w:val="auto"/>
                      <w:szCs w:val="21"/>
                      <w:highlight w:val="none"/>
                      <w:lang w:val="en-US" w:eastAsia="zh-CN"/>
                    </w:rPr>
                    <w:t>50</w:t>
                  </w:r>
                </w:p>
              </w:tc>
              <w:tc>
                <w:tcPr>
                  <w:tcW w:w="423" w:type="pct"/>
                  <w:shd w:val="clear" w:color="auto" w:fill="auto"/>
                  <w:vAlign w:val="center"/>
                </w:tcPr>
                <w:p w14:paraId="7D02E9CD">
                  <w:pPr>
                    <w:snapToGrid w:val="0"/>
                    <w:jc w:val="center"/>
                    <w:rPr>
                      <w:rFonts w:hint="eastAsia" w:ascii="Times New Roman" w:hAnsi="宋体" w:eastAsia="宋体" w:cs="Times New Roman"/>
                      <w:bCs/>
                      <w:color w:val="auto"/>
                      <w:kern w:val="2"/>
                      <w:sz w:val="21"/>
                      <w:szCs w:val="21"/>
                      <w:highlight w:val="none"/>
                      <w:lang w:val="en-US" w:eastAsia="zh-CN" w:bidi="ar-SA"/>
                    </w:rPr>
                  </w:pPr>
                  <w:r>
                    <w:rPr>
                      <w:rFonts w:hint="eastAsia" w:hAnsi="宋体"/>
                      <w:bCs/>
                      <w:color w:val="auto"/>
                      <w:szCs w:val="21"/>
                      <w:highlight w:val="none"/>
                    </w:rPr>
                    <w:t>有组织</w:t>
                  </w:r>
                </w:p>
              </w:tc>
            </w:tr>
            <w:tr w14:paraId="7E0BACD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376" w:type="pct"/>
                  <w:vMerge w:val="continue"/>
                  <w:vAlign w:val="center"/>
                </w:tcPr>
                <w:p w14:paraId="7D4ED765">
                  <w:pPr>
                    <w:snapToGrid w:val="0"/>
                    <w:jc w:val="center"/>
                    <w:rPr>
                      <w:color w:val="auto"/>
                      <w:highlight w:val="none"/>
                    </w:rPr>
                  </w:pPr>
                </w:p>
              </w:tc>
              <w:tc>
                <w:tcPr>
                  <w:tcW w:w="904" w:type="pct"/>
                  <w:gridSpan w:val="2"/>
                  <w:vAlign w:val="center"/>
                </w:tcPr>
                <w:p w14:paraId="76F400A3">
                  <w:pPr>
                    <w:jc w:val="center"/>
                    <w:rPr>
                      <w:rFonts w:hint="eastAsia" w:eastAsia="宋体" w:cs="宋体"/>
                      <w:bCs/>
                      <w:color w:val="auto"/>
                      <w:spacing w:val="-10"/>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锻球</w:t>
                  </w:r>
                  <w:r>
                    <w:rPr>
                      <w:rFonts w:hint="eastAsia" w:ascii="Times New Roman" w:hAnsi="Times New Roman" w:cs="Times New Roman" w:eastAsiaTheme="minorEastAsia"/>
                      <w:b w:val="0"/>
                      <w:bCs w:val="0"/>
                      <w:color w:val="auto"/>
                      <w:sz w:val="21"/>
                      <w:szCs w:val="21"/>
                      <w:highlight w:val="none"/>
                      <w:lang w:val="en-US" w:eastAsia="zh-CN"/>
                    </w:rPr>
                    <w:t>燃气</w:t>
                  </w:r>
                  <w:r>
                    <w:rPr>
                      <w:rFonts w:hint="eastAsia" w:ascii="Times New Roman" w:hAnsi="Times New Roman" w:cs="Times New Roman" w:eastAsiaTheme="minorEastAsia"/>
                      <w:color w:val="auto"/>
                      <w:szCs w:val="21"/>
                      <w:highlight w:val="none"/>
                      <w:lang w:val="en-US" w:eastAsia="zh-CN"/>
                    </w:rPr>
                    <w:t>回火炉</w:t>
                  </w:r>
                  <w:r>
                    <w:rPr>
                      <w:rFonts w:hint="eastAsia" w:cs="Times New Roman" w:eastAsiaTheme="minorEastAsia"/>
                      <w:color w:val="auto"/>
                      <w:szCs w:val="21"/>
                      <w:highlight w:val="none"/>
                      <w:lang w:val="en-US" w:eastAsia="zh-CN"/>
                    </w:rPr>
                    <w:t>2#</w:t>
                  </w:r>
                </w:p>
              </w:tc>
              <w:tc>
                <w:tcPr>
                  <w:tcW w:w="500" w:type="pct"/>
                  <w:vMerge w:val="continue"/>
                  <w:vAlign w:val="center"/>
                </w:tcPr>
                <w:p w14:paraId="4C8C8B08">
                  <w:pPr>
                    <w:snapToGrid w:val="0"/>
                    <w:spacing w:line="240" w:lineRule="auto"/>
                    <w:ind w:firstLine="0" w:firstLineChars="0"/>
                    <w:jc w:val="center"/>
                    <w:rPr>
                      <w:rFonts w:hint="eastAsia" w:cs="宋体"/>
                      <w:bCs/>
                      <w:color w:val="auto"/>
                      <w:spacing w:val="-10"/>
                      <w:szCs w:val="21"/>
                      <w:highlight w:val="none"/>
                      <w:lang w:val="en-US" w:eastAsia="zh-CN"/>
                    </w:rPr>
                  </w:pPr>
                </w:p>
              </w:tc>
              <w:tc>
                <w:tcPr>
                  <w:tcW w:w="1384" w:type="pct"/>
                  <w:vMerge w:val="continue"/>
                  <w:shd w:val="clear" w:color="auto" w:fill="auto"/>
                  <w:vAlign w:val="center"/>
                </w:tcPr>
                <w:p w14:paraId="66FD8BE5">
                  <w:pPr>
                    <w:spacing w:line="240" w:lineRule="auto"/>
                    <w:rPr>
                      <w:rFonts w:hint="eastAsia" w:ascii="Times New Roman" w:hAnsi="Times New Roman" w:eastAsia="宋体" w:cs="Times New Roman"/>
                      <w:color w:val="auto"/>
                      <w:kern w:val="2"/>
                      <w:sz w:val="21"/>
                      <w:szCs w:val="24"/>
                      <w:highlight w:val="none"/>
                      <w:lang w:val="en-US" w:eastAsia="zh-CN" w:bidi="ar-SA"/>
                    </w:rPr>
                  </w:pPr>
                </w:p>
              </w:tc>
              <w:tc>
                <w:tcPr>
                  <w:tcW w:w="606" w:type="pct"/>
                  <w:vAlign w:val="center"/>
                </w:tcPr>
                <w:p w14:paraId="6EC269DF">
                  <w:pPr>
                    <w:snapToGrid w:val="0"/>
                    <w:jc w:val="center"/>
                    <w:rPr>
                      <w:rFonts w:hint="default" w:cs="宋体"/>
                      <w:bCs/>
                      <w:color w:val="auto"/>
                      <w:spacing w:val="-10"/>
                      <w:szCs w:val="21"/>
                      <w:highlight w:val="none"/>
                      <w:lang w:val="en-US" w:eastAsia="zh-CN"/>
                    </w:rPr>
                  </w:pPr>
                  <w:r>
                    <w:rPr>
                      <w:rFonts w:hint="eastAsia" w:cs="宋体"/>
                      <w:bCs/>
                      <w:color w:val="auto"/>
                      <w:spacing w:val="-10"/>
                      <w:szCs w:val="21"/>
                      <w:highlight w:val="none"/>
                      <w:lang w:val="en-US" w:eastAsia="zh-CN"/>
                    </w:rPr>
                    <w:t>45940</w:t>
                  </w:r>
                </w:p>
              </w:tc>
              <w:tc>
                <w:tcPr>
                  <w:tcW w:w="404" w:type="pct"/>
                  <w:vAlign w:val="center"/>
                </w:tcPr>
                <w:p w14:paraId="0959FECC">
                  <w:pPr>
                    <w:snapToGrid w:val="0"/>
                    <w:jc w:val="center"/>
                    <w:rPr>
                      <w:rFonts w:hint="eastAsia" w:cs="宋体"/>
                      <w:bCs/>
                      <w:color w:val="auto"/>
                      <w:spacing w:val="-10"/>
                      <w:szCs w:val="21"/>
                      <w:highlight w:val="none"/>
                      <w:lang w:val="en-US" w:eastAsia="zh-CN"/>
                    </w:rPr>
                  </w:pPr>
                  <w:r>
                    <w:rPr>
                      <w:rFonts w:hint="eastAsia" w:hAnsi="宋体"/>
                      <w:bCs/>
                      <w:color w:val="auto"/>
                      <w:szCs w:val="21"/>
                      <w:highlight w:val="none"/>
                      <w:lang w:val="en-US" w:eastAsia="zh-CN"/>
                    </w:rPr>
                    <w:t>100</w:t>
                  </w:r>
                </w:p>
              </w:tc>
              <w:tc>
                <w:tcPr>
                  <w:tcW w:w="398" w:type="pct"/>
                  <w:vAlign w:val="center"/>
                </w:tcPr>
                <w:p w14:paraId="4FCF9264">
                  <w:pPr>
                    <w:snapToGrid w:val="0"/>
                    <w:jc w:val="center"/>
                    <w:rPr>
                      <w:rFonts w:hint="eastAsia" w:cs="宋体"/>
                      <w:bCs/>
                      <w:color w:val="auto"/>
                      <w:spacing w:val="-10"/>
                      <w:szCs w:val="21"/>
                      <w:highlight w:val="none"/>
                      <w:lang w:val="en-US" w:eastAsia="zh-CN"/>
                    </w:rPr>
                  </w:pPr>
                  <w:r>
                    <w:rPr>
                      <w:rFonts w:hint="eastAsia" w:hAnsi="宋体"/>
                      <w:bCs/>
                      <w:color w:val="auto"/>
                      <w:szCs w:val="21"/>
                      <w:highlight w:val="none"/>
                      <w:lang w:val="en-US" w:eastAsia="zh-CN"/>
                    </w:rPr>
                    <w:t>50</w:t>
                  </w:r>
                </w:p>
              </w:tc>
              <w:tc>
                <w:tcPr>
                  <w:tcW w:w="423" w:type="pct"/>
                  <w:vAlign w:val="center"/>
                </w:tcPr>
                <w:p w14:paraId="69F908A5">
                  <w:pPr>
                    <w:snapToGrid w:val="0"/>
                    <w:jc w:val="center"/>
                    <w:rPr>
                      <w:rFonts w:hint="eastAsia" w:cs="宋体"/>
                      <w:bCs/>
                      <w:color w:val="auto"/>
                      <w:spacing w:val="-10"/>
                      <w:szCs w:val="21"/>
                      <w:highlight w:val="none"/>
                      <w:lang w:val="en-US" w:eastAsia="zh-CN"/>
                    </w:rPr>
                  </w:pPr>
                  <w:r>
                    <w:rPr>
                      <w:rFonts w:hint="eastAsia" w:hAnsi="宋体"/>
                      <w:bCs/>
                      <w:color w:val="auto"/>
                      <w:szCs w:val="21"/>
                      <w:highlight w:val="none"/>
                    </w:rPr>
                    <w:t>有组织</w:t>
                  </w:r>
                </w:p>
              </w:tc>
            </w:tr>
            <w:tr w14:paraId="1BA16EE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376" w:type="pct"/>
                  <w:vMerge w:val="continue"/>
                  <w:vAlign w:val="center"/>
                </w:tcPr>
                <w:p w14:paraId="17362496">
                  <w:pPr>
                    <w:snapToGrid w:val="0"/>
                    <w:jc w:val="center"/>
                    <w:rPr>
                      <w:rFonts w:hint="eastAsia" w:cs="宋体"/>
                      <w:bCs/>
                      <w:color w:val="auto"/>
                      <w:spacing w:val="-10"/>
                      <w:szCs w:val="21"/>
                      <w:highlight w:val="none"/>
                      <w:lang w:val="en-US" w:eastAsia="zh-CN"/>
                    </w:rPr>
                  </w:pPr>
                </w:p>
              </w:tc>
              <w:tc>
                <w:tcPr>
                  <w:tcW w:w="275" w:type="pct"/>
                  <w:vMerge w:val="restart"/>
                  <w:vAlign w:val="center"/>
                </w:tcPr>
                <w:p w14:paraId="700F7C61">
                  <w:pPr>
                    <w:snapToGrid w:val="0"/>
                    <w:jc w:val="center"/>
                    <w:rPr>
                      <w:rFonts w:hint="default" w:cs="宋体"/>
                      <w:bCs/>
                      <w:color w:val="auto"/>
                      <w:spacing w:val="-10"/>
                      <w:szCs w:val="21"/>
                      <w:highlight w:val="none"/>
                      <w:lang w:val="en-US" w:eastAsia="zh-CN"/>
                    </w:rPr>
                  </w:pPr>
                  <w:r>
                    <w:rPr>
                      <w:rFonts w:hint="eastAsia" w:cs="宋体"/>
                      <w:bCs/>
                      <w:color w:val="auto"/>
                      <w:spacing w:val="-10"/>
                      <w:szCs w:val="21"/>
                      <w:highlight w:val="none"/>
                      <w:lang w:val="en-US" w:eastAsia="zh-CN"/>
                    </w:rPr>
                    <w:t>自由锻生产线</w:t>
                  </w:r>
                </w:p>
              </w:tc>
              <w:tc>
                <w:tcPr>
                  <w:tcW w:w="629" w:type="pct"/>
                  <w:shd w:val="clear" w:color="auto" w:fill="auto"/>
                  <w:vAlign w:val="center"/>
                </w:tcPr>
                <w:p w14:paraId="74377B4F">
                  <w:pPr>
                    <w:snapToGrid w:val="0"/>
                    <w:jc w:val="center"/>
                    <w:rPr>
                      <w:rFonts w:hint="eastAsia" w:ascii="Times New Roman" w:hAnsi="Times New Roman" w:eastAsia="宋体" w:cs="宋体"/>
                      <w:bCs/>
                      <w:color w:val="auto"/>
                      <w:spacing w:val="-10"/>
                      <w:kern w:val="2"/>
                      <w:sz w:val="21"/>
                      <w:szCs w:val="21"/>
                      <w:highlight w:val="none"/>
                      <w:lang w:val="en-US" w:eastAsia="zh-CN" w:bidi="ar-SA"/>
                    </w:rPr>
                  </w:pPr>
                  <w:r>
                    <w:rPr>
                      <w:rFonts w:hint="eastAsia" w:ascii="Times New Roman" w:hAnsi="Times New Roman" w:cs="Times New Roman" w:eastAsiaTheme="minorEastAsia"/>
                      <w:b w:val="0"/>
                      <w:bCs w:val="0"/>
                      <w:color w:val="auto"/>
                      <w:sz w:val="21"/>
                      <w:szCs w:val="21"/>
                      <w:highlight w:val="none"/>
                      <w:lang w:val="en-US" w:eastAsia="zh-CN"/>
                    </w:rPr>
                    <w:t>燃气</w:t>
                  </w:r>
                  <w:r>
                    <w:rPr>
                      <w:rFonts w:hint="eastAsia" w:cs="Times New Roman" w:eastAsiaTheme="minorEastAsia"/>
                      <w:b w:val="0"/>
                      <w:bCs w:val="0"/>
                      <w:color w:val="auto"/>
                      <w:sz w:val="21"/>
                      <w:szCs w:val="21"/>
                      <w:highlight w:val="none"/>
                      <w:lang w:val="en-US" w:eastAsia="zh-CN"/>
                    </w:rPr>
                    <w:t>加热</w:t>
                  </w:r>
                  <w:r>
                    <w:rPr>
                      <w:rFonts w:hint="eastAsia" w:ascii="Times New Roman" w:hAnsi="Times New Roman" w:cs="Times New Roman" w:eastAsiaTheme="minorEastAsia"/>
                      <w:b w:val="0"/>
                      <w:bCs w:val="0"/>
                      <w:color w:val="auto"/>
                      <w:sz w:val="21"/>
                      <w:szCs w:val="21"/>
                      <w:highlight w:val="none"/>
                      <w:lang w:val="en-US" w:eastAsia="zh-CN"/>
                    </w:rPr>
                    <w:t>炉</w:t>
                  </w:r>
                  <w:r>
                    <w:rPr>
                      <w:rFonts w:hint="eastAsia" w:cs="Times New Roman" w:eastAsiaTheme="minorEastAsia"/>
                      <w:b w:val="0"/>
                      <w:bCs w:val="0"/>
                      <w:color w:val="auto"/>
                      <w:szCs w:val="21"/>
                      <w:highlight w:val="none"/>
                      <w:lang w:val="en-US" w:eastAsia="zh-CN"/>
                    </w:rPr>
                    <w:t>1#</w:t>
                  </w:r>
                </w:p>
              </w:tc>
              <w:tc>
                <w:tcPr>
                  <w:tcW w:w="500" w:type="pct"/>
                  <w:vMerge w:val="restart"/>
                  <w:vAlign w:val="center"/>
                </w:tcPr>
                <w:p w14:paraId="237D215C">
                  <w:pPr>
                    <w:snapToGrid w:val="0"/>
                    <w:jc w:val="center"/>
                    <w:rPr>
                      <w:rFonts w:hint="eastAsia" w:cs="宋体"/>
                      <w:bCs/>
                      <w:color w:val="auto"/>
                      <w:spacing w:val="-10"/>
                      <w:szCs w:val="21"/>
                      <w:highlight w:val="none"/>
                      <w:lang w:val="en-US" w:eastAsia="zh-CN"/>
                    </w:rPr>
                  </w:pPr>
                  <w:r>
                    <w:rPr>
                      <w:rFonts w:hint="eastAsia" w:cs="宋体"/>
                      <w:color w:val="auto"/>
                      <w:highlight w:val="none"/>
                    </w:rPr>
                    <w:t>颗粒物</w:t>
                  </w:r>
                  <w:r>
                    <w:rPr>
                      <w:rFonts w:hint="eastAsia" w:cs="宋体"/>
                      <w:color w:val="auto"/>
                      <w:highlight w:val="none"/>
                      <w:lang w:eastAsia="zh-CN"/>
                    </w:rPr>
                    <w:t>、</w:t>
                  </w:r>
                  <w:r>
                    <w:rPr>
                      <w:rFonts w:hint="eastAsia" w:cs="宋体"/>
                      <w:color w:val="auto"/>
                      <w:highlight w:val="none"/>
                    </w:rPr>
                    <w:t>SO</w:t>
                  </w:r>
                  <w:r>
                    <w:rPr>
                      <w:rFonts w:hint="eastAsia" w:cs="宋体"/>
                      <w:color w:val="auto"/>
                      <w:highlight w:val="none"/>
                      <w:vertAlign w:val="subscript"/>
                    </w:rPr>
                    <w:t>2</w:t>
                  </w:r>
                  <w:r>
                    <w:rPr>
                      <w:rFonts w:hint="eastAsia" w:cs="宋体"/>
                      <w:color w:val="auto"/>
                      <w:highlight w:val="none"/>
                      <w:lang w:eastAsia="zh-CN"/>
                    </w:rPr>
                    <w:t>、</w:t>
                  </w:r>
                  <w:r>
                    <w:rPr>
                      <w:rFonts w:hint="eastAsia" w:cs="宋体"/>
                      <w:color w:val="auto"/>
                      <w:highlight w:val="none"/>
                    </w:rPr>
                    <w:t>NOx</w:t>
                  </w:r>
                </w:p>
              </w:tc>
              <w:tc>
                <w:tcPr>
                  <w:tcW w:w="1384" w:type="pct"/>
                  <w:vMerge w:val="restart"/>
                  <w:shd w:val="clear" w:color="auto" w:fill="auto"/>
                  <w:vAlign w:val="center"/>
                </w:tcPr>
                <w:p w14:paraId="578146CA">
                  <w:pPr>
                    <w:spacing w:line="240" w:lineRule="auto"/>
                    <w:rPr>
                      <w:rFonts w:hint="eastAsia"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spacing w:val="-5"/>
                      <w:sz w:val="21"/>
                      <w:szCs w:val="21"/>
                      <w:highlight w:val="none"/>
                    </w:rPr>
                    <w:t>安装低氮燃烧器</w:t>
                  </w:r>
                  <w:r>
                    <w:rPr>
                      <w:rFonts w:hint="eastAsia" w:cs="Times New Roman"/>
                      <w:color w:val="auto"/>
                      <w:spacing w:val="-5"/>
                      <w:sz w:val="21"/>
                      <w:szCs w:val="21"/>
                      <w:highlight w:val="none"/>
                      <w:lang w:eastAsia="zh-CN"/>
                    </w:rPr>
                    <w:t>，</w:t>
                  </w:r>
                  <w:r>
                    <w:rPr>
                      <w:rFonts w:hint="default" w:ascii="Times New Roman" w:hAnsi="Times New Roman" w:cs="Times New Roman"/>
                      <w:color w:val="auto"/>
                      <w:spacing w:val="-8"/>
                      <w:sz w:val="21"/>
                      <w:szCs w:val="21"/>
                      <w:highlight w:val="none"/>
                      <w:lang w:val="en-US" w:eastAsia="zh-CN"/>
                    </w:rPr>
                    <w:t>经1根27m高排气筒</w:t>
                  </w:r>
                  <w:r>
                    <w:rPr>
                      <w:rFonts w:hint="default" w:ascii="Times New Roman" w:hAnsi="Times New Roman" w:cs="Times New Roman"/>
                      <w:color w:val="auto"/>
                      <w:spacing w:val="-2"/>
                      <w:sz w:val="21"/>
                      <w:szCs w:val="21"/>
                      <w:highlight w:val="none"/>
                      <w:lang w:eastAsia="zh-CN"/>
                    </w:rPr>
                    <w:t>（</w:t>
                  </w:r>
                  <w:r>
                    <w:rPr>
                      <w:rFonts w:hint="default" w:ascii="Times New Roman" w:hAnsi="Times New Roman" w:cs="Times New Roman"/>
                      <w:color w:val="auto"/>
                      <w:spacing w:val="-2"/>
                      <w:sz w:val="21"/>
                      <w:szCs w:val="21"/>
                      <w:highlight w:val="none"/>
                      <w:lang w:val="en-US" w:eastAsia="zh-CN"/>
                    </w:rPr>
                    <w:t>DA00</w:t>
                  </w:r>
                  <w:r>
                    <w:rPr>
                      <w:rFonts w:hint="eastAsia" w:ascii="Times New Roman" w:hAnsi="Times New Roman" w:cs="Times New Roman"/>
                      <w:color w:val="auto"/>
                      <w:spacing w:val="-2"/>
                      <w:sz w:val="21"/>
                      <w:szCs w:val="21"/>
                      <w:highlight w:val="none"/>
                      <w:lang w:val="en-US" w:eastAsia="zh-CN"/>
                    </w:rPr>
                    <w:t>6</w:t>
                  </w:r>
                  <w:r>
                    <w:rPr>
                      <w:rFonts w:hint="default" w:ascii="Times New Roman" w:hAnsi="Times New Roman" w:cs="Times New Roman"/>
                      <w:color w:val="auto"/>
                      <w:spacing w:val="-2"/>
                      <w:sz w:val="21"/>
                      <w:szCs w:val="21"/>
                      <w:highlight w:val="none"/>
                      <w:lang w:eastAsia="zh-CN"/>
                    </w:rPr>
                    <w:t>）</w:t>
                  </w:r>
                  <w:r>
                    <w:rPr>
                      <w:rFonts w:hint="default" w:ascii="Times New Roman" w:hAnsi="Times New Roman" w:cs="Times New Roman"/>
                      <w:color w:val="auto"/>
                      <w:spacing w:val="-2"/>
                      <w:sz w:val="21"/>
                      <w:szCs w:val="21"/>
                      <w:highlight w:val="none"/>
                      <w:lang w:val="en-US" w:eastAsia="zh-CN"/>
                    </w:rPr>
                    <w:t>排放</w:t>
                  </w:r>
                </w:p>
              </w:tc>
              <w:tc>
                <w:tcPr>
                  <w:tcW w:w="606" w:type="pct"/>
                  <w:shd w:val="clear" w:color="auto" w:fill="auto"/>
                  <w:vAlign w:val="center"/>
                </w:tcPr>
                <w:p w14:paraId="5BD9ADBD">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5200</w:t>
                  </w:r>
                </w:p>
              </w:tc>
              <w:tc>
                <w:tcPr>
                  <w:tcW w:w="404" w:type="pct"/>
                  <w:shd w:val="clear" w:color="auto" w:fill="auto"/>
                  <w:vAlign w:val="center"/>
                </w:tcPr>
                <w:p w14:paraId="129F525E">
                  <w:pPr>
                    <w:snapToGrid w:val="0"/>
                    <w:jc w:val="center"/>
                    <w:rPr>
                      <w:rFonts w:hint="eastAsia" w:ascii="Times New Roman" w:hAnsi="Times New Roman" w:eastAsia="宋体" w:cs="宋体"/>
                      <w:bCs/>
                      <w:color w:val="auto"/>
                      <w:spacing w:val="-10"/>
                      <w:kern w:val="2"/>
                      <w:sz w:val="21"/>
                      <w:szCs w:val="21"/>
                      <w:highlight w:val="none"/>
                      <w:lang w:val="en-US" w:eastAsia="zh-CN" w:bidi="ar-SA"/>
                    </w:rPr>
                  </w:pPr>
                  <w:r>
                    <w:rPr>
                      <w:rFonts w:hint="eastAsia" w:hAnsi="宋体"/>
                      <w:bCs/>
                      <w:color w:val="auto"/>
                      <w:szCs w:val="21"/>
                      <w:highlight w:val="none"/>
                      <w:lang w:val="en-US" w:eastAsia="zh-CN"/>
                    </w:rPr>
                    <w:t>100</w:t>
                  </w:r>
                </w:p>
              </w:tc>
              <w:tc>
                <w:tcPr>
                  <w:tcW w:w="398" w:type="pct"/>
                  <w:shd w:val="clear" w:color="auto" w:fill="auto"/>
                  <w:vAlign w:val="center"/>
                </w:tcPr>
                <w:p w14:paraId="31868215">
                  <w:pPr>
                    <w:snapToGrid w:val="0"/>
                    <w:jc w:val="center"/>
                    <w:rPr>
                      <w:rFonts w:hint="eastAsia" w:ascii="Times New Roman" w:hAnsi="Times New Roman" w:eastAsia="宋体" w:cs="宋体"/>
                      <w:bCs/>
                      <w:color w:val="auto"/>
                      <w:spacing w:val="-10"/>
                      <w:kern w:val="2"/>
                      <w:sz w:val="21"/>
                      <w:szCs w:val="21"/>
                      <w:highlight w:val="none"/>
                      <w:lang w:val="en-US" w:eastAsia="zh-CN" w:bidi="ar-SA"/>
                    </w:rPr>
                  </w:pPr>
                  <w:r>
                    <w:rPr>
                      <w:rFonts w:hint="eastAsia" w:hAnsi="宋体"/>
                      <w:bCs/>
                      <w:color w:val="auto"/>
                      <w:szCs w:val="21"/>
                      <w:highlight w:val="none"/>
                      <w:lang w:val="en-US" w:eastAsia="zh-CN"/>
                    </w:rPr>
                    <w:t>50</w:t>
                  </w:r>
                </w:p>
              </w:tc>
              <w:tc>
                <w:tcPr>
                  <w:tcW w:w="423" w:type="pct"/>
                  <w:vAlign w:val="center"/>
                </w:tcPr>
                <w:p w14:paraId="515E09BD">
                  <w:pPr>
                    <w:snapToGrid w:val="0"/>
                    <w:jc w:val="center"/>
                    <w:rPr>
                      <w:rFonts w:hint="eastAsia" w:cs="宋体"/>
                      <w:bCs/>
                      <w:color w:val="auto"/>
                      <w:spacing w:val="-10"/>
                      <w:szCs w:val="21"/>
                      <w:highlight w:val="none"/>
                      <w:lang w:val="en-US" w:eastAsia="zh-CN"/>
                    </w:rPr>
                  </w:pPr>
                  <w:r>
                    <w:rPr>
                      <w:rFonts w:hint="eastAsia" w:hAnsi="宋体"/>
                      <w:bCs/>
                      <w:color w:val="auto"/>
                      <w:szCs w:val="21"/>
                      <w:highlight w:val="none"/>
                    </w:rPr>
                    <w:t>有组织</w:t>
                  </w:r>
                </w:p>
              </w:tc>
            </w:tr>
            <w:tr w14:paraId="50FD5C3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376" w:type="pct"/>
                  <w:vMerge w:val="continue"/>
                  <w:vAlign w:val="center"/>
                </w:tcPr>
                <w:p w14:paraId="0E4504AA">
                  <w:pPr>
                    <w:snapToGrid w:val="0"/>
                    <w:jc w:val="center"/>
                    <w:rPr>
                      <w:color w:val="auto"/>
                      <w:highlight w:val="none"/>
                    </w:rPr>
                  </w:pPr>
                </w:p>
              </w:tc>
              <w:tc>
                <w:tcPr>
                  <w:tcW w:w="275" w:type="pct"/>
                  <w:vMerge w:val="continue"/>
                  <w:vAlign w:val="center"/>
                </w:tcPr>
                <w:p w14:paraId="79CEBDEF">
                  <w:pPr>
                    <w:snapToGrid w:val="0"/>
                    <w:jc w:val="center"/>
                    <w:rPr>
                      <w:color w:val="auto"/>
                      <w:highlight w:val="none"/>
                    </w:rPr>
                  </w:pPr>
                </w:p>
              </w:tc>
              <w:tc>
                <w:tcPr>
                  <w:tcW w:w="629" w:type="pct"/>
                  <w:shd w:val="clear" w:color="auto" w:fill="auto"/>
                  <w:vAlign w:val="center"/>
                </w:tcPr>
                <w:p w14:paraId="67BA02D9">
                  <w:pPr>
                    <w:pBdr>
                      <w:top w:val="none" w:color="auto" w:sz="0" w:space="1"/>
                      <w:left w:val="none" w:color="auto" w:sz="0" w:space="4"/>
                      <w:bottom w:val="none" w:color="auto" w:sz="0" w:space="1"/>
                      <w:right w:val="none" w:color="auto" w:sz="0" w:space="4"/>
                    </w:pBdr>
                    <w:adjustRightInd w:val="0"/>
                    <w:snapToGrid w:val="0"/>
                    <w:jc w:val="center"/>
                    <w:rPr>
                      <w:rFonts w:hint="eastAsia"/>
                      <w:color w:val="auto"/>
                      <w:szCs w:val="21"/>
                      <w:highlight w:val="none"/>
                      <w:lang w:val="en-US" w:eastAsia="zh-CN"/>
                    </w:rPr>
                  </w:pPr>
                  <w:r>
                    <w:rPr>
                      <w:rFonts w:hint="eastAsia" w:ascii="Times New Roman" w:hAnsi="Times New Roman" w:cs="Times New Roman" w:eastAsiaTheme="minorEastAsia"/>
                      <w:b w:val="0"/>
                      <w:bCs w:val="0"/>
                      <w:color w:val="auto"/>
                      <w:sz w:val="21"/>
                      <w:szCs w:val="21"/>
                      <w:highlight w:val="none"/>
                      <w:lang w:val="en-US" w:eastAsia="zh-CN"/>
                    </w:rPr>
                    <w:t>燃气</w:t>
                  </w:r>
                  <w:r>
                    <w:rPr>
                      <w:rFonts w:hint="eastAsia" w:cs="Times New Roman" w:eastAsiaTheme="minorEastAsia"/>
                      <w:b w:val="0"/>
                      <w:bCs w:val="0"/>
                      <w:color w:val="auto"/>
                      <w:sz w:val="21"/>
                      <w:szCs w:val="21"/>
                      <w:highlight w:val="none"/>
                      <w:lang w:val="en-US" w:eastAsia="zh-CN"/>
                    </w:rPr>
                    <w:t>加热</w:t>
                  </w:r>
                  <w:r>
                    <w:rPr>
                      <w:rFonts w:hint="eastAsia" w:ascii="Times New Roman" w:hAnsi="Times New Roman" w:cs="Times New Roman" w:eastAsiaTheme="minorEastAsia"/>
                      <w:b w:val="0"/>
                      <w:bCs w:val="0"/>
                      <w:color w:val="auto"/>
                      <w:sz w:val="21"/>
                      <w:szCs w:val="21"/>
                      <w:highlight w:val="none"/>
                      <w:lang w:val="en-US" w:eastAsia="zh-CN"/>
                    </w:rPr>
                    <w:t>炉</w:t>
                  </w:r>
                  <w:r>
                    <w:rPr>
                      <w:rFonts w:hint="eastAsia" w:cs="Times New Roman" w:eastAsiaTheme="minorEastAsia"/>
                      <w:b w:val="0"/>
                      <w:bCs w:val="0"/>
                      <w:color w:val="auto"/>
                      <w:szCs w:val="21"/>
                      <w:highlight w:val="none"/>
                      <w:lang w:val="en-US" w:eastAsia="zh-CN"/>
                    </w:rPr>
                    <w:t>2#</w:t>
                  </w:r>
                </w:p>
              </w:tc>
              <w:tc>
                <w:tcPr>
                  <w:tcW w:w="500" w:type="pct"/>
                  <w:vMerge w:val="continue"/>
                  <w:vAlign w:val="center"/>
                </w:tcPr>
                <w:p w14:paraId="47DE5C56">
                  <w:pPr>
                    <w:snapToGrid w:val="0"/>
                    <w:jc w:val="center"/>
                    <w:rPr>
                      <w:rFonts w:hint="eastAsia"/>
                      <w:color w:val="auto"/>
                      <w:szCs w:val="21"/>
                      <w:highlight w:val="none"/>
                      <w:lang w:val="en-US" w:eastAsia="zh-CN"/>
                    </w:rPr>
                  </w:pPr>
                </w:p>
              </w:tc>
              <w:tc>
                <w:tcPr>
                  <w:tcW w:w="1384" w:type="pct"/>
                  <w:vMerge w:val="continue"/>
                  <w:shd w:val="clear" w:color="auto" w:fill="auto"/>
                  <w:vAlign w:val="center"/>
                </w:tcPr>
                <w:p w14:paraId="4B3051BD">
                  <w:pPr>
                    <w:snapToGrid w:val="0"/>
                    <w:jc w:val="center"/>
                    <w:rPr>
                      <w:rFonts w:hint="eastAsia"/>
                      <w:color w:val="auto"/>
                      <w:szCs w:val="21"/>
                      <w:highlight w:val="none"/>
                      <w:lang w:val="en-US" w:eastAsia="zh-CN"/>
                    </w:rPr>
                  </w:pPr>
                </w:p>
              </w:tc>
              <w:tc>
                <w:tcPr>
                  <w:tcW w:w="606" w:type="pct"/>
                  <w:vAlign w:val="center"/>
                </w:tcPr>
                <w:p w14:paraId="11CEA09F">
                  <w:pPr>
                    <w:snapToGrid w:val="0"/>
                    <w:jc w:val="center"/>
                    <w:rPr>
                      <w:rFonts w:hint="default"/>
                      <w:color w:val="auto"/>
                      <w:szCs w:val="21"/>
                      <w:highlight w:val="none"/>
                      <w:lang w:val="en-US" w:eastAsia="zh-CN"/>
                    </w:rPr>
                  </w:pPr>
                  <w:r>
                    <w:rPr>
                      <w:rFonts w:hint="eastAsia"/>
                      <w:color w:val="auto"/>
                      <w:szCs w:val="21"/>
                      <w:highlight w:val="none"/>
                      <w:lang w:val="en-US" w:eastAsia="zh-CN"/>
                    </w:rPr>
                    <w:t>5200</w:t>
                  </w:r>
                </w:p>
              </w:tc>
              <w:tc>
                <w:tcPr>
                  <w:tcW w:w="404" w:type="pct"/>
                  <w:shd w:val="clear" w:color="auto" w:fill="auto"/>
                  <w:vAlign w:val="center"/>
                </w:tcPr>
                <w:p w14:paraId="2DD18E56">
                  <w:pPr>
                    <w:snapToGrid w:val="0"/>
                    <w:jc w:val="center"/>
                    <w:rPr>
                      <w:rFonts w:hint="eastAsia" w:ascii="Times New Roman" w:hAnsi="Times New Roman" w:eastAsia="宋体" w:cs="宋体"/>
                      <w:bCs/>
                      <w:color w:val="auto"/>
                      <w:spacing w:val="-10"/>
                      <w:kern w:val="2"/>
                      <w:sz w:val="21"/>
                      <w:szCs w:val="21"/>
                      <w:highlight w:val="none"/>
                      <w:lang w:val="en-US" w:eastAsia="zh-CN" w:bidi="ar-SA"/>
                    </w:rPr>
                  </w:pPr>
                  <w:r>
                    <w:rPr>
                      <w:rFonts w:hint="eastAsia" w:hAnsi="宋体"/>
                      <w:bCs/>
                      <w:color w:val="auto"/>
                      <w:szCs w:val="21"/>
                      <w:highlight w:val="none"/>
                      <w:lang w:val="en-US" w:eastAsia="zh-CN"/>
                    </w:rPr>
                    <w:t>100</w:t>
                  </w:r>
                </w:p>
              </w:tc>
              <w:tc>
                <w:tcPr>
                  <w:tcW w:w="398" w:type="pct"/>
                  <w:shd w:val="clear" w:color="auto" w:fill="auto"/>
                  <w:vAlign w:val="center"/>
                </w:tcPr>
                <w:p w14:paraId="00C9694D">
                  <w:pPr>
                    <w:snapToGrid w:val="0"/>
                    <w:jc w:val="center"/>
                    <w:rPr>
                      <w:rFonts w:hint="eastAsia" w:ascii="Times New Roman" w:hAnsi="Times New Roman" w:eastAsia="宋体" w:cs="宋体"/>
                      <w:bCs/>
                      <w:color w:val="auto"/>
                      <w:spacing w:val="-10"/>
                      <w:kern w:val="2"/>
                      <w:sz w:val="21"/>
                      <w:szCs w:val="21"/>
                      <w:highlight w:val="none"/>
                      <w:lang w:val="en-US" w:eastAsia="zh-CN" w:bidi="ar-SA"/>
                    </w:rPr>
                  </w:pPr>
                  <w:r>
                    <w:rPr>
                      <w:rFonts w:hint="eastAsia" w:hAnsi="宋体"/>
                      <w:bCs/>
                      <w:color w:val="auto"/>
                      <w:szCs w:val="21"/>
                      <w:highlight w:val="none"/>
                      <w:lang w:val="en-US" w:eastAsia="zh-CN"/>
                    </w:rPr>
                    <w:t>50</w:t>
                  </w:r>
                </w:p>
              </w:tc>
              <w:tc>
                <w:tcPr>
                  <w:tcW w:w="423" w:type="pct"/>
                  <w:shd w:val="clear" w:color="auto" w:fill="auto"/>
                  <w:vAlign w:val="center"/>
                </w:tcPr>
                <w:p w14:paraId="0D09DFAC">
                  <w:pPr>
                    <w:snapToGrid w:val="0"/>
                    <w:jc w:val="center"/>
                    <w:rPr>
                      <w:rFonts w:hint="eastAsia" w:ascii="Times New Roman" w:hAnsi="Times New Roman" w:eastAsia="宋体" w:cs="宋体"/>
                      <w:bCs/>
                      <w:color w:val="auto"/>
                      <w:spacing w:val="-10"/>
                      <w:kern w:val="2"/>
                      <w:sz w:val="21"/>
                      <w:szCs w:val="21"/>
                      <w:highlight w:val="none"/>
                      <w:lang w:val="en-US" w:eastAsia="zh-CN" w:bidi="ar-SA"/>
                    </w:rPr>
                  </w:pPr>
                  <w:r>
                    <w:rPr>
                      <w:rFonts w:hint="eastAsia" w:hAnsi="宋体"/>
                      <w:bCs/>
                      <w:color w:val="auto"/>
                      <w:szCs w:val="21"/>
                      <w:highlight w:val="none"/>
                    </w:rPr>
                    <w:t>有组织</w:t>
                  </w:r>
                </w:p>
              </w:tc>
            </w:tr>
            <w:tr w14:paraId="16C544D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376" w:type="pct"/>
                  <w:vMerge w:val="continue"/>
                  <w:vAlign w:val="center"/>
                </w:tcPr>
                <w:p w14:paraId="7AFF02B3">
                  <w:pPr>
                    <w:snapToGrid w:val="0"/>
                    <w:jc w:val="center"/>
                    <w:rPr>
                      <w:rFonts w:hint="eastAsia" w:cs="宋体"/>
                      <w:bCs/>
                      <w:color w:val="auto"/>
                      <w:spacing w:val="-10"/>
                      <w:szCs w:val="21"/>
                      <w:highlight w:val="none"/>
                      <w:lang w:val="en-US" w:eastAsia="zh-CN"/>
                    </w:rPr>
                  </w:pPr>
                </w:p>
              </w:tc>
              <w:tc>
                <w:tcPr>
                  <w:tcW w:w="275" w:type="pct"/>
                  <w:vMerge w:val="continue"/>
                  <w:vAlign w:val="center"/>
                </w:tcPr>
                <w:p w14:paraId="3D030522">
                  <w:pPr>
                    <w:snapToGrid w:val="0"/>
                    <w:jc w:val="center"/>
                    <w:rPr>
                      <w:rFonts w:hint="eastAsia" w:cs="宋体"/>
                      <w:bCs/>
                      <w:color w:val="auto"/>
                      <w:spacing w:val="-10"/>
                      <w:szCs w:val="21"/>
                      <w:highlight w:val="none"/>
                      <w:lang w:val="en-US" w:eastAsia="zh-CN"/>
                    </w:rPr>
                  </w:pPr>
                </w:p>
              </w:tc>
              <w:tc>
                <w:tcPr>
                  <w:tcW w:w="629" w:type="pct"/>
                  <w:shd w:val="clear" w:color="auto" w:fill="auto"/>
                  <w:vAlign w:val="center"/>
                </w:tcPr>
                <w:p w14:paraId="44155659">
                  <w:pPr>
                    <w:snapToGrid w:val="0"/>
                    <w:jc w:val="center"/>
                    <w:rPr>
                      <w:rFonts w:hint="eastAsia" w:ascii="Times New Roman" w:hAnsi="Times New Roman" w:eastAsia="宋体" w:cs="宋体"/>
                      <w:bCs/>
                      <w:color w:val="auto"/>
                      <w:spacing w:val="-10"/>
                      <w:kern w:val="2"/>
                      <w:sz w:val="21"/>
                      <w:szCs w:val="21"/>
                      <w:highlight w:val="none"/>
                      <w:lang w:val="en-US" w:eastAsia="zh-CN" w:bidi="ar-SA"/>
                    </w:rPr>
                  </w:pPr>
                  <w:r>
                    <w:rPr>
                      <w:rFonts w:hint="eastAsia" w:ascii="Times New Roman" w:hAnsi="Times New Roman" w:cs="Times New Roman" w:eastAsiaTheme="minorEastAsia"/>
                      <w:b w:val="0"/>
                      <w:bCs w:val="0"/>
                      <w:color w:val="auto"/>
                      <w:sz w:val="21"/>
                      <w:szCs w:val="21"/>
                      <w:highlight w:val="none"/>
                      <w:lang w:val="en-US" w:eastAsia="zh-CN"/>
                    </w:rPr>
                    <w:t>燃气</w:t>
                  </w:r>
                  <w:r>
                    <w:rPr>
                      <w:rFonts w:hint="eastAsia" w:cs="Times New Roman" w:eastAsiaTheme="minorEastAsia"/>
                      <w:b w:val="0"/>
                      <w:bCs w:val="0"/>
                      <w:color w:val="auto"/>
                      <w:sz w:val="21"/>
                      <w:szCs w:val="21"/>
                      <w:highlight w:val="none"/>
                      <w:lang w:val="en-US" w:eastAsia="zh-CN"/>
                    </w:rPr>
                    <w:t>加热</w:t>
                  </w:r>
                  <w:r>
                    <w:rPr>
                      <w:rFonts w:hint="eastAsia" w:ascii="Times New Roman" w:hAnsi="Times New Roman" w:cs="Times New Roman" w:eastAsiaTheme="minorEastAsia"/>
                      <w:b w:val="0"/>
                      <w:bCs w:val="0"/>
                      <w:color w:val="auto"/>
                      <w:sz w:val="21"/>
                      <w:szCs w:val="21"/>
                      <w:highlight w:val="none"/>
                      <w:lang w:val="en-US" w:eastAsia="zh-CN"/>
                    </w:rPr>
                    <w:t>炉</w:t>
                  </w:r>
                  <w:r>
                    <w:rPr>
                      <w:rFonts w:hint="eastAsia" w:cs="Times New Roman" w:eastAsiaTheme="minorEastAsia"/>
                      <w:b w:val="0"/>
                      <w:bCs w:val="0"/>
                      <w:color w:val="auto"/>
                      <w:szCs w:val="21"/>
                      <w:highlight w:val="none"/>
                      <w:lang w:val="en-US" w:eastAsia="zh-CN"/>
                    </w:rPr>
                    <w:t>3#</w:t>
                  </w:r>
                </w:p>
              </w:tc>
              <w:tc>
                <w:tcPr>
                  <w:tcW w:w="500" w:type="pct"/>
                  <w:vMerge w:val="continue"/>
                  <w:vAlign w:val="center"/>
                </w:tcPr>
                <w:p w14:paraId="30440460">
                  <w:pPr>
                    <w:snapToGrid w:val="0"/>
                    <w:spacing w:line="240" w:lineRule="auto"/>
                    <w:ind w:firstLine="0" w:firstLineChars="0"/>
                    <w:jc w:val="center"/>
                    <w:rPr>
                      <w:rFonts w:hint="eastAsia" w:cs="宋体"/>
                      <w:bCs/>
                      <w:color w:val="auto"/>
                      <w:spacing w:val="-10"/>
                      <w:szCs w:val="21"/>
                      <w:highlight w:val="none"/>
                      <w:lang w:val="en-US" w:eastAsia="zh-CN"/>
                    </w:rPr>
                  </w:pPr>
                </w:p>
              </w:tc>
              <w:tc>
                <w:tcPr>
                  <w:tcW w:w="1384" w:type="pct"/>
                  <w:vMerge w:val="continue"/>
                  <w:shd w:val="clear" w:color="auto" w:fill="auto"/>
                  <w:vAlign w:val="center"/>
                </w:tcPr>
                <w:p w14:paraId="694E2F33">
                  <w:pPr>
                    <w:spacing w:line="240" w:lineRule="auto"/>
                    <w:rPr>
                      <w:rFonts w:hint="eastAsia" w:ascii="Times New Roman" w:hAnsi="Times New Roman" w:eastAsia="宋体" w:cs="Times New Roman"/>
                      <w:color w:val="auto"/>
                      <w:spacing w:val="-8"/>
                      <w:kern w:val="2"/>
                      <w:sz w:val="21"/>
                      <w:szCs w:val="21"/>
                      <w:highlight w:val="none"/>
                      <w:lang w:val="en-US" w:eastAsia="zh-CN" w:bidi="ar-SA"/>
                    </w:rPr>
                  </w:pPr>
                </w:p>
              </w:tc>
              <w:tc>
                <w:tcPr>
                  <w:tcW w:w="606" w:type="pct"/>
                  <w:vAlign w:val="center"/>
                </w:tcPr>
                <w:p w14:paraId="460835A2">
                  <w:pPr>
                    <w:snapToGrid w:val="0"/>
                    <w:jc w:val="center"/>
                    <w:rPr>
                      <w:rFonts w:hint="default"/>
                      <w:color w:val="auto"/>
                      <w:szCs w:val="21"/>
                      <w:highlight w:val="none"/>
                      <w:lang w:val="en-US" w:eastAsia="zh-CN"/>
                    </w:rPr>
                  </w:pPr>
                  <w:r>
                    <w:rPr>
                      <w:rFonts w:hint="eastAsia"/>
                      <w:color w:val="auto"/>
                      <w:szCs w:val="21"/>
                      <w:highlight w:val="none"/>
                      <w:lang w:val="en-US" w:eastAsia="zh-CN"/>
                    </w:rPr>
                    <w:t>7200</w:t>
                  </w:r>
                </w:p>
              </w:tc>
              <w:tc>
                <w:tcPr>
                  <w:tcW w:w="404" w:type="pct"/>
                  <w:vAlign w:val="center"/>
                </w:tcPr>
                <w:p w14:paraId="08F9D2F4">
                  <w:pPr>
                    <w:snapToGrid w:val="0"/>
                    <w:jc w:val="center"/>
                    <w:rPr>
                      <w:rFonts w:hint="eastAsia"/>
                      <w:color w:val="auto"/>
                      <w:szCs w:val="21"/>
                      <w:highlight w:val="none"/>
                      <w:lang w:val="en-US" w:eastAsia="zh-CN"/>
                    </w:rPr>
                  </w:pPr>
                  <w:r>
                    <w:rPr>
                      <w:rFonts w:hint="eastAsia"/>
                      <w:color w:val="auto"/>
                      <w:szCs w:val="21"/>
                      <w:highlight w:val="none"/>
                      <w:lang w:val="en-US" w:eastAsia="zh-CN"/>
                    </w:rPr>
                    <w:t>100</w:t>
                  </w:r>
                </w:p>
              </w:tc>
              <w:tc>
                <w:tcPr>
                  <w:tcW w:w="398" w:type="pct"/>
                  <w:vAlign w:val="center"/>
                </w:tcPr>
                <w:p w14:paraId="07C5BA83">
                  <w:pPr>
                    <w:snapToGrid w:val="0"/>
                    <w:jc w:val="center"/>
                    <w:rPr>
                      <w:rFonts w:hint="eastAsia"/>
                      <w:color w:val="auto"/>
                      <w:szCs w:val="21"/>
                      <w:highlight w:val="none"/>
                      <w:lang w:val="en-US" w:eastAsia="zh-CN"/>
                    </w:rPr>
                  </w:pPr>
                  <w:r>
                    <w:rPr>
                      <w:rFonts w:hint="eastAsia"/>
                      <w:color w:val="auto"/>
                      <w:szCs w:val="21"/>
                      <w:highlight w:val="none"/>
                      <w:lang w:val="en-US" w:eastAsia="zh-CN"/>
                    </w:rPr>
                    <w:t>50</w:t>
                  </w:r>
                </w:p>
              </w:tc>
              <w:tc>
                <w:tcPr>
                  <w:tcW w:w="423" w:type="pct"/>
                  <w:vAlign w:val="center"/>
                </w:tcPr>
                <w:p w14:paraId="31A27C79">
                  <w:pPr>
                    <w:snapToGrid w:val="0"/>
                    <w:jc w:val="center"/>
                    <w:rPr>
                      <w:rFonts w:hint="eastAsia" w:cs="宋体"/>
                      <w:bCs/>
                      <w:color w:val="auto"/>
                      <w:spacing w:val="-10"/>
                      <w:szCs w:val="21"/>
                      <w:highlight w:val="none"/>
                      <w:lang w:val="en-US" w:eastAsia="zh-CN"/>
                    </w:rPr>
                  </w:pPr>
                  <w:r>
                    <w:rPr>
                      <w:rFonts w:hint="eastAsia" w:hAnsi="宋体"/>
                      <w:bCs/>
                      <w:color w:val="auto"/>
                      <w:szCs w:val="21"/>
                      <w:highlight w:val="none"/>
                    </w:rPr>
                    <w:t>有组织</w:t>
                  </w:r>
                </w:p>
              </w:tc>
            </w:tr>
            <w:tr w14:paraId="0483520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376" w:type="pct"/>
                  <w:vMerge w:val="continue"/>
                  <w:vAlign w:val="center"/>
                </w:tcPr>
                <w:p w14:paraId="4E91C500">
                  <w:pPr>
                    <w:snapToGrid w:val="0"/>
                    <w:jc w:val="center"/>
                    <w:rPr>
                      <w:rFonts w:hint="eastAsia" w:cs="宋体"/>
                      <w:bCs/>
                      <w:color w:val="auto"/>
                      <w:spacing w:val="-10"/>
                      <w:szCs w:val="21"/>
                      <w:highlight w:val="none"/>
                      <w:lang w:val="en-US" w:eastAsia="zh-CN"/>
                    </w:rPr>
                  </w:pPr>
                </w:p>
              </w:tc>
              <w:tc>
                <w:tcPr>
                  <w:tcW w:w="275" w:type="pct"/>
                  <w:vMerge w:val="continue"/>
                  <w:vAlign w:val="center"/>
                </w:tcPr>
                <w:p w14:paraId="752CB56E">
                  <w:pPr>
                    <w:snapToGrid w:val="0"/>
                    <w:jc w:val="center"/>
                    <w:rPr>
                      <w:rFonts w:hint="eastAsia" w:cs="宋体"/>
                      <w:bCs/>
                      <w:color w:val="auto"/>
                      <w:spacing w:val="-10"/>
                      <w:szCs w:val="21"/>
                      <w:highlight w:val="none"/>
                      <w:lang w:val="en-US" w:eastAsia="zh-CN"/>
                    </w:rPr>
                  </w:pPr>
                </w:p>
              </w:tc>
              <w:tc>
                <w:tcPr>
                  <w:tcW w:w="629" w:type="pct"/>
                  <w:shd w:val="clear" w:color="auto" w:fill="auto"/>
                  <w:vAlign w:val="center"/>
                </w:tcPr>
                <w:p w14:paraId="1EC212BC">
                  <w:pPr>
                    <w:snapToGrid w:val="0"/>
                    <w:jc w:val="center"/>
                    <w:rPr>
                      <w:rFonts w:hint="eastAsia" w:ascii="Times New Roman" w:hAnsi="Times New Roman" w:cs="Times New Roman" w:eastAsiaTheme="minorEastAsia"/>
                      <w:b w:val="0"/>
                      <w:bCs w:val="0"/>
                      <w:color w:val="auto"/>
                      <w:sz w:val="21"/>
                      <w:szCs w:val="21"/>
                      <w:highlight w:val="none"/>
                      <w:lang w:val="en-US" w:eastAsia="zh-CN"/>
                    </w:rPr>
                  </w:pPr>
                  <w:r>
                    <w:rPr>
                      <w:rFonts w:hint="eastAsia" w:ascii="Times New Roman" w:hAnsi="Times New Roman" w:cs="Times New Roman" w:eastAsiaTheme="minorEastAsia"/>
                      <w:b w:val="0"/>
                      <w:bCs w:val="0"/>
                      <w:color w:val="auto"/>
                      <w:sz w:val="21"/>
                      <w:szCs w:val="21"/>
                      <w:highlight w:val="none"/>
                      <w:lang w:val="en-US" w:eastAsia="zh-CN"/>
                    </w:rPr>
                    <w:t>燃气</w:t>
                  </w:r>
                  <w:r>
                    <w:rPr>
                      <w:rFonts w:hint="default" w:ascii="Times New Roman" w:hAnsi="Times New Roman" w:cs="Times New Roman"/>
                      <w:b w:val="0"/>
                      <w:bCs w:val="0"/>
                      <w:color w:val="auto"/>
                      <w:sz w:val="21"/>
                      <w:szCs w:val="21"/>
                      <w:highlight w:val="none"/>
                      <w:lang w:eastAsia="zh-CN"/>
                    </w:rPr>
                    <w:t>回火炉</w:t>
                  </w:r>
                  <w:r>
                    <w:rPr>
                      <w:rFonts w:hint="eastAsia" w:cs="Times New Roman"/>
                      <w:b w:val="0"/>
                      <w:bCs w:val="0"/>
                      <w:color w:val="auto"/>
                      <w:sz w:val="21"/>
                      <w:szCs w:val="21"/>
                      <w:highlight w:val="none"/>
                      <w:lang w:val="en-US" w:eastAsia="zh-CN"/>
                    </w:rPr>
                    <w:t>3#</w:t>
                  </w:r>
                </w:p>
              </w:tc>
              <w:tc>
                <w:tcPr>
                  <w:tcW w:w="500" w:type="pct"/>
                  <w:vAlign w:val="center"/>
                </w:tcPr>
                <w:p w14:paraId="77B7DC4E">
                  <w:pPr>
                    <w:snapToGrid w:val="0"/>
                    <w:spacing w:line="240" w:lineRule="auto"/>
                    <w:ind w:firstLine="0" w:firstLineChars="0"/>
                    <w:jc w:val="center"/>
                    <w:rPr>
                      <w:rFonts w:hint="eastAsia" w:cs="宋体"/>
                      <w:bCs/>
                      <w:color w:val="auto"/>
                      <w:spacing w:val="-10"/>
                      <w:szCs w:val="21"/>
                      <w:highlight w:val="none"/>
                      <w:lang w:val="en-US" w:eastAsia="zh-CN"/>
                    </w:rPr>
                  </w:pPr>
                  <w:r>
                    <w:rPr>
                      <w:rFonts w:hint="eastAsia" w:cs="宋体"/>
                      <w:color w:val="auto"/>
                      <w:highlight w:val="none"/>
                    </w:rPr>
                    <w:t>颗粒物</w:t>
                  </w:r>
                  <w:r>
                    <w:rPr>
                      <w:rFonts w:hint="eastAsia" w:cs="宋体"/>
                      <w:color w:val="auto"/>
                      <w:highlight w:val="none"/>
                      <w:lang w:eastAsia="zh-CN"/>
                    </w:rPr>
                    <w:t>、</w:t>
                  </w:r>
                  <w:r>
                    <w:rPr>
                      <w:rFonts w:hint="eastAsia" w:cs="宋体"/>
                      <w:color w:val="auto"/>
                      <w:highlight w:val="none"/>
                    </w:rPr>
                    <w:t>SO</w:t>
                  </w:r>
                  <w:r>
                    <w:rPr>
                      <w:rFonts w:hint="eastAsia" w:cs="宋体"/>
                      <w:color w:val="auto"/>
                      <w:highlight w:val="none"/>
                      <w:vertAlign w:val="subscript"/>
                    </w:rPr>
                    <w:t>2</w:t>
                  </w:r>
                  <w:r>
                    <w:rPr>
                      <w:rFonts w:hint="eastAsia" w:cs="宋体"/>
                      <w:color w:val="auto"/>
                      <w:highlight w:val="none"/>
                      <w:lang w:eastAsia="zh-CN"/>
                    </w:rPr>
                    <w:t>、</w:t>
                  </w:r>
                  <w:r>
                    <w:rPr>
                      <w:rFonts w:hint="eastAsia" w:cs="宋体"/>
                      <w:color w:val="auto"/>
                      <w:highlight w:val="none"/>
                    </w:rPr>
                    <w:t>NOx</w:t>
                  </w:r>
                </w:p>
              </w:tc>
              <w:tc>
                <w:tcPr>
                  <w:tcW w:w="1384" w:type="pct"/>
                  <w:shd w:val="clear" w:color="auto" w:fill="auto"/>
                  <w:vAlign w:val="center"/>
                </w:tcPr>
                <w:p w14:paraId="2EE58B13">
                  <w:pPr>
                    <w:spacing w:line="240" w:lineRule="auto"/>
                    <w:rPr>
                      <w:rFonts w:hint="eastAsia" w:ascii="Times New Roman" w:hAnsi="Times New Roman" w:eastAsia="宋体" w:cs="Times New Roman"/>
                      <w:color w:val="auto"/>
                      <w:spacing w:val="-8"/>
                      <w:kern w:val="2"/>
                      <w:sz w:val="21"/>
                      <w:szCs w:val="21"/>
                      <w:highlight w:val="none"/>
                      <w:lang w:val="en-US" w:eastAsia="zh-CN" w:bidi="ar-SA"/>
                    </w:rPr>
                  </w:pPr>
                  <w:r>
                    <w:rPr>
                      <w:rFonts w:hint="default" w:ascii="Times New Roman" w:hAnsi="Times New Roman" w:eastAsia="宋体" w:cs="Times New Roman"/>
                      <w:color w:val="auto"/>
                      <w:spacing w:val="-5"/>
                      <w:sz w:val="21"/>
                      <w:szCs w:val="21"/>
                      <w:highlight w:val="none"/>
                    </w:rPr>
                    <w:t>安装低氮燃烧器</w:t>
                  </w:r>
                  <w:r>
                    <w:rPr>
                      <w:rFonts w:hint="eastAsia" w:cs="Times New Roman"/>
                      <w:color w:val="auto"/>
                      <w:spacing w:val="-5"/>
                      <w:sz w:val="21"/>
                      <w:szCs w:val="21"/>
                      <w:highlight w:val="none"/>
                      <w:lang w:eastAsia="zh-CN"/>
                    </w:rPr>
                    <w:t>，</w:t>
                  </w:r>
                  <w:r>
                    <w:rPr>
                      <w:rFonts w:hint="default" w:ascii="Times New Roman" w:hAnsi="Times New Roman" w:cs="Times New Roman"/>
                      <w:color w:val="auto"/>
                      <w:spacing w:val="-8"/>
                      <w:sz w:val="21"/>
                      <w:szCs w:val="21"/>
                      <w:highlight w:val="none"/>
                      <w:lang w:val="en-US" w:eastAsia="zh-CN"/>
                    </w:rPr>
                    <w:t>经1根27m高排气筒</w:t>
                  </w:r>
                  <w:r>
                    <w:rPr>
                      <w:rFonts w:hint="default" w:ascii="Times New Roman" w:hAnsi="Times New Roman" w:cs="Times New Roman"/>
                      <w:color w:val="auto"/>
                      <w:spacing w:val="-2"/>
                      <w:sz w:val="21"/>
                      <w:szCs w:val="21"/>
                      <w:highlight w:val="none"/>
                      <w:lang w:eastAsia="zh-CN"/>
                    </w:rPr>
                    <w:t>（</w:t>
                  </w:r>
                  <w:r>
                    <w:rPr>
                      <w:rFonts w:hint="default" w:ascii="Times New Roman" w:hAnsi="Times New Roman" w:cs="Times New Roman"/>
                      <w:color w:val="auto"/>
                      <w:spacing w:val="-2"/>
                      <w:sz w:val="21"/>
                      <w:szCs w:val="21"/>
                      <w:highlight w:val="none"/>
                      <w:lang w:val="en-US" w:eastAsia="zh-CN"/>
                    </w:rPr>
                    <w:t>DA00</w:t>
                  </w:r>
                  <w:r>
                    <w:rPr>
                      <w:rFonts w:hint="eastAsia" w:ascii="Times New Roman" w:hAnsi="Times New Roman" w:cs="Times New Roman"/>
                      <w:color w:val="auto"/>
                      <w:spacing w:val="-2"/>
                      <w:sz w:val="21"/>
                      <w:szCs w:val="21"/>
                      <w:highlight w:val="none"/>
                      <w:lang w:val="en-US" w:eastAsia="zh-CN"/>
                    </w:rPr>
                    <w:t>7</w:t>
                  </w:r>
                  <w:r>
                    <w:rPr>
                      <w:rFonts w:hint="default" w:ascii="Times New Roman" w:hAnsi="Times New Roman" w:cs="Times New Roman"/>
                      <w:color w:val="auto"/>
                      <w:spacing w:val="-2"/>
                      <w:sz w:val="21"/>
                      <w:szCs w:val="21"/>
                      <w:highlight w:val="none"/>
                      <w:lang w:eastAsia="zh-CN"/>
                    </w:rPr>
                    <w:t>）</w:t>
                  </w:r>
                  <w:r>
                    <w:rPr>
                      <w:rFonts w:hint="default" w:ascii="Times New Roman" w:hAnsi="Times New Roman" w:cs="Times New Roman"/>
                      <w:color w:val="auto"/>
                      <w:spacing w:val="-2"/>
                      <w:sz w:val="21"/>
                      <w:szCs w:val="21"/>
                      <w:highlight w:val="none"/>
                      <w:lang w:val="en-US" w:eastAsia="zh-CN"/>
                    </w:rPr>
                    <w:t>排放</w:t>
                  </w:r>
                </w:p>
              </w:tc>
              <w:tc>
                <w:tcPr>
                  <w:tcW w:w="606" w:type="pct"/>
                  <w:shd w:val="clear" w:color="auto" w:fill="auto"/>
                  <w:vAlign w:val="center"/>
                </w:tcPr>
                <w:p w14:paraId="7F503176">
                  <w:pPr>
                    <w:snapToGrid w:val="0"/>
                    <w:jc w:val="center"/>
                    <w:rPr>
                      <w:rFonts w:hint="eastAsia"/>
                      <w:color w:val="auto"/>
                      <w:szCs w:val="21"/>
                      <w:highlight w:val="none"/>
                      <w:lang w:val="en-US" w:eastAsia="zh-CN"/>
                    </w:rPr>
                  </w:pPr>
                  <w:r>
                    <w:rPr>
                      <w:rFonts w:hint="eastAsia"/>
                      <w:color w:val="auto"/>
                      <w:szCs w:val="21"/>
                      <w:highlight w:val="none"/>
                      <w:lang w:val="en-US" w:eastAsia="zh-CN"/>
                    </w:rPr>
                    <w:t>7200</w:t>
                  </w:r>
                </w:p>
              </w:tc>
              <w:tc>
                <w:tcPr>
                  <w:tcW w:w="404" w:type="pct"/>
                  <w:shd w:val="clear" w:color="auto" w:fill="auto"/>
                  <w:vAlign w:val="center"/>
                </w:tcPr>
                <w:p w14:paraId="7396E0DF">
                  <w:pPr>
                    <w:snapToGrid w:val="0"/>
                    <w:jc w:val="center"/>
                    <w:rPr>
                      <w:rFonts w:hint="eastAsia"/>
                      <w:color w:val="auto"/>
                      <w:szCs w:val="21"/>
                      <w:highlight w:val="none"/>
                      <w:lang w:val="en-US" w:eastAsia="zh-CN"/>
                    </w:rPr>
                  </w:pPr>
                  <w:r>
                    <w:rPr>
                      <w:rFonts w:hint="eastAsia"/>
                      <w:color w:val="auto"/>
                      <w:szCs w:val="21"/>
                      <w:highlight w:val="none"/>
                      <w:lang w:val="en-US" w:eastAsia="zh-CN"/>
                    </w:rPr>
                    <w:t>100</w:t>
                  </w:r>
                </w:p>
              </w:tc>
              <w:tc>
                <w:tcPr>
                  <w:tcW w:w="398" w:type="pct"/>
                  <w:shd w:val="clear" w:color="auto" w:fill="auto"/>
                  <w:vAlign w:val="center"/>
                </w:tcPr>
                <w:p w14:paraId="05FCF95E">
                  <w:pPr>
                    <w:snapToGrid w:val="0"/>
                    <w:jc w:val="center"/>
                    <w:rPr>
                      <w:rFonts w:hint="eastAsia"/>
                      <w:color w:val="auto"/>
                      <w:szCs w:val="21"/>
                      <w:highlight w:val="none"/>
                      <w:lang w:val="en-US" w:eastAsia="zh-CN"/>
                    </w:rPr>
                  </w:pPr>
                  <w:r>
                    <w:rPr>
                      <w:rFonts w:hint="eastAsia"/>
                      <w:color w:val="auto"/>
                      <w:szCs w:val="21"/>
                      <w:highlight w:val="none"/>
                      <w:lang w:val="en-US" w:eastAsia="zh-CN"/>
                    </w:rPr>
                    <w:t>50</w:t>
                  </w:r>
                </w:p>
              </w:tc>
              <w:tc>
                <w:tcPr>
                  <w:tcW w:w="423" w:type="pct"/>
                  <w:vAlign w:val="center"/>
                </w:tcPr>
                <w:p w14:paraId="5391713D">
                  <w:pPr>
                    <w:snapToGrid w:val="0"/>
                    <w:jc w:val="center"/>
                    <w:rPr>
                      <w:rFonts w:hint="eastAsia" w:hAnsi="宋体"/>
                      <w:bCs/>
                      <w:color w:val="auto"/>
                      <w:szCs w:val="21"/>
                      <w:highlight w:val="none"/>
                    </w:rPr>
                  </w:pPr>
                  <w:r>
                    <w:rPr>
                      <w:rFonts w:hint="eastAsia" w:hAnsi="宋体"/>
                      <w:bCs/>
                      <w:color w:val="auto"/>
                      <w:szCs w:val="21"/>
                      <w:highlight w:val="none"/>
                    </w:rPr>
                    <w:t>有组织</w:t>
                  </w:r>
                </w:p>
              </w:tc>
            </w:tr>
            <w:tr w14:paraId="728F4FC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376" w:type="pct"/>
                  <w:vMerge w:val="restart"/>
                  <w:vAlign w:val="center"/>
                </w:tcPr>
                <w:p w14:paraId="77CEABC2">
                  <w:pPr>
                    <w:pStyle w:val="116"/>
                    <w:spacing w:line="240" w:lineRule="auto"/>
                    <w:ind w:firstLine="0" w:firstLineChars="0"/>
                    <w:jc w:val="center"/>
                    <w:rPr>
                      <w:rFonts w:cs="宋体"/>
                      <w:color w:val="auto"/>
                      <w:highlight w:val="none"/>
                    </w:rPr>
                  </w:pPr>
                  <w:r>
                    <w:rPr>
                      <w:rFonts w:hint="eastAsia" w:cs="宋体"/>
                      <w:color w:val="auto"/>
                      <w:highlight w:val="none"/>
                    </w:rPr>
                    <w:t>重型车间</w:t>
                  </w:r>
                </w:p>
              </w:tc>
              <w:tc>
                <w:tcPr>
                  <w:tcW w:w="904" w:type="pct"/>
                  <w:gridSpan w:val="2"/>
                  <w:vAlign w:val="center"/>
                </w:tcPr>
                <w:p w14:paraId="5CE5C9CD">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抛丸工序</w:t>
                  </w:r>
                </w:p>
              </w:tc>
              <w:tc>
                <w:tcPr>
                  <w:tcW w:w="500" w:type="pct"/>
                  <w:vAlign w:val="center"/>
                </w:tcPr>
                <w:p w14:paraId="497957B7">
                  <w:pPr>
                    <w:pStyle w:val="116"/>
                    <w:spacing w:line="240" w:lineRule="auto"/>
                    <w:ind w:firstLine="0" w:firstLineChars="0"/>
                    <w:jc w:val="center"/>
                    <w:rPr>
                      <w:rFonts w:cs="宋体"/>
                      <w:color w:val="auto"/>
                      <w:highlight w:val="none"/>
                    </w:rPr>
                  </w:pPr>
                  <w:r>
                    <w:rPr>
                      <w:rFonts w:hint="eastAsia" w:cs="宋体"/>
                      <w:color w:val="auto"/>
                      <w:highlight w:val="none"/>
                    </w:rPr>
                    <w:t>颗粒物</w:t>
                  </w:r>
                </w:p>
              </w:tc>
              <w:tc>
                <w:tcPr>
                  <w:tcW w:w="1384" w:type="pct"/>
                  <w:vAlign w:val="center"/>
                </w:tcPr>
                <w:p w14:paraId="6BFD43EE">
                  <w:pPr>
                    <w:snapToGrid w:val="0"/>
                    <w:jc w:val="center"/>
                    <w:rPr>
                      <w:rFonts w:hAnsi="宋体"/>
                      <w:bCs/>
                      <w:color w:val="auto"/>
                      <w:szCs w:val="21"/>
                      <w:highlight w:val="none"/>
                    </w:rPr>
                  </w:pPr>
                  <w:r>
                    <w:rPr>
                      <w:rFonts w:hint="eastAsia" w:hAnsi="宋体"/>
                      <w:bCs/>
                      <w:color w:val="auto"/>
                      <w:szCs w:val="21"/>
                      <w:highlight w:val="none"/>
                    </w:rPr>
                    <w:t>抛丸机入料口与出料口均设置挡条，废气经收集后，经过1套二级滤筒除尘器处理后，通过1根</w:t>
                  </w:r>
                  <w:r>
                    <w:rPr>
                      <w:rFonts w:hint="eastAsia" w:hAnsi="宋体"/>
                      <w:bCs/>
                      <w:color w:val="auto"/>
                      <w:szCs w:val="21"/>
                      <w:highlight w:val="none"/>
                      <w:lang w:val="en-US" w:eastAsia="zh-CN"/>
                    </w:rPr>
                    <w:t>25</w:t>
                  </w:r>
                  <w:r>
                    <w:rPr>
                      <w:rFonts w:hint="eastAsia" w:hAnsi="宋体"/>
                      <w:bCs/>
                      <w:color w:val="auto"/>
                      <w:szCs w:val="21"/>
                      <w:highlight w:val="none"/>
                    </w:rPr>
                    <w:t>m高排气筒（DA004）外排</w:t>
                  </w:r>
                </w:p>
              </w:tc>
              <w:tc>
                <w:tcPr>
                  <w:tcW w:w="606" w:type="pct"/>
                  <w:vAlign w:val="center"/>
                </w:tcPr>
                <w:p w14:paraId="3E212509">
                  <w:pPr>
                    <w:snapToGrid w:val="0"/>
                    <w:jc w:val="center"/>
                    <w:rPr>
                      <w:rFonts w:hAnsi="宋体"/>
                      <w:bCs/>
                      <w:color w:val="auto"/>
                      <w:szCs w:val="21"/>
                      <w:highlight w:val="none"/>
                    </w:rPr>
                  </w:pPr>
                  <w:r>
                    <w:rPr>
                      <w:rFonts w:hint="eastAsia" w:hAnsi="宋体"/>
                      <w:bCs/>
                      <w:color w:val="auto"/>
                      <w:szCs w:val="21"/>
                      <w:highlight w:val="none"/>
                    </w:rPr>
                    <w:t>24</w:t>
                  </w:r>
                  <w:r>
                    <w:rPr>
                      <w:rFonts w:hAnsi="宋体"/>
                      <w:bCs/>
                      <w:color w:val="auto"/>
                      <w:szCs w:val="21"/>
                      <w:highlight w:val="none"/>
                    </w:rPr>
                    <w:t>000</w:t>
                  </w:r>
                </w:p>
              </w:tc>
              <w:tc>
                <w:tcPr>
                  <w:tcW w:w="404" w:type="pct"/>
                  <w:vAlign w:val="center"/>
                </w:tcPr>
                <w:p w14:paraId="3B4BD1BA">
                  <w:pPr>
                    <w:snapToGrid w:val="0"/>
                    <w:jc w:val="center"/>
                    <w:rPr>
                      <w:rFonts w:hAnsi="宋体"/>
                      <w:bCs/>
                      <w:color w:val="auto"/>
                      <w:szCs w:val="21"/>
                      <w:highlight w:val="none"/>
                    </w:rPr>
                  </w:pPr>
                  <w:r>
                    <w:rPr>
                      <w:rFonts w:hint="eastAsia" w:hAnsi="宋体"/>
                      <w:bCs/>
                      <w:color w:val="auto"/>
                      <w:szCs w:val="21"/>
                      <w:highlight w:val="none"/>
                    </w:rPr>
                    <w:t>98</w:t>
                  </w:r>
                </w:p>
              </w:tc>
              <w:tc>
                <w:tcPr>
                  <w:tcW w:w="398" w:type="pct"/>
                  <w:vAlign w:val="center"/>
                </w:tcPr>
                <w:p w14:paraId="4DADFBB0">
                  <w:pPr>
                    <w:snapToGrid w:val="0"/>
                    <w:jc w:val="center"/>
                    <w:rPr>
                      <w:rFonts w:hAnsi="宋体"/>
                      <w:bCs/>
                      <w:color w:val="auto"/>
                      <w:szCs w:val="21"/>
                      <w:highlight w:val="none"/>
                    </w:rPr>
                  </w:pPr>
                  <w:r>
                    <w:rPr>
                      <w:rFonts w:hAnsi="宋体"/>
                      <w:bCs/>
                      <w:color w:val="auto"/>
                      <w:szCs w:val="21"/>
                      <w:highlight w:val="none"/>
                    </w:rPr>
                    <w:t>9</w:t>
                  </w:r>
                  <w:r>
                    <w:rPr>
                      <w:rFonts w:hint="eastAsia" w:hAnsi="宋体"/>
                      <w:bCs/>
                      <w:color w:val="auto"/>
                      <w:szCs w:val="21"/>
                      <w:highlight w:val="none"/>
                    </w:rPr>
                    <w:t>9.8</w:t>
                  </w:r>
                </w:p>
              </w:tc>
              <w:tc>
                <w:tcPr>
                  <w:tcW w:w="423" w:type="pct"/>
                  <w:vAlign w:val="center"/>
                </w:tcPr>
                <w:p w14:paraId="32643B79">
                  <w:pPr>
                    <w:snapToGrid w:val="0"/>
                    <w:jc w:val="center"/>
                    <w:rPr>
                      <w:rFonts w:hAnsi="宋体"/>
                      <w:bCs/>
                      <w:color w:val="auto"/>
                      <w:szCs w:val="21"/>
                      <w:highlight w:val="none"/>
                    </w:rPr>
                  </w:pPr>
                  <w:r>
                    <w:rPr>
                      <w:rFonts w:hint="eastAsia" w:hAnsi="宋体"/>
                      <w:bCs/>
                      <w:color w:val="auto"/>
                      <w:szCs w:val="21"/>
                      <w:highlight w:val="none"/>
                    </w:rPr>
                    <w:t>有组织</w:t>
                  </w:r>
                </w:p>
              </w:tc>
            </w:tr>
            <w:tr w14:paraId="6771941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376" w:type="pct"/>
                  <w:vMerge w:val="continue"/>
                  <w:vAlign w:val="center"/>
                </w:tcPr>
                <w:p w14:paraId="74D69F1F">
                  <w:pPr>
                    <w:pStyle w:val="116"/>
                    <w:spacing w:line="240" w:lineRule="auto"/>
                    <w:ind w:firstLine="0" w:firstLineChars="0"/>
                    <w:jc w:val="center"/>
                    <w:rPr>
                      <w:rFonts w:cs="宋体"/>
                      <w:color w:val="auto"/>
                      <w:highlight w:val="none"/>
                    </w:rPr>
                  </w:pPr>
                </w:p>
              </w:tc>
              <w:tc>
                <w:tcPr>
                  <w:tcW w:w="904" w:type="pct"/>
                  <w:gridSpan w:val="2"/>
                  <w:vAlign w:val="center"/>
                </w:tcPr>
                <w:p w14:paraId="5711FFD3">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抛丸工序未收集废气</w:t>
                  </w:r>
                </w:p>
              </w:tc>
              <w:tc>
                <w:tcPr>
                  <w:tcW w:w="500" w:type="pct"/>
                  <w:vAlign w:val="center"/>
                </w:tcPr>
                <w:p w14:paraId="7C7376C9">
                  <w:pPr>
                    <w:pStyle w:val="116"/>
                    <w:spacing w:line="240" w:lineRule="auto"/>
                    <w:ind w:firstLine="0" w:firstLineChars="0"/>
                    <w:jc w:val="center"/>
                    <w:rPr>
                      <w:rFonts w:cs="宋体"/>
                      <w:color w:val="auto"/>
                      <w:highlight w:val="none"/>
                    </w:rPr>
                  </w:pPr>
                  <w:r>
                    <w:rPr>
                      <w:rFonts w:hint="eastAsia" w:cs="宋体"/>
                      <w:color w:val="auto"/>
                      <w:highlight w:val="none"/>
                    </w:rPr>
                    <w:t>颗粒物</w:t>
                  </w:r>
                </w:p>
              </w:tc>
              <w:tc>
                <w:tcPr>
                  <w:tcW w:w="1384" w:type="pct"/>
                  <w:vAlign w:val="center"/>
                </w:tcPr>
                <w:p w14:paraId="2ED43B67">
                  <w:pPr>
                    <w:snapToGrid w:val="0"/>
                    <w:jc w:val="center"/>
                    <w:rPr>
                      <w:rFonts w:hAnsi="宋体"/>
                      <w:bCs/>
                      <w:color w:val="auto"/>
                      <w:szCs w:val="21"/>
                      <w:highlight w:val="none"/>
                    </w:rPr>
                  </w:pPr>
                  <w:r>
                    <w:rPr>
                      <w:rFonts w:hint="eastAsia"/>
                      <w:color w:val="auto"/>
                      <w:highlight w:val="none"/>
                    </w:rPr>
                    <w:t>车间封闭</w:t>
                  </w:r>
                </w:p>
              </w:tc>
              <w:tc>
                <w:tcPr>
                  <w:tcW w:w="606" w:type="pct"/>
                  <w:vAlign w:val="center"/>
                </w:tcPr>
                <w:p w14:paraId="40E8CEE1">
                  <w:pPr>
                    <w:snapToGrid w:val="0"/>
                    <w:jc w:val="center"/>
                    <w:rPr>
                      <w:rFonts w:hAnsi="宋体"/>
                      <w:bCs/>
                      <w:color w:val="auto"/>
                      <w:szCs w:val="21"/>
                      <w:highlight w:val="none"/>
                    </w:rPr>
                  </w:pPr>
                  <w:r>
                    <w:rPr>
                      <w:rFonts w:hint="eastAsia" w:hAnsi="宋体"/>
                      <w:bCs/>
                      <w:color w:val="auto"/>
                      <w:szCs w:val="21"/>
                      <w:highlight w:val="none"/>
                    </w:rPr>
                    <w:t>/</w:t>
                  </w:r>
                </w:p>
              </w:tc>
              <w:tc>
                <w:tcPr>
                  <w:tcW w:w="404" w:type="pct"/>
                  <w:vAlign w:val="center"/>
                </w:tcPr>
                <w:p w14:paraId="441751EC">
                  <w:pPr>
                    <w:snapToGrid w:val="0"/>
                    <w:jc w:val="center"/>
                    <w:rPr>
                      <w:rFonts w:hAnsi="宋体"/>
                      <w:bCs/>
                      <w:color w:val="auto"/>
                      <w:szCs w:val="21"/>
                      <w:highlight w:val="none"/>
                    </w:rPr>
                  </w:pPr>
                  <w:r>
                    <w:rPr>
                      <w:rFonts w:hint="eastAsia" w:hAnsi="宋体"/>
                      <w:bCs/>
                      <w:color w:val="auto"/>
                      <w:szCs w:val="21"/>
                      <w:highlight w:val="none"/>
                    </w:rPr>
                    <w:t>/</w:t>
                  </w:r>
                </w:p>
              </w:tc>
              <w:tc>
                <w:tcPr>
                  <w:tcW w:w="398" w:type="pct"/>
                  <w:vAlign w:val="center"/>
                </w:tcPr>
                <w:p w14:paraId="21628192">
                  <w:pPr>
                    <w:snapToGrid w:val="0"/>
                    <w:jc w:val="center"/>
                    <w:rPr>
                      <w:rFonts w:hAnsi="宋体"/>
                      <w:bCs/>
                      <w:color w:val="auto"/>
                      <w:szCs w:val="21"/>
                      <w:highlight w:val="none"/>
                    </w:rPr>
                  </w:pPr>
                  <w:r>
                    <w:rPr>
                      <w:rFonts w:hint="eastAsia" w:hAnsi="宋体"/>
                      <w:bCs/>
                      <w:color w:val="auto"/>
                      <w:szCs w:val="21"/>
                      <w:highlight w:val="none"/>
                    </w:rPr>
                    <w:t>/</w:t>
                  </w:r>
                </w:p>
              </w:tc>
              <w:tc>
                <w:tcPr>
                  <w:tcW w:w="423" w:type="pct"/>
                  <w:vAlign w:val="center"/>
                </w:tcPr>
                <w:p w14:paraId="74F451AB">
                  <w:pPr>
                    <w:snapToGrid w:val="0"/>
                    <w:jc w:val="center"/>
                    <w:rPr>
                      <w:rFonts w:hAnsi="宋体"/>
                      <w:bCs/>
                      <w:color w:val="auto"/>
                      <w:szCs w:val="21"/>
                      <w:highlight w:val="none"/>
                    </w:rPr>
                  </w:pPr>
                  <w:r>
                    <w:rPr>
                      <w:rFonts w:hint="eastAsia" w:hAnsi="宋体"/>
                      <w:bCs/>
                      <w:color w:val="auto"/>
                      <w:szCs w:val="21"/>
                      <w:highlight w:val="none"/>
                    </w:rPr>
                    <w:t>无组织</w:t>
                  </w:r>
                </w:p>
              </w:tc>
            </w:tr>
          </w:tbl>
          <w:p w14:paraId="23118B8D">
            <w:pPr>
              <w:pStyle w:val="10"/>
              <w:spacing w:beforeLines="50"/>
              <w:rPr>
                <w:bCs/>
                <w:color w:val="auto"/>
                <w:highlight w:val="none"/>
              </w:rPr>
            </w:pPr>
            <w:r>
              <w:rPr>
                <w:rFonts w:hint="eastAsia"/>
                <w:color w:val="auto"/>
                <w:highlight w:val="none"/>
              </w:rPr>
              <w:t>表4-</w:t>
            </w:r>
            <w:r>
              <w:rPr>
                <w:color w:val="auto"/>
                <w:highlight w:val="none"/>
              </w:rPr>
              <w:fldChar w:fldCharType="begin"/>
            </w:r>
            <w:r>
              <w:rPr>
                <w:color w:val="auto"/>
                <w:highlight w:val="none"/>
              </w:rPr>
              <w:instrText xml:space="preserve"> </w:instrText>
            </w:r>
            <w:r>
              <w:rPr>
                <w:rFonts w:hint="eastAsia"/>
                <w:color w:val="auto"/>
                <w:highlight w:val="none"/>
              </w:rPr>
              <w:instrText xml:space="preserve">SEQ 表4- \* ARABIC</w:instrText>
            </w:r>
            <w:r>
              <w:rPr>
                <w:color w:val="auto"/>
                <w:highlight w:val="none"/>
              </w:rPr>
              <w:instrText xml:space="preserve"> </w:instrText>
            </w:r>
            <w:r>
              <w:rPr>
                <w:color w:val="auto"/>
                <w:highlight w:val="none"/>
              </w:rPr>
              <w:fldChar w:fldCharType="separate"/>
            </w:r>
            <w:r>
              <w:rPr>
                <w:color w:val="auto"/>
                <w:highlight w:val="none"/>
              </w:rPr>
              <w:t>3</w:t>
            </w:r>
            <w:r>
              <w:rPr>
                <w:color w:val="auto"/>
                <w:highlight w:val="none"/>
              </w:rPr>
              <w:fldChar w:fldCharType="end"/>
            </w:r>
            <w:r>
              <w:rPr>
                <w:rFonts w:hint="eastAsia"/>
                <w:bCs/>
                <w:color w:val="auto"/>
                <w:highlight w:val="none"/>
              </w:rPr>
              <w:t>废气排放口基本情况</w:t>
            </w:r>
          </w:p>
          <w:tbl>
            <w:tblPr>
              <w:tblStyle w:val="3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33"/>
              <w:gridCol w:w="1672"/>
              <w:gridCol w:w="792"/>
              <w:gridCol w:w="697"/>
              <w:gridCol w:w="803"/>
              <w:gridCol w:w="903"/>
              <w:gridCol w:w="1138"/>
              <w:gridCol w:w="690"/>
            </w:tblGrid>
            <w:tr w14:paraId="0BD069B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830" w:type="pct"/>
                  <w:vMerge w:val="restart"/>
                  <w:vAlign w:val="center"/>
                </w:tcPr>
                <w:p w14:paraId="5B9FD76A">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排放口名称、编号</w:t>
                  </w:r>
                </w:p>
              </w:tc>
              <w:tc>
                <w:tcPr>
                  <w:tcW w:w="1041" w:type="pct"/>
                  <w:vMerge w:val="restart"/>
                  <w:vAlign w:val="center"/>
                </w:tcPr>
                <w:p w14:paraId="35FA9A01">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排气筒底部中心坐标</w:t>
                  </w:r>
                </w:p>
              </w:tc>
              <w:tc>
                <w:tcPr>
                  <w:tcW w:w="1989" w:type="pct"/>
                  <w:gridSpan w:val="4"/>
                  <w:vAlign w:val="center"/>
                </w:tcPr>
                <w:p w14:paraId="27E20E77">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排气筒参数</w:t>
                  </w:r>
                </w:p>
              </w:tc>
              <w:tc>
                <w:tcPr>
                  <w:tcW w:w="708" w:type="pct"/>
                  <w:vMerge w:val="restart"/>
                  <w:vAlign w:val="center"/>
                </w:tcPr>
                <w:p w14:paraId="17C6C0E5">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污染物名称</w:t>
                  </w:r>
                </w:p>
              </w:tc>
              <w:tc>
                <w:tcPr>
                  <w:tcW w:w="429" w:type="pct"/>
                  <w:vMerge w:val="restart"/>
                  <w:vAlign w:val="center"/>
                </w:tcPr>
                <w:p w14:paraId="57D624C5">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排放口类型</w:t>
                  </w:r>
                </w:p>
              </w:tc>
            </w:tr>
            <w:tr w14:paraId="5A5CB7A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830" w:type="pct"/>
                  <w:vMerge w:val="continue"/>
                  <w:vAlign w:val="center"/>
                </w:tcPr>
                <w:p w14:paraId="3296E3F6">
                  <w:pPr>
                    <w:adjustRightInd w:val="0"/>
                    <w:snapToGrid w:val="0"/>
                    <w:jc w:val="center"/>
                    <w:rPr>
                      <w:rFonts w:cs="宋体"/>
                      <w:bCs/>
                      <w:color w:val="auto"/>
                      <w:spacing w:val="-10"/>
                      <w:szCs w:val="21"/>
                      <w:highlight w:val="none"/>
                    </w:rPr>
                  </w:pPr>
                </w:p>
              </w:tc>
              <w:tc>
                <w:tcPr>
                  <w:tcW w:w="1041" w:type="pct"/>
                  <w:vMerge w:val="continue"/>
                  <w:vAlign w:val="center"/>
                </w:tcPr>
                <w:p w14:paraId="1F02D50A">
                  <w:pPr>
                    <w:adjustRightInd w:val="0"/>
                    <w:snapToGrid w:val="0"/>
                    <w:jc w:val="center"/>
                    <w:rPr>
                      <w:rFonts w:cs="宋体"/>
                      <w:bCs/>
                      <w:color w:val="auto"/>
                      <w:spacing w:val="-10"/>
                      <w:szCs w:val="21"/>
                      <w:highlight w:val="none"/>
                    </w:rPr>
                  </w:pPr>
                </w:p>
              </w:tc>
              <w:tc>
                <w:tcPr>
                  <w:tcW w:w="493" w:type="pct"/>
                  <w:vAlign w:val="center"/>
                </w:tcPr>
                <w:p w14:paraId="66DC819B">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高度/m</w:t>
                  </w:r>
                </w:p>
              </w:tc>
              <w:tc>
                <w:tcPr>
                  <w:tcW w:w="434" w:type="pct"/>
                  <w:vAlign w:val="center"/>
                </w:tcPr>
                <w:p w14:paraId="0F37B472">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内径/m</w:t>
                  </w:r>
                </w:p>
              </w:tc>
              <w:tc>
                <w:tcPr>
                  <w:tcW w:w="500" w:type="pct"/>
                  <w:vAlign w:val="center"/>
                </w:tcPr>
                <w:p w14:paraId="693B0E83">
                  <w:pPr>
                    <w:adjustRightInd w:val="0"/>
                    <w:snapToGrid w:val="0"/>
                    <w:jc w:val="center"/>
                    <w:rPr>
                      <w:rFonts w:hint="eastAsia" w:eastAsia="宋体" w:cs="宋体"/>
                      <w:bCs/>
                      <w:color w:val="auto"/>
                      <w:spacing w:val="-10"/>
                      <w:szCs w:val="21"/>
                      <w:highlight w:val="none"/>
                      <w:lang w:eastAsia="zh-CN"/>
                    </w:rPr>
                  </w:pPr>
                  <w:r>
                    <w:rPr>
                      <w:rFonts w:hint="eastAsia" w:cs="宋体"/>
                      <w:bCs/>
                      <w:color w:val="auto"/>
                      <w:spacing w:val="-10"/>
                      <w:szCs w:val="21"/>
                      <w:highlight w:val="none"/>
                    </w:rPr>
                    <w:t>温度/</w:t>
                  </w:r>
                  <w:r>
                    <w:rPr>
                      <w:rFonts w:hint="eastAsia" w:cs="宋体"/>
                      <w:bCs/>
                      <w:color w:val="auto"/>
                      <w:spacing w:val="-10"/>
                      <w:szCs w:val="21"/>
                      <w:highlight w:val="none"/>
                      <w:lang w:eastAsia="zh-CN"/>
                    </w:rPr>
                    <w:t>°C</w:t>
                  </w:r>
                </w:p>
              </w:tc>
              <w:tc>
                <w:tcPr>
                  <w:tcW w:w="562" w:type="pct"/>
                  <w:vAlign w:val="center"/>
                </w:tcPr>
                <w:p w14:paraId="2244DA55">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排风量/（m</w:t>
                  </w:r>
                  <w:r>
                    <w:rPr>
                      <w:rFonts w:hint="eastAsia" w:cs="宋体"/>
                      <w:bCs/>
                      <w:color w:val="auto"/>
                      <w:spacing w:val="-10"/>
                      <w:szCs w:val="21"/>
                      <w:highlight w:val="none"/>
                      <w:vertAlign w:val="superscript"/>
                    </w:rPr>
                    <w:t>3</w:t>
                  </w:r>
                  <w:r>
                    <w:rPr>
                      <w:rFonts w:hint="eastAsia" w:cs="宋体"/>
                      <w:bCs/>
                      <w:color w:val="auto"/>
                      <w:spacing w:val="-10"/>
                      <w:szCs w:val="21"/>
                      <w:highlight w:val="none"/>
                    </w:rPr>
                    <w:t>/h）</w:t>
                  </w:r>
                </w:p>
              </w:tc>
              <w:tc>
                <w:tcPr>
                  <w:tcW w:w="708" w:type="pct"/>
                  <w:vMerge w:val="continue"/>
                  <w:vAlign w:val="center"/>
                </w:tcPr>
                <w:p w14:paraId="4BCF4C52">
                  <w:pPr>
                    <w:adjustRightInd w:val="0"/>
                    <w:snapToGrid w:val="0"/>
                    <w:jc w:val="center"/>
                    <w:rPr>
                      <w:rFonts w:cs="宋体"/>
                      <w:bCs/>
                      <w:color w:val="auto"/>
                      <w:spacing w:val="-10"/>
                      <w:szCs w:val="21"/>
                      <w:highlight w:val="none"/>
                    </w:rPr>
                  </w:pPr>
                </w:p>
              </w:tc>
              <w:tc>
                <w:tcPr>
                  <w:tcW w:w="429" w:type="pct"/>
                  <w:vMerge w:val="continue"/>
                  <w:vAlign w:val="center"/>
                </w:tcPr>
                <w:p w14:paraId="376D3BC8">
                  <w:pPr>
                    <w:adjustRightInd w:val="0"/>
                    <w:snapToGrid w:val="0"/>
                    <w:jc w:val="center"/>
                    <w:rPr>
                      <w:rFonts w:cs="宋体"/>
                      <w:bCs/>
                      <w:color w:val="auto"/>
                      <w:spacing w:val="-10"/>
                      <w:szCs w:val="21"/>
                      <w:highlight w:val="none"/>
                    </w:rPr>
                  </w:pPr>
                </w:p>
              </w:tc>
            </w:tr>
            <w:tr w14:paraId="1C1805C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830" w:type="pct"/>
                  <w:shd w:val="clear" w:color="auto" w:fill="auto"/>
                  <w:vAlign w:val="center"/>
                </w:tcPr>
                <w:p w14:paraId="68869AC0">
                  <w:pPr>
                    <w:adjustRightInd w:val="0"/>
                    <w:snapToGrid w:val="0"/>
                    <w:jc w:val="center"/>
                    <w:rPr>
                      <w:rFonts w:hint="eastAsia" w:ascii="Times New Roman" w:hAnsi="Times New Roman" w:eastAsia="宋体" w:cs="宋体"/>
                      <w:bCs/>
                      <w:color w:val="auto"/>
                      <w:spacing w:val="-10"/>
                      <w:kern w:val="2"/>
                      <w:sz w:val="21"/>
                      <w:szCs w:val="21"/>
                      <w:highlight w:val="none"/>
                      <w:lang w:val="en-US" w:eastAsia="zh-CN" w:bidi="ar-SA"/>
                    </w:rPr>
                  </w:pPr>
                  <w:r>
                    <w:rPr>
                      <w:rFonts w:hint="eastAsia" w:cs="Times New Roman"/>
                      <w:color w:val="auto"/>
                      <w:sz w:val="21"/>
                      <w:szCs w:val="21"/>
                      <w:highlight w:val="none"/>
                      <w:lang w:val="en-US" w:eastAsia="zh-CN"/>
                    </w:rPr>
                    <w:t>钢球生产线</w:t>
                  </w:r>
                  <w:r>
                    <w:rPr>
                      <w:rFonts w:hint="eastAsia" w:cs="宋体"/>
                      <w:bCs/>
                      <w:color w:val="auto"/>
                      <w:spacing w:val="-10"/>
                      <w:szCs w:val="21"/>
                      <w:highlight w:val="none"/>
                    </w:rPr>
                    <w:t>（DA00</w:t>
                  </w:r>
                  <w:r>
                    <w:rPr>
                      <w:rFonts w:hint="eastAsia" w:cs="宋体"/>
                      <w:bCs/>
                      <w:color w:val="auto"/>
                      <w:spacing w:val="-10"/>
                      <w:szCs w:val="21"/>
                      <w:highlight w:val="none"/>
                      <w:lang w:val="en-US" w:eastAsia="zh-CN"/>
                    </w:rPr>
                    <w:t>5</w:t>
                  </w:r>
                  <w:r>
                    <w:rPr>
                      <w:rFonts w:hint="eastAsia" w:cs="宋体"/>
                      <w:bCs/>
                      <w:color w:val="auto"/>
                      <w:spacing w:val="-10"/>
                      <w:szCs w:val="21"/>
                      <w:highlight w:val="none"/>
                    </w:rPr>
                    <w:t>）</w:t>
                  </w:r>
                </w:p>
              </w:tc>
              <w:tc>
                <w:tcPr>
                  <w:tcW w:w="1041" w:type="pct"/>
                  <w:shd w:val="clear" w:color="auto" w:fill="auto"/>
                  <w:vAlign w:val="center"/>
                </w:tcPr>
                <w:p w14:paraId="68901CE9">
                  <w:pPr>
                    <w:adjustRightInd w:val="0"/>
                    <w:snapToGrid w:val="0"/>
                    <w:jc w:val="center"/>
                    <w:rPr>
                      <w:color w:val="auto"/>
                      <w:highlight w:val="none"/>
                    </w:rPr>
                  </w:pPr>
                  <w:r>
                    <w:rPr>
                      <w:color w:val="auto"/>
                      <w:highlight w:val="none"/>
                    </w:rPr>
                    <w:t>E</w:t>
                  </w:r>
                  <w:r>
                    <w:rPr>
                      <w:rFonts w:hint="eastAsia"/>
                      <w:color w:val="auto"/>
                      <w:highlight w:val="none"/>
                    </w:rPr>
                    <w:t>118</w:t>
                  </w:r>
                  <w:r>
                    <w:rPr>
                      <w:color w:val="auto"/>
                      <w:highlight w:val="none"/>
                    </w:rPr>
                    <w:t>°</w:t>
                  </w:r>
                  <w:r>
                    <w:rPr>
                      <w:rFonts w:hint="eastAsia"/>
                      <w:color w:val="auto"/>
                      <w:highlight w:val="none"/>
                    </w:rPr>
                    <w:t>8'44.93"</w:t>
                  </w:r>
                  <w:r>
                    <w:rPr>
                      <w:color w:val="auto"/>
                      <w:highlight w:val="none"/>
                    </w:rPr>
                    <w:t>，</w:t>
                  </w:r>
                </w:p>
                <w:p w14:paraId="3E8554F8">
                  <w:pPr>
                    <w:adjustRightInd w:val="0"/>
                    <w:snapToGrid w:val="0"/>
                    <w:jc w:val="center"/>
                    <w:rPr>
                      <w:rFonts w:ascii="Times New Roman" w:hAnsi="Times New Roman" w:eastAsia="宋体" w:cs="Times New Roman"/>
                      <w:color w:val="auto"/>
                      <w:kern w:val="2"/>
                      <w:sz w:val="21"/>
                      <w:szCs w:val="24"/>
                      <w:highlight w:val="none"/>
                      <w:lang w:val="en-US" w:eastAsia="zh-CN" w:bidi="ar-SA"/>
                    </w:rPr>
                  </w:pPr>
                  <w:r>
                    <w:rPr>
                      <w:color w:val="auto"/>
                      <w:highlight w:val="none"/>
                    </w:rPr>
                    <w:t>N</w:t>
                  </w:r>
                  <w:r>
                    <w:rPr>
                      <w:rFonts w:hint="eastAsia"/>
                      <w:color w:val="auto"/>
                      <w:highlight w:val="none"/>
                    </w:rPr>
                    <w:t xml:space="preserve"> 39</w:t>
                  </w:r>
                  <w:r>
                    <w:rPr>
                      <w:color w:val="auto"/>
                      <w:highlight w:val="none"/>
                    </w:rPr>
                    <w:t>°</w:t>
                  </w:r>
                  <w:r>
                    <w:rPr>
                      <w:rFonts w:hint="eastAsia"/>
                      <w:color w:val="auto"/>
                      <w:highlight w:val="none"/>
                    </w:rPr>
                    <w:t>41'30.36"</w:t>
                  </w:r>
                </w:p>
              </w:tc>
              <w:tc>
                <w:tcPr>
                  <w:tcW w:w="493" w:type="pct"/>
                  <w:shd w:val="clear" w:color="auto" w:fill="auto"/>
                  <w:vAlign w:val="center"/>
                </w:tcPr>
                <w:p w14:paraId="0E9AE9F2">
                  <w:pPr>
                    <w:adjustRightInd w:val="0"/>
                    <w:snapToGrid w:val="0"/>
                    <w:jc w:val="center"/>
                    <w:rPr>
                      <w:rFonts w:hint="default" w:ascii="Times New Roman" w:hAnsi="Times New Roman" w:eastAsia="宋体" w:cs="宋体"/>
                      <w:bCs/>
                      <w:color w:val="auto"/>
                      <w:spacing w:val="-10"/>
                      <w:kern w:val="2"/>
                      <w:sz w:val="21"/>
                      <w:szCs w:val="21"/>
                      <w:highlight w:val="none"/>
                      <w:lang w:val="en-US" w:eastAsia="zh-CN" w:bidi="ar-SA"/>
                    </w:rPr>
                  </w:pPr>
                  <w:r>
                    <w:rPr>
                      <w:rFonts w:hint="eastAsia" w:cs="宋体"/>
                      <w:bCs/>
                      <w:color w:val="auto"/>
                      <w:spacing w:val="-10"/>
                      <w:szCs w:val="21"/>
                      <w:highlight w:val="none"/>
                      <w:lang w:val="en-US" w:eastAsia="zh-CN"/>
                    </w:rPr>
                    <w:t>27</w:t>
                  </w:r>
                </w:p>
              </w:tc>
              <w:tc>
                <w:tcPr>
                  <w:tcW w:w="434" w:type="pct"/>
                  <w:shd w:val="clear" w:color="auto" w:fill="auto"/>
                  <w:vAlign w:val="center"/>
                </w:tcPr>
                <w:p w14:paraId="3395DA68">
                  <w:pPr>
                    <w:adjustRightInd w:val="0"/>
                    <w:snapToGrid w:val="0"/>
                    <w:jc w:val="center"/>
                    <w:rPr>
                      <w:rFonts w:hint="default" w:ascii="Times New Roman" w:hAnsi="Times New Roman" w:eastAsia="宋体" w:cs="宋体"/>
                      <w:bCs/>
                      <w:color w:val="auto"/>
                      <w:spacing w:val="-10"/>
                      <w:kern w:val="2"/>
                      <w:sz w:val="21"/>
                      <w:szCs w:val="21"/>
                      <w:highlight w:val="none"/>
                      <w:lang w:val="en-US" w:eastAsia="zh-CN" w:bidi="ar-SA"/>
                    </w:rPr>
                  </w:pPr>
                  <w:r>
                    <w:rPr>
                      <w:rFonts w:hint="eastAsia" w:cs="宋体"/>
                      <w:bCs/>
                      <w:color w:val="auto"/>
                      <w:spacing w:val="-10"/>
                      <w:szCs w:val="21"/>
                      <w:highlight w:val="none"/>
                      <w:lang w:val="en-US" w:eastAsia="zh-CN"/>
                    </w:rPr>
                    <w:t>1.6</w:t>
                  </w:r>
                </w:p>
              </w:tc>
              <w:tc>
                <w:tcPr>
                  <w:tcW w:w="500" w:type="pct"/>
                  <w:shd w:val="clear" w:color="auto" w:fill="auto"/>
                  <w:vAlign w:val="center"/>
                </w:tcPr>
                <w:p w14:paraId="7449186F">
                  <w:pPr>
                    <w:adjustRightInd w:val="0"/>
                    <w:snapToGrid w:val="0"/>
                    <w:jc w:val="center"/>
                    <w:rPr>
                      <w:rFonts w:hint="default" w:ascii="Times New Roman" w:hAnsi="Times New Roman" w:eastAsia="宋体" w:cs="宋体"/>
                      <w:bCs/>
                      <w:color w:val="auto"/>
                      <w:spacing w:val="-10"/>
                      <w:kern w:val="2"/>
                      <w:sz w:val="21"/>
                      <w:szCs w:val="21"/>
                      <w:highlight w:val="none"/>
                      <w:lang w:val="en-US" w:eastAsia="zh-CN" w:bidi="ar-SA"/>
                    </w:rPr>
                  </w:pPr>
                  <w:r>
                    <w:rPr>
                      <w:rFonts w:hint="eastAsia" w:cs="宋体"/>
                      <w:bCs/>
                      <w:color w:val="auto"/>
                      <w:spacing w:val="-10"/>
                      <w:szCs w:val="21"/>
                      <w:highlight w:val="none"/>
                      <w:lang w:val="en-US" w:eastAsia="zh-CN"/>
                    </w:rPr>
                    <w:t>120</w:t>
                  </w:r>
                </w:p>
              </w:tc>
              <w:tc>
                <w:tcPr>
                  <w:tcW w:w="562" w:type="pct"/>
                  <w:shd w:val="clear" w:color="auto" w:fill="auto"/>
                  <w:vAlign w:val="center"/>
                </w:tcPr>
                <w:p w14:paraId="63BA0808">
                  <w:pPr>
                    <w:snapToGrid w:val="0"/>
                    <w:jc w:val="center"/>
                    <w:rPr>
                      <w:rFonts w:hint="default" w:ascii="Times New Roman" w:hAnsi="Times New Roman" w:eastAsia="宋体" w:cs="宋体"/>
                      <w:bCs/>
                      <w:color w:val="auto"/>
                      <w:spacing w:val="-10"/>
                      <w:kern w:val="2"/>
                      <w:sz w:val="21"/>
                      <w:szCs w:val="21"/>
                      <w:highlight w:val="none"/>
                      <w:lang w:val="en-US" w:eastAsia="zh-CN" w:bidi="ar-SA"/>
                    </w:rPr>
                  </w:pPr>
                  <w:r>
                    <w:rPr>
                      <w:rFonts w:hint="eastAsia" w:cs="宋体"/>
                      <w:bCs/>
                      <w:color w:val="auto"/>
                      <w:spacing w:val="-10"/>
                      <w:szCs w:val="21"/>
                      <w:highlight w:val="none"/>
                      <w:lang w:val="en-US" w:eastAsia="zh-CN"/>
                    </w:rPr>
                    <w:t>104400</w:t>
                  </w:r>
                </w:p>
              </w:tc>
              <w:tc>
                <w:tcPr>
                  <w:tcW w:w="708" w:type="pct"/>
                  <w:shd w:val="clear" w:color="auto" w:fill="auto"/>
                  <w:vAlign w:val="center"/>
                </w:tcPr>
                <w:p w14:paraId="03A6438F">
                  <w:pPr>
                    <w:snapToGrid w:val="0"/>
                    <w:spacing w:line="240" w:lineRule="auto"/>
                    <w:ind w:firstLine="0" w:firstLineChars="0"/>
                    <w:jc w:val="center"/>
                    <w:rPr>
                      <w:rFonts w:hint="eastAsia" w:ascii="Times New Roman" w:hAnsi="Times New Roman" w:eastAsia="宋体" w:cs="宋体"/>
                      <w:bCs/>
                      <w:color w:val="auto"/>
                      <w:spacing w:val="-10"/>
                      <w:kern w:val="2"/>
                      <w:sz w:val="21"/>
                      <w:szCs w:val="21"/>
                      <w:highlight w:val="none"/>
                      <w:lang w:val="en-US" w:eastAsia="zh-CN" w:bidi="ar-SA"/>
                    </w:rPr>
                  </w:pPr>
                  <w:r>
                    <w:rPr>
                      <w:rFonts w:hint="eastAsia" w:cs="宋体"/>
                      <w:color w:val="auto"/>
                      <w:highlight w:val="none"/>
                    </w:rPr>
                    <w:t>颗粒物</w:t>
                  </w:r>
                  <w:r>
                    <w:rPr>
                      <w:rFonts w:hint="eastAsia" w:cs="宋体"/>
                      <w:color w:val="auto"/>
                      <w:highlight w:val="none"/>
                      <w:lang w:eastAsia="zh-CN"/>
                    </w:rPr>
                    <w:t>、</w:t>
                  </w:r>
                  <w:r>
                    <w:rPr>
                      <w:rFonts w:hint="eastAsia" w:cs="宋体"/>
                      <w:color w:val="auto"/>
                      <w:highlight w:val="none"/>
                    </w:rPr>
                    <w:t>SO</w:t>
                  </w:r>
                  <w:r>
                    <w:rPr>
                      <w:rFonts w:hint="eastAsia" w:cs="宋体"/>
                      <w:color w:val="auto"/>
                      <w:highlight w:val="none"/>
                      <w:vertAlign w:val="subscript"/>
                    </w:rPr>
                    <w:t>2</w:t>
                  </w:r>
                  <w:r>
                    <w:rPr>
                      <w:rFonts w:hint="eastAsia" w:cs="宋体"/>
                      <w:color w:val="auto"/>
                      <w:highlight w:val="none"/>
                      <w:lang w:eastAsia="zh-CN"/>
                    </w:rPr>
                    <w:t>、</w:t>
                  </w:r>
                  <w:r>
                    <w:rPr>
                      <w:rFonts w:hint="eastAsia" w:cs="宋体"/>
                      <w:color w:val="auto"/>
                      <w:highlight w:val="none"/>
                    </w:rPr>
                    <w:t>NOx</w:t>
                  </w:r>
                </w:p>
              </w:tc>
              <w:tc>
                <w:tcPr>
                  <w:tcW w:w="429" w:type="pct"/>
                  <w:shd w:val="clear" w:color="auto" w:fill="auto"/>
                  <w:vAlign w:val="center"/>
                </w:tcPr>
                <w:p w14:paraId="6C857C27">
                  <w:pPr>
                    <w:adjustRightInd w:val="0"/>
                    <w:snapToGrid w:val="0"/>
                    <w:jc w:val="center"/>
                    <w:rPr>
                      <w:rFonts w:hint="eastAsia" w:ascii="Times New Roman" w:hAnsi="Times New Roman" w:eastAsia="宋体" w:cs="宋体"/>
                      <w:bCs/>
                      <w:color w:val="auto"/>
                      <w:spacing w:val="-10"/>
                      <w:kern w:val="2"/>
                      <w:sz w:val="21"/>
                      <w:szCs w:val="21"/>
                      <w:highlight w:val="none"/>
                      <w:lang w:val="en-US" w:eastAsia="zh-CN" w:bidi="ar-SA"/>
                    </w:rPr>
                  </w:pPr>
                  <w:r>
                    <w:rPr>
                      <w:rFonts w:hint="eastAsia" w:cs="宋体"/>
                      <w:bCs/>
                      <w:color w:val="auto"/>
                      <w:spacing w:val="-10"/>
                      <w:szCs w:val="21"/>
                      <w:highlight w:val="none"/>
                    </w:rPr>
                    <w:t>一般排放口</w:t>
                  </w:r>
                </w:p>
              </w:tc>
            </w:tr>
            <w:tr w14:paraId="32A4DF0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830" w:type="pct"/>
                  <w:shd w:val="clear" w:color="auto" w:fill="auto"/>
                  <w:vAlign w:val="center"/>
                </w:tcPr>
                <w:p w14:paraId="3504F27A">
                  <w:pPr>
                    <w:snapToGrid w:val="0"/>
                    <w:jc w:val="center"/>
                    <w:rPr>
                      <w:rFonts w:hint="eastAsia" w:ascii="Times New Roman" w:hAnsi="Times New Roman" w:eastAsia="宋体" w:cs="宋体"/>
                      <w:bCs/>
                      <w:color w:val="auto"/>
                      <w:spacing w:val="-10"/>
                      <w:kern w:val="2"/>
                      <w:sz w:val="21"/>
                      <w:szCs w:val="21"/>
                      <w:highlight w:val="none"/>
                      <w:lang w:val="en-US" w:eastAsia="zh-CN" w:bidi="ar-SA"/>
                    </w:rPr>
                  </w:pPr>
                  <w:r>
                    <w:rPr>
                      <w:rFonts w:hint="eastAsia" w:cs="Times New Roman"/>
                      <w:color w:val="auto"/>
                      <w:sz w:val="21"/>
                      <w:szCs w:val="21"/>
                      <w:highlight w:val="none"/>
                      <w:lang w:val="en-US" w:eastAsia="zh-CN"/>
                    </w:rPr>
                    <w:t>自由锻生产线</w:t>
                  </w:r>
                  <w:r>
                    <w:rPr>
                      <w:rFonts w:hint="eastAsia" w:cs="宋体"/>
                      <w:bCs/>
                      <w:color w:val="auto"/>
                      <w:spacing w:val="-10"/>
                      <w:szCs w:val="21"/>
                      <w:highlight w:val="none"/>
                    </w:rPr>
                    <w:t>（DA00</w:t>
                  </w:r>
                  <w:r>
                    <w:rPr>
                      <w:rFonts w:hint="eastAsia" w:cs="宋体"/>
                      <w:bCs/>
                      <w:color w:val="auto"/>
                      <w:spacing w:val="-10"/>
                      <w:szCs w:val="21"/>
                      <w:highlight w:val="none"/>
                      <w:lang w:val="en-US" w:eastAsia="zh-CN"/>
                    </w:rPr>
                    <w:t>6</w:t>
                  </w:r>
                  <w:r>
                    <w:rPr>
                      <w:rFonts w:hint="eastAsia" w:cs="宋体"/>
                      <w:bCs/>
                      <w:color w:val="auto"/>
                      <w:spacing w:val="-10"/>
                      <w:szCs w:val="21"/>
                      <w:highlight w:val="none"/>
                    </w:rPr>
                    <w:t>）</w:t>
                  </w:r>
                </w:p>
              </w:tc>
              <w:tc>
                <w:tcPr>
                  <w:tcW w:w="1041" w:type="pct"/>
                  <w:shd w:val="clear" w:color="auto" w:fill="auto"/>
                  <w:vAlign w:val="center"/>
                </w:tcPr>
                <w:p w14:paraId="00990203">
                  <w:pPr>
                    <w:adjustRightInd w:val="0"/>
                    <w:snapToGrid w:val="0"/>
                    <w:jc w:val="center"/>
                    <w:rPr>
                      <w:color w:val="auto"/>
                      <w:highlight w:val="none"/>
                    </w:rPr>
                  </w:pPr>
                  <w:r>
                    <w:rPr>
                      <w:color w:val="auto"/>
                      <w:highlight w:val="none"/>
                    </w:rPr>
                    <w:t>E</w:t>
                  </w:r>
                  <w:r>
                    <w:rPr>
                      <w:rFonts w:hint="eastAsia"/>
                      <w:color w:val="auto"/>
                      <w:highlight w:val="none"/>
                    </w:rPr>
                    <w:t>118</w:t>
                  </w:r>
                  <w:r>
                    <w:rPr>
                      <w:color w:val="auto"/>
                      <w:highlight w:val="none"/>
                    </w:rPr>
                    <w:t>°</w:t>
                  </w:r>
                  <w:r>
                    <w:rPr>
                      <w:rFonts w:hint="eastAsia"/>
                      <w:color w:val="auto"/>
                      <w:highlight w:val="none"/>
                    </w:rPr>
                    <w:t>8'41.16"</w:t>
                  </w:r>
                  <w:r>
                    <w:rPr>
                      <w:color w:val="auto"/>
                      <w:highlight w:val="none"/>
                    </w:rPr>
                    <w:t>，</w:t>
                  </w:r>
                </w:p>
                <w:p w14:paraId="2C39FBAF">
                  <w:pPr>
                    <w:adjustRightInd w:val="0"/>
                    <w:snapToGrid w:val="0"/>
                    <w:jc w:val="center"/>
                    <w:rPr>
                      <w:rFonts w:ascii="Times New Roman" w:hAnsi="Times New Roman" w:eastAsia="宋体" w:cs="Times New Roman"/>
                      <w:color w:val="auto"/>
                      <w:kern w:val="2"/>
                      <w:sz w:val="21"/>
                      <w:szCs w:val="24"/>
                      <w:highlight w:val="none"/>
                      <w:lang w:val="en-US" w:eastAsia="zh-CN" w:bidi="ar-SA"/>
                    </w:rPr>
                  </w:pPr>
                  <w:r>
                    <w:rPr>
                      <w:color w:val="auto"/>
                      <w:highlight w:val="none"/>
                    </w:rPr>
                    <w:t>N</w:t>
                  </w:r>
                  <w:r>
                    <w:rPr>
                      <w:rFonts w:hint="eastAsia"/>
                      <w:color w:val="auto"/>
                      <w:highlight w:val="none"/>
                    </w:rPr>
                    <w:t>39</w:t>
                  </w:r>
                  <w:r>
                    <w:rPr>
                      <w:color w:val="auto"/>
                      <w:highlight w:val="none"/>
                    </w:rPr>
                    <w:t>°</w:t>
                  </w:r>
                  <w:r>
                    <w:rPr>
                      <w:rFonts w:hint="eastAsia"/>
                      <w:color w:val="auto"/>
                      <w:highlight w:val="none"/>
                    </w:rPr>
                    <w:t>41'30.33"</w:t>
                  </w:r>
                </w:p>
              </w:tc>
              <w:tc>
                <w:tcPr>
                  <w:tcW w:w="493" w:type="pct"/>
                  <w:shd w:val="clear" w:color="auto" w:fill="auto"/>
                  <w:vAlign w:val="center"/>
                </w:tcPr>
                <w:p w14:paraId="70BB3EBD">
                  <w:pPr>
                    <w:adjustRightInd w:val="0"/>
                    <w:snapToGrid w:val="0"/>
                    <w:jc w:val="center"/>
                    <w:rPr>
                      <w:rFonts w:hint="default" w:ascii="Times New Roman" w:hAnsi="Times New Roman" w:eastAsia="宋体" w:cs="宋体"/>
                      <w:bCs/>
                      <w:color w:val="auto"/>
                      <w:spacing w:val="-10"/>
                      <w:kern w:val="2"/>
                      <w:sz w:val="21"/>
                      <w:szCs w:val="21"/>
                      <w:highlight w:val="none"/>
                      <w:lang w:val="en-US" w:eastAsia="zh-CN" w:bidi="ar-SA"/>
                    </w:rPr>
                  </w:pPr>
                  <w:r>
                    <w:rPr>
                      <w:rFonts w:hint="eastAsia" w:cs="宋体"/>
                      <w:bCs/>
                      <w:color w:val="auto"/>
                      <w:spacing w:val="-10"/>
                      <w:szCs w:val="21"/>
                      <w:highlight w:val="none"/>
                      <w:lang w:val="en-US" w:eastAsia="zh-CN"/>
                    </w:rPr>
                    <w:t>27</w:t>
                  </w:r>
                </w:p>
              </w:tc>
              <w:tc>
                <w:tcPr>
                  <w:tcW w:w="434" w:type="pct"/>
                  <w:shd w:val="clear" w:color="auto" w:fill="auto"/>
                  <w:vAlign w:val="center"/>
                </w:tcPr>
                <w:p w14:paraId="63C207F2">
                  <w:pPr>
                    <w:adjustRightInd w:val="0"/>
                    <w:snapToGrid w:val="0"/>
                    <w:jc w:val="center"/>
                    <w:rPr>
                      <w:rFonts w:hint="default" w:ascii="Times New Roman" w:hAnsi="Times New Roman" w:eastAsia="宋体" w:cs="宋体"/>
                      <w:bCs/>
                      <w:color w:val="auto"/>
                      <w:spacing w:val="-10"/>
                      <w:kern w:val="2"/>
                      <w:sz w:val="21"/>
                      <w:szCs w:val="21"/>
                      <w:highlight w:val="none"/>
                      <w:lang w:val="en-US" w:eastAsia="zh-CN" w:bidi="ar-SA"/>
                    </w:rPr>
                  </w:pPr>
                  <w:r>
                    <w:rPr>
                      <w:rFonts w:hint="eastAsia" w:cs="宋体"/>
                      <w:bCs/>
                      <w:color w:val="auto"/>
                      <w:spacing w:val="-10"/>
                      <w:szCs w:val="21"/>
                      <w:highlight w:val="none"/>
                      <w:lang w:val="en-US" w:eastAsia="zh-CN"/>
                    </w:rPr>
                    <w:t>0.8</w:t>
                  </w:r>
                </w:p>
              </w:tc>
              <w:tc>
                <w:tcPr>
                  <w:tcW w:w="500" w:type="pct"/>
                  <w:shd w:val="clear" w:color="auto" w:fill="auto"/>
                  <w:vAlign w:val="center"/>
                </w:tcPr>
                <w:p w14:paraId="51C8725F">
                  <w:pPr>
                    <w:adjustRightInd w:val="0"/>
                    <w:snapToGrid w:val="0"/>
                    <w:jc w:val="center"/>
                    <w:rPr>
                      <w:rFonts w:hint="eastAsia" w:ascii="Times New Roman" w:hAnsi="Times New Roman" w:eastAsia="宋体" w:cs="宋体"/>
                      <w:bCs/>
                      <w:color w:val="auto"/>
                      <w:spacing w:val="-10"/>
                      <w:kern w:val="2"/>
                      <w:sz w:val="21"/>
                      <w:szCs w:val="21"/>
                      <w:highlight w:val="none"/>
                      <w:lang w:val="en-US" w:eastAsia="zh-CN" w:bidi="ar-SA"/>
                    </w:rPr>
                  </w:pPr>
                  <w:r>
                    <w:rPr>
                      <w:rFonts w:hint="eastAsia" w:cs="宋体"/>
                      <w:bCs/>
                      <w:color w:val="auto"/>
                      <w:spacing w:val="-10"/>
                      <w:szCs w:val="21"/>
                      <w:highlight w:val="none"/>
                      <w:lang w:val="en-US" w:eastAsia="zh-CN"/>
                    </w:rPr>
                    <w:t>120</w:t>
                  </w:r>
                </w:p>
              </w:tc>
              <w:tc>
                <w:tcPr>
                  <w:tcW w:w="562" w:type="pct"/>
                  <w:shd w:val="clear" w:color="auto" w:fill="auto"/>
                  <w:vAlign w:val="center"/>
                </w:tcPr>
                <w:p w14:paraId="2779CC26">
                  <w:pPr>
                    <w:snapToGrid w:val="0"/>
                    <w:jc w:val="center"/>
                    <w:rPr>
                      <w:rFonts w:hint="default" w:ascii="Times New Roman" w:hAnsi="Times New Roman" w:eastAsia="宋体" w:cs="宋体"/>
                      <w:bCs/>
                      <w:color w:val="auto"/>
                      <w:spacing w:val="-10"/>
                      <w:kern w:val="2"/>
                      <w:sz w:val="21"/>
                      <w:szCs w:val="21"/>
                      <w:highlight w:val="none"/>
                      <w:lang w:val="en-US" w:eastAsia="zh-CN" w:bidi="ar-SA"/>
                    </w:rPr>
                  </w:pPr>
                  <w:r>
                    <w:rPr>
                      <w:rFonts w:hint="eastAsia" w:cs="宋体"/>
                      <w:bCs/>
                      <w:color w:val="auto"/>
                      <w:spacing w:val="-10"/>
                      <w:szCs w:val="21"/>
                      <w:highlight w:val="none"/>
                      <w:lang w:val="en-US" w:eastAsia="zh-CN"/>
                    </w:rPr>
                    <w:t>17600</w:t>
                  </w:r>
                </w:p>
              </w:tc>
              <w:tc>
                <w:tcPr>
                  <w:tcW w:w="708" w:type="pct"/>
                  <w:shd w:val="clear" w:color="auto" w:fill="auto"/>
                  <w:vAlign w:val="center"/>
                </w:tcPr>
                <w:p w14:paraId="334E4298">
                  <w:pPr>
                    <w:snapToGrid w:val="0"/>
                    <w:jc w:val="center"/>
                    <w:rPr>
                      <w:rFonts w:hint="eastAsia" w:ascii="Times New Roman" w:hAnsi="Times New Roman" w:eastAsia="宋体" w:cs="宋体"/>
                      <w:bCs/>
                      <w:color w:val="auto"/>
                      <w:spacing w:val="-10"/>
                      <w:kern w:val="2"/>
                      <w:sz w:val="21"/>
                      <w:szCs w:val="21"/>
                      <w:highlight w:val="none"/>
                      <w:lang w:val="en-US" w:eastAsia="zh-CN" w:bidi="ar-SA"/>
                    </w:rPr>
                  </w:pPr>
                  <w:r>
                    <w:rPr>
                      <w:rFonts w:hint="eastAsia" w:cs="宋体"/>
                      <w:color w:val="auto"/>
                      <w:highlight w:val="none"/>
                    </w:rPr>
                    <w:t>颗粒物</w:t>
                  </w:r>
                  <w:r>
                    <w:rPr>
                      <w:rFonts w:hint="eastAsia" w:cs="宋体"/>
                      <w:color w:val="auto"/>
                      <w:highlight w:val="none"/>
                      <w:lang w:eastAsia="zh-CN"/>
                    </w:rPr>
                    <w:t>、</w:t>
                  </w:r>
                  <w:r>
                    <w:rPr>
                      <w:rFonts w:hint="eastAsia" w:cs="宋体"/>
                      <w:color w:val="auto"/>
                      <w:highlight w:val="none"/>
                    </w:rPr>
                    <w:t>SO</w:t>
                  </w:r>
                  <w:r>
                    <w:rPr>
                      <w:rFonts w:hint="eastAsia" w:cs="宋体"/>
                      <w:color w:val="auto"/>
                      <w:highlight w:val="none"/>
                      <w:vertAlign w:val="subscript"/>
                    </w:rPr>
                    <w:t>2</w:t>
                  </w:r>
                  <w:r>
                    <w:rPr>
                      <w:rFonts w:hint="eastAsia" w:cs="宋体"/>
                      <w:color w:val="auto"/>
                      <w:highlight w:val="none"/>
                      <w:lang w:eastAsia="zh-CN"/>
                    </w:rPr>
                    <w:t>、</w:t>
                  </w:r>
                  <w:r>
                    <w:rPr>
                      <w:rFonts w:hint="eastAsia" w:cs="宋体"/>
                      <w:color w:val="auto"/>
                      <w:highlight w:val="none"/>
                    </w:rPr>
                    <w:t>NOx</w:t>
                  </w:r>
                </w:p>
              </w:tc>
              <w:tc>
                <w:tcPr>
                  <w:tcW w:w="429" w:type="pct"/>
                  <w:shd w:val="clear" w:color="auto" w:fill="auto"/>
                  <w:vAlign w:val="center"/>
                </w:tcPr>
                <w:p w14:paraId="010743C2">
                  <w:pPr>
                    <w:adjustRightInd w:val="0"/>
                    <w:snapToGrid w:val="0"/>
                    <w:jc w:val="center"/>
                    <w:rPr>
                      <w:rFonts w:hint="eastAsia" w:ascii="Times New Roman" w:hAnsi="Times New Roman" w:eastAsia="宋体" w:cs="宋体"/>
                      <w:bCs/>
                      <w:color w:val="auto"/>
                      <w:spacing w:val="-10"/>
                      <w:kern w:val="2"/>
                      <w:sz w:val="21"/>
                      <w:szCs w:val="21"/>
                      <w:highlight w:val="none"/>
                      <w:lang w:val="en-US" w:eastAsia="zh-CN" w:bidi="ar-SA"/>
                    </w:rPr>
                  </w:pPr>
                  <w:r>
                    <w:rPr>
                      <w:rFonts w:hint="eastAsia" w:cs="宋体"/>
                      <w:bCs/>
                      <w:color w:val="auto"/>
                      <w:spacing w:val="-10"/>
                      <w:szCs w:val="21"/>
                      <w:highlight w:val="none"/>
                    </w:rPr>
                    <w:t>一般排放口</w:t>
                  </w:r>
                </w:p>
              </w:tc>
            </w:tr>
            <w:tr w14:paraId="6F1BB98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830" w:type="pct"/>
                  <w:shd w:val="clear" w:color="auto" w:fill="auto"/>
                  <w:vAlign w:val="center"/>
                </w:tcPr>
                <w:p w14:paraId="3ACF9319">
                  <w:pPr>
                    <w:snapToGrid w:val="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自由锻生产线</w:t>
                  </w:r>
                  <w:r>
                    <w:rPr>
                      <w:rFonts w:hint="eastAsia" w:cs="宋体"/>
                      <w:bCs/>
                      <w:color w:val="auto"/>
                      <w:spacing w:val="-10"/>
                      <w:szCs w:val="21"/>
                      <w:highlight w:val="none"/>
                    </w:rPr>
                    <w:t>（DA00</w:t>
                  </w:r>
                  <w:r>
                    <w:rPr>
                      <w:rFonts w:hint="eastAsia" w:cs="宋体"/>
                      <w:bCs/>
                      <w:color w:val="auto"/>
                      <w:spacing w:val="-10"/>
                      <w:szCs w:val="21"/>
                      <w:highlight w:val="none"/>
                      <w:lang w:val="en-US" w:eastAsia="zh-CN"/>
                    </w:rPr>
                    <w:t>7</w:t>
                  </w:r>
                  <w:r>
                    <w:rPr>
                      <w:rFonts w:hint="eastAsia" w:cs="宋体"/>
                      <w:bCs/>
                      <w:color w:val="auto"/>
                      <w:spacing w:val="-10"/>
                      <w:szCs w:val="21"/>
                      <w:highlight w:val="none"/>
                    </w:rPr>
                    <w:t>）</w:t>
                  </w:r>
                </w:p>
              </w:tc>
              <w:tc>
                <w:tcPr>
                  <w:tcW w:w="1041" w:type="pct"/>
                  <w:shd w:val="clear" w:color="auto" w:fill="auto"/>
                  <w:vAlign w:val="center"/>
                </w:tcPr>
                <w:p w14:paraId="1BDA9ADC">
                  <w:pPr>
                    <w:adjustRightInd w:val="0"/>
                    <w:snapToGrid w:val="0"/>
                    <w:jc w:val="center"/>
                    <w:rPr>
                      <w:highlight w:val="none"/>
                    </w:rPr>
                  </w:pPr>
                  <w:r>
                    <w:rPr>
                      <w:highlight w:val="none"/>
                    </w:rPr>
                    <w:t>E</w:t>
                  </w:r>
                  <w:r>
                    <w:rPr>
                      <w:rFonts w:hint="eastAsia"/>
                      <w:highlight w:val="none"/>
                    </w:rPr>
                    <w:t>118</w:t>
                  </w:r>
                  <w:r>
                    <w:rPr>
                      <w:highlight w:val="none"/>
                    </w:rPr>
                    <w:t>°</w:t>
                  </w:r>
                  <w:r>
                    <w:rPr>
                      <w:rFonts w:hint="eastAsia"/>
                      <w:highlight w:val="none"/>
                    </w:rPr>
                    <w:t>8'41.62"</w:t>
                  </w:r>
                  <w:r>
                    <w:rPr>
                      <w:highlight w:val="none"/>
                    </w:rPr>
                    <w:t>，</w:t>
                  </w:r>
                </w:p>
                <w:p w14:paraId="6CA9188F">
                  <w:pPr>
                    <w:adjustRightInd w:val="0"/>
                    <w:snapToGrid w:val="0"/>
                    <w:jc w:val="center"/>
                    <w:rPr>
                      <w:color w:val="auto"/>
                      <w:highlight w:val="none"/>
                    </w:rPr>
                  </w:pPr>
                  <w:r>
                    <w:rPr>
                      <w:highlight w:val="none"/>
                    </w:rPr>
                    <w:t>N</w:t>
                  </w:r>
                  <w:r>
                    <w:rPr>
                      <w:rFonts w:hint="eastAsia"/>
                      <w:highlight w:val="none"/>
                    </w:rPr>
                    <w:t>39</w:t>
                  </w:r>
                  <w:r>
                    <w:rPr>
                      <w:highlight w:val="none"/>
                    </w:rPr>
                    <w:t>°</w:t>
                  </w:r>
                  <w:r>
                    <w:rPr>
                      <w:rFonts w:hint="eastAsia"/>
                      <w:highlight w:val="none"/>
                    </w:rPr>
                    <w:t>41'33.97"</w:t>
                  </w:r>
                </w:p>
              </w:tc>
              <w:tc>
                <w:tcPr>
                  <w:tcW w:w="493" w:type="pct"/>
                  <w:shd w:val="clear" w:color="auto" w:fill="auto"/>
                  <w:vAlign w:val="center"/>
                </w:tcPr>
                <w:p w14:paraId="16C63C5E">
                  <w:pPr>
                    <w:adjustRightInd w:val="0"/>
                    <w:snapToGrid w:val="0"/>
                    <w:jc w:val="center"/>
                    <w:rPr>
                      <w:rFonts w:hint="default" w:cs="宋体"/>
                      <w:bCs/>
                      <w:color w:val="auto"/>
                      <w:spacing w:val="-10"/>
                      <w:szCs w:val="21"/>
                      <w:highlight w:val="none"/>
                      <w:lang w:val="en-US" w:eastAsia="zh-CN"/>
                    </w:rPr>
                  </w:pPr>
                  <w:r>
                    <w:rPr>
                      <w:rFonts w:hint="eastAsia" w:cs="宋体"/>
                      <w:bCs/>
                      <w:color w:val="auto"/>
                      <w:spacing w:val="-10"/>
                      <w:szCs w:val="21"/>
                      <w:highlight w:val="none"/>
                      <w:lang w:val="en-US" w:eastAsia="zh-CN"/>
                    </w:rPr>
                    <w:t>27</w:t>
                  </w:r>
                </w:p>
              </w:tc>
              <w:tc>
                <w:tcPr>
                  <w:tcW w:w="434" w:type="pct"/>
                  <w:shd w:val="clear" w:color="auto" w:fill="auto"/>
                  <w:vAlign w:val="center"/>
                </w:tcPr>
                <w:p w14:paraId="23010E7F">
                  <w:pPr>
                    <w:adjustRightInd w:val="0"/>
                    <w:snapToGrid w:val="0"/>
                    <w:jc w:val="center"/>
                    <w:rPr>
                      <w:rFonts w:hint="default" w:cs="宋体"/>
                      <w:bCs/>
                      <w:color w:val="auto"/>
                      <w:spacing w:val="-10"/>
                      <w:szCs w:val="21"/>
                      <w:highlight w:val="none"/>
                      <w:lang w:val="en-US" w:eastAsia="zh-CN"/>
                    </w:rPr>
                  </w:pPr>
                  <w:r>
                    <w:rPr>
                      <w:rFonts w:hint="eastAsia" w:cs="宋体"/>
                      <w:bCs/>
                      <w:color w:val="auto"/>
                      <w:spacing w:val="-10"/>
                      <w:szCs w:val="21"/>
                      <w:highlight w:val="none"/>
                      <w:lang w:val="en-US" w:eastAsia="zh-CN"/>
                    </w:rPr>
                    <w:t>0.5</w:t>
                  </w:r>
                </w:p>
              </w:tc>
              <w:tc>
                <w:tcPr>
                  <w:tcW w:w="500" w:type="pct"/>
                  <w:shd w:val="clear" w:color="auto" w:fill="auto"/>
                  <w:vAlign w:val="center"/>
                </w:tcPr>
                <w:p w14:paraId="270FDC1D">
                  <w:pPr>
                    <w:adjustRightInd w:val="0"/>
                    <w:snapToGrid w:val="0"/>
                    <w:jc w:val="center"/>
                    <w:rPr>
                      <w:rFonts w:hint="default" w:cs="宋体"/>
                      <w:bCs/>
                      <w:color w:val="auto"/>
                      <w:spacing w:val="-10"/>
                      <w:szCs w:val="21"/>
                      <w:highlight w:val="none"/>
                      <w:lang w:val="en-US" w:eastAsia="zh-CN"/>
                    </w:rPr>
                  </w:pPr>
                  <w:r>
                    <w:rPr>
                      <w:rFonts w:hint="eastAsia" w:cs="宋体"/>
                      <w:bCs/>
                      <w:color w:val="auto"/>
                      <w:spacing w:val="-10"/>
                      <w:szCs w:val="21"/>
                      <w:highlight w:val="none"/>
                      <w:lang w:val="en-US" w:eastAsia="zh-CN"/>
                    </w:rPr>
                    <w:t>120</w:t>
                  </w:r>
                </w:p>
              </w:tc>
              <w:tc>
                <w:tcPr>
                  <w:tcW w:w="562" w:type="pct"/>
                  <w:shd w:val="clear" w:color="auto" w:fill="auto"/>
                  <w:vAlign w:val="center"/>
                </w:tcPr>
                <w:p w14:paraId="75B7528A">
                  <w:pPr>
                    <w:snapToGrid w:val="0"/>
                    <w:jc w:val="center"/>
                    <w:rPr>
                      <w:rFonts w:hint="default" w:cs="宋体"/>
                      <w:bCs/>
                      <w:color w:val="auto"/>
                      <w:spacing w:val="-10"/>
                      <w:szCs w:val="21"/>
                      <w:highlight w:val="none"/>
                      <w:lang w:val="en-US" w:eastAsia="zh-CN"/>
                    </w:rPr>
                  </w:pPr>
                  <w:r>
                    <w:rPr>
                      <w:rFonts w:hint="eastAsia" w:cs="宋体"/>
                      <w:bCs/>
                      <w:color w:val="auto"/>
                      <w:spacing w:val="-10"/>
                      <w:szCs w:val="21"/>
                      <w:highlight w:val="none"/>
                      <w:lang w:val="en-US" w:eastAsia="zh-CN"/>
                    </w:rPr>
                    <w:t>7200</w:t>
                  </w:r>
                </w:p>
              </w:tc>
              <w:tc>
                <w:tcPr>
                  <w:tcW w:w="708" w:type="pct"/>
                  <w:shd w:val="clear" w:color="auto" w:fill="auto"/>
                  <w:vAlign w:val="center"/>
                </w:tcPr>
                <w:p w14:paraId="30C5CCED">
                  <w:pPr>
                    <w:snapToGrid w:val="0"/>
                    <w:jc w:val="center"/>
                    <w:rPr>
                      <w:rFonts w:hint="eastAsia" w:ascii="Times New Roman" w:hAnsi="Times New Roman" w:eastAsia="宋体" w:cs="宋体"/>
                      <w:bCs/>
                      <w:color w:val="auto"/>
                      <w:spacing w:val="-10"/>
                      <w:kern w:val="2"/>
                      <w:sz w:val="21"/>
                      <w:szCs w:val="21"/>
                      <w:highlight w:val="none"/>
                      <w:lang w:val="en-US" w:eastAsia="zh-CN" w:bidi="ar-SA"/>
                    </w:rPr>
                  </w:pPr>
                  <w:r>
                    <w:rPr>
                      <w:rFonts w:hint="eastAsia" w:cs="宋体"/>
                      <w:color w:val="auto"/>
                      <w:highlight w:val="none"/>
                    </w:rPr>
                    <w:t>颗粒物</w:t>
                  </w:r>
                  <w:r>
                    <w:rPr>
                      <w:rFonts w:hint="eastAsia" w:cs="宋体"/>
                      <w:color w:val="auto"/>
                      <w:highlight w:val="none"/>
                      <w:lang w:eastAsia="zh-CN"/>
                    </w:rPr>
                    <w:t>、</w:t>
                  </w:r>
                  <w:r>
                    <w:rPr>
                      <w:rFonts w:hint="eastAsia" w:cs="宋体"/>
                      <w:color w:val="auto"/>
                      <w:highlight w:val="none"/>
                    </w:rPr>
                    <w:t>SO</w:t>
                  </w:r>
                  <w:r>
                    <w:rPr>
                      <w:rFonts w:hint="eastAsia" w:cs="宋体"/>
                      <w:color w:val="auto"/>
                      <w:highlight w:val="none"/>
                      <w:vertAlign w:val="subscript"/>
                    </w:rPr>
                    <w:t>2</w:t>
                  </w:r>
                  <w:r>
                    <w:rPr>
                      <w:rFonts w:hint="eastAsia" w:cs="宋体"/>
                      <w:color w:val="auto"/>
                      <w:highlight w:val="none"/>
                      <w:lang w:eastAsia="zh-CN"/>
                    </w:rPr>
                    <w:t>、</w:t>
                  </w:r>
                  <w:r>
                    <w:rPr>
                      <w:rFonts w:hint="eastAsia" w:cs="宋体"/>
                      <w:color w:val="auto"/>
                      <w:highlight w:val="none"/>
                    </w:rPr>
                    <w:t>NOx</w:t>
                  </w:r>
                </w:p>
              </w:tc>
              <w:tc>
                <w:tcPr>
                  <w:tcW w:w="429" w:type="pct"/>
                  <w:shd w:val="clear" w:color="auto" w:fill="auto"/>
                  <w:vAlign w:val="center"/>
                </w:tcPr>
                <w:p w14:paraId="3CE1BA32">
                  <w:pPr>
                    <w:adjustRightInd w:val="0"/>
                    <w:snapToGrid w:val="0"/>
                    <w:jc w:val="center"/>
                    <w:rPr>
                      <w:rFonts w:hint="eastAsia" w:ascii="Times New Roman" w:hAnsi="Times New Roman" w:eastAsia="宋体" w:cs="宋体"/>
                      <w:bCs/>
                      <w:color w:val="auto"/>
                      <w:spacing w:val="-10"/>
                      <w:kern w:val="2"/>
                      <w:sz w:val="21"/>
                      <w:szCs w:val="21"/>
                      <w:highlight w:val="none"/>
                      <w:lang w:val="en-US" w:eastAsia="zh-CN" w:bidi="ar-SA"/>
                    </w:rPr>
                  </w:pPr>
                  <w:r>
                    <w:rPr>
                      <w:rFonts w:hint="eastAsia" w:cs="宋体"/>
                      <w:bCs/>
                      <w:color w:val="auto"/>
                      <w:spacing w:val="-10"/>
                      <w:szCs w:val="21"/>
                      <w:highlight w:val="none"/>
                    </w:rPr>
                    <w:t>一般排放口</w:t>
                  </w:r>
                </w:p>
              </w:tc>
            </w:tr>
            <w:tr w14:paraId="66CFCE0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830" w:type="pct"/>
                  <w:vAlign w:val="center"/>
                </w:tcPr>
                <w:p w14:paraId="3A93C6BE">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重型车间抛丸工序排气筒（DA004）</w:t>
                  </w:r>
                </w:p>
              </w:tc>
              <w:tc>
                <w:tcPr>
                  <w:tcW w:w="1041" w:type="pct"/>
                  <w:vAlign w:val="center"/>
                </w:tcPr>
                <w:p w14:paraId="33E0A9EB">
                  <w:pPr>
                    <w:adjustRightInd w:val="0"/>
                    <w:snapToGrid w:val="0"/>
                    <w:jc w:val="center"/>
                    <w:rPr>
                      <w:color w:val="auto"/>
                      <w:highlight w:val="none"/>
                    </w:rPr>
                  </w:pPr>
                  <w:r>
                    <w:rPr>
                      <w:color w:val="auto"/>
                      <w:highlight w:val="none"/>
                    </w:rPr>
                    <w:t>E11</w:t>
                  </w:r>
                  <w:r>
                    <w:rPr>
                      <w:rFonts w:hint="eastAsia"/>
                      <w:color w:val="auto"/>
                      <w:highlight w:val="none"/>
                    </w:rPr>
                    <w:t>8</w:t>
                  </w:r>
                  <w:r>
                    <w:rPr>
                      <w:color w:val="auto"/>
                      <w:highlight w:val="none"/>
                    </w:rPr>
                    <w:t>°</w:t>
                  </w:r>
                  <w:r>
                    <w:rPr>
                      <w:rFonts w:hint="eastAsia"/>
                      <w:color w:val="auto"/>
                      <w:highlight w:val="none"/>
                    </w:rPr>
                    <w:t>8</w:t>
                  </w:r>
                  <w:r>
                    <w:rPr>
                      <w:color w:val="auto"/>
                      <w:highlight w:val="none"/>
                    </w:rPr>
                    <w:t>′</w:t>
                  </w:r>
                  <w:r>
                    <w:rPr>
                      <w:rFonts w:hint="eastAsia"/>
                      <w:color w:val="auto"/>
                      <w:highlight w:val="none"/>
                    </w:rPr>
                    <w:t>50.26</w:t>
                  </w:r>
                  <w:r>
                    <w:rPr>
                      <w:color w:val="auto"/>
                      <w:highlight w:val="none"/>
                    </w:rPr>
                    <w:t>″，</w:t>
                  </w:r>
                </w:p>
                <w:p w14:paraId="518DD9BF">
                  <w:pPr>
                    <w:adjustRightInd w:val="0"/>
                    <w:snapToGrid w:val="0"/>
                    <w:jc w:val="center"/>
                    <w:rPr>
                      <w:bCs/>
                      <w:color w:val="auto"/>
                      <w:spacing w:val="-10"/>
                      <w:szCs w:val="21"/>
                      <w:highlight w:val="none"/>
                    </w:rPr>
                  </w:pPr>
                  <w:r>
                    <w:rPr>
                      <w:color w:val="auto"/>
                      <w:highlight w:val="none"/>
                    </w:rPr>
                    <w:t>N3</w:t>
                  </w:r>
                  <w:r>
                    <w:rPr>
                      <w:rFonts w:hint="eastAsia"/>
                      <w:color w:val="auto"/>
                      <w:highlight w:val="none"/>
                    </w:rPr>
                    <w:t>9</w:t>
                  </w:r>
                  <w:r>
                    <w:rPr>
                      <w:color w:val="auto"/>
                      <w:highlight w:val="none"/>
                    </w:rPr>
                    <w:t>°</w:t>
                  </w:r>
                  <w:r>
                    <w:rPr>
                      <w:rFonts w:hint="eastAsia"/>
                      <w:color w:val="auto"/>
                      <w:highlight w:val="none"/>
                    </w:rPr>
                    <w:t>41</w:t>
                  </w:r>
                  <w:r>
                    <w:rPr>
                      <w:color w:val="auto"/>
                      <w:highlight w:val="none"/>
                    </w:rPr>
                    <w:t>′</w:t>
                  </w:r>
                  <w:r>
                    <w:rPr>
                      <w:rFonts w:hint="eastAsia"/>
                      <w:color w:val="auto"/>
                      <w:highlight w:val="none"/>
                    </w:rPr>
                    <w:t>32.23</w:t>
                  </w:r>
                  <w:r>
                    <w:rPr>
                      <w:color w:val="auto"/>
                      <w:highlight w:val="none"/>
                    </w:rPr>
                    <w:t>″</w:t>
                  </w:r>
                </w:p>
              </w:tc>
              <w:tc>
                <w:tcPr>
                  <w:tcW w:w="493" w:type="pct"/>
                  <w:vAlign w:val="center"/>
                </w:tcPr>
                <w:p w14:paraId="6EB6E4E2">
                  <w:pPr>
                    <w:adjustRightInd w:val="0"/>
                    <w:snapToGrid w:val="0"/>
                    <w:jc w:val="center"/>
                    <w:rPr>
                      <w:rFonts w:hint="default" w:eastAsia="宋体" w:cs="宋体"/>
                      <w:bCs/>
                      <w:color w:val="auto"/>
                      <w:spacing w:val="-10"/>
                      <w:szCs w:val="21"/>
                      <w:highlight w:val="none"/>
                      <w:lang w:val="en-US" w:eastAsia="zh-CN"/>
                    </w:rPr>
                  </w:pPr>
                  <w:r>
                    <w:rPr>
                      <w:rFonts w:hint="eastAsia" w:cs="宋体"/>
                      <w:bCs/>
                      <w:color w:val="auto"/>
                      <w:spacing w:val="-10"/>
                      <w:szCs w:val="21"/>
                      <w:highlight w:val="none"/>
                      <w:lang w:val="en-US" w:eastAsia="zh-CN"/>
                    </w:rPr>
                    <w:t>25</w:t>
                  </w:r>
                </w:p>
              </w:tc>
              <w:tc>
                <w:tcPr>
                  <w:tcW w:w="434" w:type="pct"/>
                  <w:vAlign w:val="center"/>
                </w:tcPr>
                <w:p w14:paraId="30913FB3">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0.8</w:t>
                  </w:r>
                </w:p>
              </w:tc>
              <w:tc>
                <w:tcPr>
                  <w:tcW w:w="500" w:type="pct"/>
                  <w:vAlign w:val="center"/>
                </w:tcPr>
                <w:p w14:paraId="60BD1E44">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常温</w:t>
                  </w:r>
                </w:p>
              </w:tc>
              <w:tc>
                <w:tcPr>
                  <w:tcW w:w="562" w:type="pct"/>
                  <w:vAlign w:val="center"/>
                </w:tcPr>
                <w:p w14:paraId="009BFE48">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24000</w:t>
                  </w:r>
                </w:p>
              </w:tc>
              <w:tc>
                <w:tcPr>
                  <w:tcW w:w="708" w:type="pct"/>
                  <w:vAlign w:val="center"/>
                </w:tcPr>
                <w:p w14:paraId="709F0D1F">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颗粒物</w:t>
                  </w:r>
                </w:p>
              </w:tc>
              <w:tc>
                <w:tcPr>
                  <w:tcW w:w="429" w:type="pct"/>
                  <w:vAlign w:val="center"/>
                </w:tcPr>
                <w:p w14:paraId="4B2D7D26">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一般排放口</w:t>
                  </w:r>
                </w:p>
              </w:tc>
            </w:tr>
          </w:tbl>
          <w:p w14:paraId="07CA1BBD">
            <w:pPr>
              <w:pStyle w:val="116"/>
              <w:ind w:firstLine="420"/>
              <w:jc w:val="both"/>
              <w:rPr>
                <w:color w:val="auto"/>
              </w:rPr>
            </w:pPr>
            <w:r>
              <w:rPr>
                <w:rFonts w:hint="eastAsia"/>
                <w:color w:val="auto"/>
              </w:rPr>
              <w:t>本项目排气筒周围半径200m范围内最高建筑物的高度为</w:t>
            </w:r>
            <w:r>
              <w:rPr>
                <w:rFonts w:hint="eastAsia"/>
                <w:color w:val="auto"/>
                <w:szCs w:val="21"/>
                <w:highlight w:val="none"/>
              </w:rPr>
              <w:t>2</w:t>
            </w:r>
            <w:r>
              <w:rPr>
                <w:rFonts w:hint="eastAsia"/>
                <w:color w:val="auto"/>
                <w:szCs w:val="21"/>
                <w:highlight w:val="none"/>
                <w:lang w:val="en-US" w:eastAsia="zh-CN"/>
              </w:rPr>
              <w:t>3.65</w:t>
            </w:r>
            <w:r>
              <w:rPr>
                <w:rFonts w:hint="eastAsia"/>
                <w:color w:val="auto"/>
              </w:rPr>
              <w:t>m（企业</w:t>
            </w:r>
            <w:r>
              <w:rPr>
                <w:rFonts w:hint="eastAsia"/>
                <w:color w:val="auto"/>
                <w:szCs w:val="21"/>
                <w:highlight w:val="none"/>
              </w:rPr>
              <w:t>自由锻与热处理车间</w:t>
            </w:r>
            <w:r>
              <w:rPr>
                <w:rFonts w:hint="eastAsia"/>
                <w:color w:val="auto"/>
              </w:rPr>
              <w:t>），本项目设置排气筒高度为</w:t>
            </w:r>
            <w:r>
              <w:rPr>
                <w:rFonts w:hint="eastAsia"/>
                <w:color w:val="auto"/>
                <w:lang w:val="en-US" w:eastAsia="zh-CN"/>
              </w:rPr>
              <w:t>27</w:t>
            </w:r>
            <w:r>
              <w:rPr>
                <w:rFonts w:hint="eastAsia"/>
                <w:color w:val="auto"/>
              </w:rPr>
              <w:t>m，符合</w:t>
            </w:r>
            <w:r>
              <w:rPr>
                <w:rFonts w:hint="eastAsia" w:ascii="Times New Roman" w:hAnsi="Times New Roman" w:cs="Times New Roman"/>
                <w:b w:val="0"/>
                <w:bCs w:val="0"/>
                <w:color w:val="auto"/>
                <w:sz w:val="21"/>
                <w:szCs w:val="21"/>
                <w:highlight w:val="none"/>
                <w:lang w:eastAsia="zh-CN"/>
              </w:rPr>
              <w:t>《</w:t>
            </w:r>
            <w:r>
              <w:rPr>
                <w:rFonts w:hint="default" w:ascii="Times New Roman" w:hAnsi="Times New Roman" w:cs="Times New Roman"/>
                <w:b w:val="0"/>
                <w:bCs w:val="0"/>
                <w:color w:val="auto"/>
                <w:sz w:val="21"/>
                <w:szCs w:val="21"/>
                <w:highlight w:val="none"/>
              </w:rPr>
              <w:t>工业炉窑大气污染物排放标准》</w:t>
            </w:r>
            <w:r>
              <w:rPr>
                <w:rFonts w:hint="eastAsia" w:cs="Times New Roman"/>
                <w:b w:val="0"/>
                <w:bCs w:val="0"/>
                <w:color w:val="auto"/>
                <w:sz w:val="21"/>
                <w:szCs w:val="21"/>
                <w:highlight w:val="none"/>
                <w:lang w:eastAsia="zh-CN"/>
              </w:rPr>
              <w:t>（DB13/1640—2012）</w:t>
            </w:r>
            <w:r>
              <w:rPr>
                <w:color w:val="auto"/>
              </w:rPr>
              <w:t>中排气筒高度的设置要求</w:t>
            </w:r>
            <w:r>
              <w:rPr>
                <w:rFonts w:hint="eastAsia"/>
                <w:color w:val="auto"/>
              </w:rPr>
              <w:t>。</w:t>
            </w:r>
          </w:p>
          <w:p w14:paraId="22D501F3">
            <w:pPr>
              <w:pStyle w:val="119"/>
              <w:rPr>
                <w:color w:val="auto"/>
                <w:highlight w:val="none"/>
              </w:rPr>
            </w:pPr>
            <w:r>
              <w:rPr>
                <w:rFonts w:hint="eastAsia"/>
                <w:color w:val="auto"/>
                <w:highlight w:val="none"/>
              </w:rPr>
              <w:t>1</w:t>
            </w:r>
            <w:r>
              <w:rPr>
                <w:color w:val="auto"/>
                <w:highlight w:val="none"/>
              </w:rPr>
              <w:t>.3</w:t>
            </w:r>
            <w:r>
              <w:rPr>
                <w:rFonts w:hint="eastAsia"/>
                <w:color w:val="auto"/>
                <w:highlight w:val="none"/>
              </w:rPr>
              <w:t>废气排放情况</w:t>
            </w:r>
          </w:p>
          <w:p w14:paraId="13F37CAA">
            <w:pPr>
              <w:pStyle w:val="116"/>
              <w:ind w:firstLine="420"/>
              <w:rPr>
                <w:color w:val="auto"/>
                <w:highlight w:val="none"/>
              </w:rPr>
            </w:pPr>
            <w:r>
              <w:rPr>
                <w:rFonts w:hint="eastAsia"/>
                <w:color w:val="auto"/>
                <w:highlight w:val="none"/>
              </w:rPr>
              <w:t>本项目废气有组织排放情况见</w:t>
            </w:r>
            <w:r>
              <w:rPr>
                <w:color w:val="auto"/>
                <w:highlight w:val="none"/>
              </w:rPr>
              <w:fldChar w:fldCharType="begin"/>
            </w:r>
            <w:r>
              <w:rPr>
                <w:color w:val="auto"/>
                <w:highlight w:val="none"/>
              </w:rPr>
              <w:instrText xml:space="preserve"> REF _Ref131411512 \h  \* MERGEFORMAT </w:instrText>
            </w:r>
            <w:r>
              <w:rPr>
                <w:color w:val="auto"/>
                <w:highlight w:val="none"/>
              </w:rPr>
              <w:fldChar w:fldCharType="separate"/>
            </w:r>
            <w:r>
              <w:rPr>
                <w:rFonts w:hint="eastAsia"/>
                <w:color w:val="auto"/>
                <w:highlight w:val="none"/>
              </w:rPr>
              <w:t>表4-</w:t>
            </w:r>
            <w:r>
              <w:rPr>
                <w:color w:val="auto"/>
                <w:highlight w:val="none"/>
              </w:rPr>
              <w:t>4</w:t>
            </w:r>
            <w:r>
              <w:rPr>
                <w:color w:val="auto"/>
                <w:highlight w:val="none"/>
              </w:rPr>
              <w:fldChar w:fldCharType="end"/>
            </w:r>
            <w:r>
              <w:rPr>
                <w:rFonts w:hint="eastAsia"/>
                <w:color w:val="auto"/>
                <w:highlight w:val="none"/>
              </w:rPr>
              <w:t>。</w:t>
            </w:r>
          </w:p>
          <w:p w14:paraId="2D158964">
            <w:pPr>
              <w:pStyle w:val="10"/>
              <w:rPr>
                <w:bCs/>
                <w:color w:val="auto"/>
                <w:highlight w:val="none"/>
              </w:rPr>
            </w:pPr>
            <w:bookmarkStart w:id="23" w:name="_Ref131411512"/>
            <w:r>
              <w:rPr>
                <w:rFonts w:hint="eastAsia"/>
                <w:color w:val="auto"/>
                <w:highlight w:val="none"/>
              </w:rPr>
              <w:t>表4</w:t>
            </w:r>
            <w:r>
              <w:rPr>
                <w:rFonts w:hint="eastAsia"/>
                <w:color w:val="auto"/>
                <w:highlight w:val="none"/>
                <w:lang w:eastAsia="zh-CN"/>
              </w:rPr>
              <w:t>-</w:t>
            </w:r>
            <w:r>
              <w:rPr>
                <w:color w:val="auto"/>
                <w:highlight w:val="none"/>
              </w:rPr>
              <w:fldChar w:fldCharType="begin"/>
            </w:r>
            <w:r>
              <w:rPr>
                <w:color w:val="auto"/>
                <w:highlight w:val="none"/>
              </w:rPr>
              <w:instrText xml:space="preserve"> </w:instrText>
            </w:r>
            <w:r>
              <w:rPr>
                <w:rFonts w:hint="eastAsia"/>
                <w:color w:val="auto"/>
                <w:highlight w:val="none"/>
              </w:rPr>
              <w:instrText xml:space="preserve">SEQ 表4- \* ARABIC</w:instrText>
            </w:r>
            <w:r>
              <w:rPr>
                <w:color w:val="auto"/>
                <w:highlight w:val="none"/>
              </w:rPr>
              <w:instrText xml:space="preserve"> </w:instrText>
            </w:r>
            <w:r>
              <w:rPr>
                <w:color w:val="auto"/>
                <w:highlight w:val="none"/>
              </w:rPr>
              <w:fldChar w:fldCharType="separate"/>
            </w:r>
            <w:r>
              <w:rPr>
                <w:color w:val="auto"/>
                <w:highlight w:val="none"/>
              </w:rPr>
              <w:t>4</w:t>
            </w:r>
            <w:r>
              <w:rPr>
                <w:color w:val="auto"/>
                <w:highlight w:val="none"/>
              </w:rPr>
              <w:fldChar w:fldCharType="end"/>
            </w:r>
            <w:bookmarkEnd w:id="23"/>
            <w:r>
              <w:rPr>
                <w:rFonts w:hint="eastAsia"/>
                <w:bCs/>
                <w:color w:val="auto"/>
                <w:highlight w:val="none"/>
              </w:rPr>
              <w:t>本项目废气有组织排放情况一览表</w:t>
            </w:r>
          </w:p>
          <w:tbl>
            <w:tblPr>
              <w:tblStyle w:val="33"/>
              <w:tblW w:w="4996"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8"/>
              <w:gridCol w:w="1015"/>
              <w:gridCol w:w="851"/>
              <w:gridCol w:w="844"/>
              <w:gridCol w:w="1008"/>
              <w:gridCol w:w="1077"/>
              <w:gridCol w:w="1090"/>
              <w:gridCol w:w="644"/>
              <w:gridCol w:w="835"/>
            </w:tblGrid>
            <w:tr w14:paraId="0C6DC8E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0" w:type="pct"/>
                  <w:vAlign w:val="center"/>
                </w:tcPr>
                <w:p w14:paraId="32D6DBBF">
                  <w:pPr>
                    <w:widowControl/>
                    <w:adjustRightInd w:val="0"/>
                    <w:snapToGrid w:val="0"/>
                    <w:jc w:val="center"/>
                    <w:textAlignment w:val="center"/>
                    <w:rPr>
                      <w:rFonts w:hAnsi="宋体"/>
                      <w:bCs/>
                      <w:color w:val="auto"/>
                      <w:szCs w:val="21"/>
                      <w:highlight w:val="none"/>
                    </w:rPr>
                  </w:pPr>
                  <w:r>
                    <w:rPr>
                      <w:rFonts w:hint="eastAsia" w:hAnsi="宋体"/>
                      <w:bCs/>
                      <w:color w:val="auto"/>
                      <w:szCs w:val="21"/>
                      <w:highlight w:val="none"/>
                    </w:rPr>
                    <w:t>污染源</w:t>
                  </w:r>
                </w:p>
              </w:tc>
              <w:tc>
                <w:tcPr>
                  <w:tcW w:w="632" w:type="pct"/>
                  <w:vAlign w:val="center"/>
                </w:tcPr>
                <w:p w14:paraId="4D50BC4D">
                  <w:pPr>
                    <w:widowControl/>
                    <w:adjustRightInd w:val="0"/>
                    <w:snapToGrid w:val="0"/>
                    <w:jc w:val="center"/>
                    <w:textAlignment w:val="center"/>
                    <w:rPr>
                      <w:rFonts w:hAnsi="宋体"/>
                      <w:bCs/>
                      <w:color w:val="auto"/>
                      <w:szCs w:val="21"/>
                      <w:highlight w:val="none"/>
                    </w:rPr>
                  </w:pPr>
                  <w:r>
                    <w:rPr>
                      <w:rFonts w:hAnsi="宋体"/>
                      <w:bCs/>
                      <w:color w:val="auto"/>
                      <w:szCs w:val="21"/>
                      <w:highlight w:val="none"/>
                    </w:rPr>
                    <w:t>排污工序</w:t>
                  </w:r>
                </w:p>
              </w:tc>
              <w:tc>
                <w:tcPr>
                  <w:tcW w:w="530" w:type="pct"/>
                  <w:vAlign w:val="center"/>
                </w:tcPr>
                <w:p w14:paraId="77EC7B5A">
                  <w:pPr>
                    <w:widowControl/>
                    <w:adjustRightInd w:val="0"/>
                    <w:snapToGrid w:val="0"/>
                    <w:jc w:val="center"/>
                    <w:textAlignment w:val="center"/>
                    <w:rPr>
                      <w:rFonts w:hAnsi="宋体"/>
                      <w:bCs/>
                      <w:color w:val="auto"/>
                      <w:szCs w:val="21"/>
                      <w:highlight w:val="none"/>
                    </w:rPr>
                  </w:pPr>
                  <w:r>
                    <w:rPr>
                      <w:rFonts w:hAnsi="宋体"/>
                      <w:bCs/>
                      <w:color w:val="auto"/>
                      <w:szCs w:val="21"/>
                      <w:highlight w:val="none"/>
                    </w:rPr>
                    <w:t>污染物</w:t>
                  </w:r>
                </w:p>
              </w:tc>
              <w:tc>
                <w:tcPr>
                  <w:tcW w:w="526" w:type="pct"/>
                  <w:vAlign w:val="center"/>
                </w:tcPr>
                <w:p w14:paraId="0228EC38">
                  <w:pPr>
                    <w:widowControl/>
                    <w:adjustRightInd w:val="0"/>
                    <w:snapToGrid w:val="0"/>
                    <w:jc w:val="center"/>
                    <w:textAlignment w:val="center"/>
                    <w:rPr>
                      <w:rFonts w:hAnsi="宋体"/>
                      <w:bCs/>
                      <w:color w:val="auto"/>
                      <w:szCs w:val="21"/>
                      <w:highlight w:val="none"/>
                    </w:rPr>
                  </w:pPr>
                  <w:r>
                    <w:rPr>
                      <w:rFonts w:hAnsi="宋体"/>
                      <w:bCs/>
                      <w:color w:val="auto"/>
                      <w:szCs w:val="21"/>
                      <w:highlight w:val="none"/>
                    </w:rPr>
                    <w:t>排放量</w:t>
                  </w:r>
                  <w:r>
                    <w:rPr>
                      <w:rFonts w:hint="eastAsia" w:hAnsi="宋体"/>
                      <w:bCs/>
                      <w:color w:val="auto"/>
                      <w:szCs w:val="21"/>
                      <w:highlight w:val="none"/>
                    </w:rPr>
                    <w:t>/</w:t>
                  </w:r>
                  <w:r>
                    <w:rPr>
                      <w:rFonts w:hAnsi="宋体"/>
                      <w:bCs/>
                      <w:color w:val="auto"/>
                      <w:szCs w:val="21"/>
                      <w:highlight w:val="none"/>
                    </w:rPr>
                    <w:t>（t/a）</w:t>
                  </w:r>
                </w:p>
              </w:tc>
              <w:tc>
                <w:tcPr>
                  <w:tcW w:w="628" w:type="pct"/>
                  <w:vAlign w:val="center"/>
                </w:tcPr>
                <w:p w14:paraId="1E4E0368">
                  <w:pPr>
                    <w:widowControl/>
                    <w:adjustRightInd w:val="0"/>
                    <w:snapToGrid w:val="0"/>
                    <w:jc w:val="center"/>
                    <w:textAlignment w:val="center"/>
                    <w:rPr>
                      <w:rFonts w:hAnsi="宋体"/>
                      <w:bCs/>
                      <w:color w:val="auto"/>
                      <w:szCs w:val="21"/>
                      <w:highlight w:val="none"/>
                    </w:rPr>
                  </w:pPr>
                  <w:r>
                    <w:rPr>
                      <w:rFonts w:hAnsi="宋体"/>
                      <w:bCs/>
                      <w:color w:val="auto"/>
                      <w:szCs w:val="21"/>
                      <w:highlight w:val="none"/>
                    </w:rPr>
                    <w:t>排放速率</w:t>
                  </w:r>
                  <w:r>
                    <w:rPr>
                      <w:rFonts w:hint="eastAsia" w:hAnsi="宋体"/>
                      <w:bCs/>
                      <w:color w:val="auto"/>
                      <w:szCs w:val="21"/>
                      <w:highlight w:val="none"/>
                    </w:rPr>
                    <w:t>/（</w:t>
                  </w:r>
                  <w:r>
                    <w:rPr>
                      <w:rFonts w:hAnsi="宋体"/>
                      <w:bCs/>
                      <w:color w:val="auto"/>
                      <w:szCs w:val="21"/>
                      <w:highlight w:val="none"/>
                    </w:rPr>
                    <w:t>kg/h</w:t>
                  </w:r>
                  <w:r>
                    <w:rPr>
                      <w:rFonts w:hint="eastAsia" w:hAnsi="宋体"/>
                      <w:bCs/>
                      <w:color w:val="auto"/>
                      <w:szCs w:val="21"/>
                      <w:highlight w:val="none"/>
                    </w:rPr>
                    <w:t>）</w:t>
                  </w:r>
                </w:p>
              </w:tc>
              <w:tc>
                <w:tcPr>
                  <w:tcW w:w="671" w:type="pct"/>
                  <w:vAlign w:val="center"/>
                </w:tcPr>
                <w:p w14:paraId="7C960F45">
                  <w:pPr>
                    <w:widowControl/>
                    <w:adjustRightInd w:val="0"/>
                    <w:snapToGrid w:val="0"/>
                    <w:jc w:val="center"/>
                    <w:textAlignment w:val="center"/>
                    <w:rPr>
                      <w:rFonts w:hAnsi="宋体"/>
                      <w:bCs/>
                      <w:color w:val="auto"/>
                      <w:highlight w:val="none"/>
                    </w:rPr>
                  </w:pPr>
                  <w:r>
                    <w:rPr>
                      <w:rFonts w:hAnsi="宋体"/>
                      <w:bCs/>
                      <w:color w:val="auto"/>
                      <w:szCs w:val="21"/>
                      <w:highlight w:val="none"/>
                    </w:rPr>
                    <w:t>排放浓度</w:t>
                  </w:r>
                  <w:r>
                    <w:rPr>
                      <w:rFonts w:hint="eastAsia" w:hAnsi="宋体"/>
                      <w:bCs/>
                      <w:color w:val="auto"/>
                      <w:szCs w:val="21"/>
                      <w:highlight w:val="none"/>
                    </w:rPr>
                    <w:t>/</w:t>
                  </w:r>
                  <w:r>
                    <w:rPr>
                      <w:rFonts w:hint="eastAsia" w:hAnsi="宋体"/>
                      <w:bCs/>
                      <w:color w:val="auto"/>
                      <w:highlight w:val="none"/>
                    </w:rPr>
                    <w:t>（</w:t>
                  </w:r>
                  <w:r>
                    <w:rPr>
                      <w:rFonts w:hAnsi="宋体"/>
                      <w:bCs/>
                      <w:color w:val="auto"/>
                      <w:highlight w:val="none"/>
                    </w:rPr>
                    <w:t>mg/m</w:t>
                  </w:r>
                  <w:r>
                    <w:rPr>
                      <w:rFonts w:hAnsi="宋体"/>
                      <w:bCs/>
                      <w:color w:val="auto"/>
                      <w:highlight w:val="none"/>
                      <w:vertAlign w:val="superscript"/>
                    </w:rPr>
                    <w:t>3</w:t>
                  </w:r>
                  <w:r>
                    <w:rPr>
                      <w:rFonts w:hint="eastAsia" w:hAnsi="宋体"/>
                      <w:bCs/>
                      <w:color w:val="auto"/>
                      <w:highlight w:val="none"/>
                    </w:rPr>
                    <w:t>）</w:t>
                  </w:r>
                </w:p>
              </w:tc>
              <w:tc>
                <w:tcPr>
                  <w:tcW w:w="679" w:type="pct"/>
                  <w:vAlign w:val="center"/>
                </w:tcPr>
                <w:p w14:paraId="27C7E2F7">
                  <w:pPr>
                    <w:widowControl/>
                    <w:adjustRightInd w:val="0"/>
                    <w:snapToGrid w:val="0"/>
                    <w:jc w:val="center"/>
                    <w:textAlignment w:val="center"/>
                    <w:rPr>
                      <w:rFonts w:hAnsi="宋体"/>
                      <w:bCs/>
                      <w:color w:val="auto"/>
                      <w:szCs w:val="21"/>
                      <w:highlight w:val="none"/>
                    </w:rPr>
                  </w:pPr>
                  <w:r>
                    <w:rPr>
                      <w:rFonts w:hAnsi="宋体"/>
                      <w:bCs/>
                      <w:color w:val="auto"/>
                      <w:szCs w:val="21"/>
                      <w:highlight w:val="none"/>
                    </w:rPr>
                    <w:t>排放浓度标准要求</w:t>
                  </w:r>
                  <w:r>
                    <w:rPr>
                      <w:rFonts w:hint="eastAsia" w:hAnsi="宋体"/>
                      <w:bCs/>
                      <w:color w:val="auto"/>
                      <w:szCs w:val="21"/>
                      <w:highlight w:val="none"/>
                    </w:rPr>
                    <w:t>/（</w:t>
                  </w:r>
                  <w:r>
                    <w:rPr>
                      <w:rFonts w:hAnsi="宋体"/>
                      <w:bCs/>
                      <w:color w:val="auto"/>
                      <w:szCs w:val="21"/>
                      <w:highlight w:val="none"/>
                    </w:rPr>
                    <w:t>mg/m</w:t>
                  </w:r>
                  <w:r>
                    <w:rPr>
                      <w:rFonts w:hAnsi="宋体"/>
                      <w:bCs/>
                      <w:color w:val="auto"/>
                      <w:szCs w:val="21"/>
                      <w:highlight w:val="none"/>
                      <w:vertAlign w:val="superscript"/>
                    </w:rPr>
                    <w:t>3</w:t>
                  </w:r>
                  <w:r>
                    <w:rPr>
                      <w:rFonts w:hint="eastAsia" w:hAnsi="宋体"/>
                      <w:bCs/>
                      <w:color w:val="auto"/>
                      <w:szCs w:val="21"/>
                      <w:highlight w:val="none"/>
                    </w:rPr>
                    <w:t>）</w:t>
                  </w:r>
                </w:p>
              </w:tc>
              <w:tc>
                <w:tcPr>
                  <w:tcW w:w="401" w:type="pct"/>
                  <w:vAlign w:val="center"/>
                </w:tcPr>
                <w:p w14:paraId="5E37E43F">
                  <w:pPr>
                    <w:widowControl/>
                    <w:adjustRightInd w:val="0"/>
                    <w:snapToGrid w:val="0"/>
                    <w:jc w:val="center"/>
                    <w:textAlignment w:val="center"/>
                    <w:rPr>
                      <w:rFonts w:hAnsi="宋体"/>
                      <w:bCs/>
                      <w:color w:val="auto"/>
                      <w:szCs w:val="21"/>
                      <w:highlight w:val="none"/>
                    </w:rPr>
                  </w:pPr>
                  <w:r>
                    <w:rPr>
                      <w:rFonts w:hAnsi="宋体"/>
                      <w:bCs/>
                      <w:color w:val="auto"/>
                      <w:szCs w:val="21"/>
                      <w:highlight w:val="none"/>
                    </w:rPr>
                    <w:t>是否达标</w:t>
                  </w:r>
                </w:p>
              </w:tc>
              <w:tc>
                <w:tcPr>
                  <w:tcW w:w="520" w:type="pct"/>
                  <w:vAlign w:val="center"/>
                </w:tcPr>
                <w:p w14:paraId="20BF5D0A">
                  <w:pPr>
                    <w:widowControl/>
                    <w:adjustRightInd w:val="0"/>
                    <w:snapToGrid w:val="0"/>
                    <w:jc w:val="center"/>
                    <w:textAlignment w:val="center"/>
                    <w:rPr>
                      <w:rFonts w:hAnsi="宋体"/>
                      <w:bCs/>
                      <w:color w:val="auto"/>
                      <w:szCs w:val="21"/>
                      <w:highlight w:val="none"/>
                    </w:rPr>
                  </w:pPr>
                  <w:r>
                    <w:rPr>
                      <w:rFonts w:hAnsi="宋体"/>
                      <w:bCs/>
                      <w:color w:val="auto"/>
                      <w:szCs w:val="21"/>
                      <w:highlight w:val="none"/>
                    </w:rPr>
                    <w:t>排气筒编号</w:t>
                  </w:r>
                </w:p>
              </w:tc>
            </w:tr>
            <w:tr w14:paraId="5D79DC2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10" w:type="pct"/>
                  <w:vMerge w:val="restart"/>
                  <w:vAlign w:val="center"/>
                </w:tcPr>
                <w:p w14:paraId="107BEFBB">
                  <w:pPr>
                    <w:adjustRightInd w:val="0"/>
                    <w:snapToGrid w:val="0"/>
                    <w:jc w:val="center"/>
                    <w:rPr>
                      <w:rFonts w:hint="eastAsia" w:hAnsi="宋体"/>
                      <w:bCs/>
                      <w:color w:val="auto"/>
                      <w:szCs w:val="21"/>
                      <w:highlight w:val="none"/>
                    </w:rPr>
                  </w:pPr>
                  <w:r>
                    <w:rPr>
                      <w:rFonts w:hint="eastAsia"/>
                      <w:color w:val="auto"/>
                      <w:szCs w:val="21"/>
                      <w:highlight w:val="none"/>
                    </w:rPr>
                    <w:t>自由锻与热处理车间</w:t>
                  </w:r>
                </w:p>
              </w:tc>
              <w:tc>
                <w:tcPr>
                  <w:tcW w:w="632" w:type="pct"/>
                  <w:vMerge w:val="restart"/>
                  <w:shd w:val="clear" w:color="auto" w:fill="auto"/>
                  <w:vAlign w:val="center"/>
                </w:tcPr>
                <w:p w14:paraId="1D129D96">
                  <w:pPr>
                    <w:wordWrap w:val="0"/>
                    <w:jc w:val="center"/>
                    <w:rPr>
                      <w:rFonts w:hint="eastAsia" w:ascii="Times New Roman" w:hAnsi="Times New Roman" w:eastAsia="宋体" w:cs="Times New Roman"/>
                      <w:color w:val="auto"/>
                      <w:sz w:val="21"/>
                      <w:szCs w:val="21"/>
                      <w:highlight w:val="none"/>
                      <w:lang w:eastAsia="zh-CN"/>
                    </w:rPr>
                  </w:pPr>
                  <w:r>
                    <w:rPr>
                      <w:rFonts w:hint="eastAsia"/>
                      <w:color w:val="auto"/>
                      <w:szCs w:val="21"/>
                      <w:highlight w:val="none"/>
                      <w:lang w:val="en-US" w:eastAsia="zh-CN"/>
                    </w:rPr>
                    <w:t>燃气</w:t>
                  </w:r>
                  <w:r>
                    <w:rPr>
                      <w:rFonts w:hint="eastAsia" w:ascii="Times New Roman" w:hAnsi="Times New Roman" w:eastAsia="宋体" w:cs="Times New Roman"/>
                      <w:color w:val="auto"/>
                      <w:sz w:val="21"/>
                      <w:szCs w:val="21"/>
                      <w:highlight w:val="none"/>
                      <w:lang w:eastAsia="zh-CN"/>
                    </w:rPr>
                    <w:t>回火炉1#</w:t>
                  </w:r>
                </w:p>
                <w:p w14:paraId="2B87FDC1">
                  <w:pPr>
                    <w:wordWrap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eastAsia="zh-CN"/>
                    </w:rPr>
                    <w:t>，</w:t>
                  </w:r>
                  <w:r>
                    <w:rPr>
                      <w:rFonts w:hint="eastAsia"/>
                      <w:color w:val="auto"/>
                      <w:szCs w:val="21"/>
                      <w:highlight w:val="none"/>
                      <w:lang w:val="en-US" w:eastAsia="zh-CN"/>
                    </w:rPr>
                    <w:t>燃气</w:t>
                  </w:r>
                  <w:r>
                    <w:rPr>
                      <w:rFonts w:hint="eastAsia" w:ascii="Times New Roman" w:hAnsi="Times New Roman" w:eastAsia="宋体" w:cs="Times New Roman"/>
                      <w:color w:val="auto"/>
                      <w:sz w:val="21"/>
                      <w:szCs w:val="21"/>
                      <w:highlight w:val="none"/>
                      <w:lang w:eastAsia="zh-CN"/>
                    </w:rPr>
                    <w:t>环形炉</w:t>
                  </w:r>
                  <w:r>
                    <w:rPr>
                      <w:rFonts w:hint="eastAsia" w:cs="Times New Roman"/>
                      <w:color w:val="auto"/>
                      <w:sz w:val="21"/>
                      <w:szCs w:val="21"/>
                      <w:highlight w:val="none"/>
                      <w:lang w:eastAsia="zh-CN"/>
                    </w:rPr>
                    <w:t>、</w:t>
                  </w:r>
                  <w:r>
                    <w:rPr>
                      <w:rFonts w:hint="eastAsia"/>
                      <w:color w:val="auto"/>
                      <w:szCs w:val="21"/>
                      <w:highlight w:val="none"/>
                      <w:lang w:val="en-US" w:eastAsia="zh-CN"/>
                    </w:rPr>
                    <w:t>燃气</w:t>
                  </w:r>
                  <w:r>
                    <w:rPr>
                      <w:rFonts w:hint="eastAsia" w:ascii="Times New Roman" w:hAnsi="Times New Roman" w:eastAsia="宋体" w:cs="Times New Roman"/>
                      <w:color w:val="auto"/>
                      <w:sz w:val="21"/>
                      <w:szCs w:val="21"/>
                      <w:highlight w:val="none"/>
                      <w:lang w:eastAsia="zh-CN"/>
                    </w:rPr>
                    <w:t>回火炉2#</w:t>
                  </w:r>
                </w:p>
              </w:tc>
              <w:tc>
                <w:tcPr>
                  <w:tcW w:w="530" w:type="pct"/>
                  <w:shd w:val="clear" w:color="auto" w:fill="auto"/>
                  <w:vAlign w:val="center"/>
                </w:tcPr>
                <w:p w14:paraId="19A113F4">
                  <w:pPr>
                    <w:keepNext w:val="0"/>
                    <w:keepLines w:val="0"/>
                    <w:widowControl/>
                    <w:suppressLineNumbers w:val="0"/>
                    <w:jc w:val="center"/>
                    <w:textAlignment w:val="center"/>
                    <w:rPr>
                      <w:rFonts w:hint="eastAsia" w:ascii="Times New Roman" w:hAnsi="Times New Roman" w:eastAsia="宋体" w:cs="宋体"/>
                      <w:bCs/>
                      <w:color w:val="auto"/>
                      <w:spacing w:val="-10"/>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526" w:type="pct"/>
                  <w:shd w:val="clear" w:color="auto" w:fill="auto"/>
                  <w:vAlign w:val="center"/>
                </w:tcPr>
                <w:p w14:paraId="33AA1CAE">
                  <w:pPr>
                    <w:widowControl/>
                    <w:adjustRightInd w:val="0"/>
                    <w:snapToGrid w:val="0"/>
                    <w:jc w:val="center"/>
                    <w:textAlignment w:val="center"/>
                    <w:rPr>
                      <w:rFonts w:hint="eastAsia" w:ascii="Times New Roman" w:hAnsi="宋体" w:eastAsia="宋体" w:cs="Times New Roman"/>
                      <w:bCs/>
                      <w:color w:val="auto"/>
                      <w:szCs w:val="21"/>
                      <w:highlight w:val="none"/>
                      <w:lang w:val="en-US" w:eastAsia="zh-CN"/>
                    </w:rPr>
                  </w:pPr>
                  <w:r>
                    <w:rPr>
                      <w:rFonts w:hint="eastAsia" w:ascii="Times New Roman" w:hAnsi="宋体" w:eastAsia="宋体" w:cs="Times New Roman"/>
                      <w:bCs/>
                      <w:color w:val="auto"/>
                      <w:szCs w:val="21"/>
                      <w:highlight w:val="none"/>
                      <w:lang w:val="en-US" w:eastAsia="zh-CN"/>
                    </w:rPr>
                    <w:t>0.287</w:t>
                  </w:r>
                </w:p>
              </w:tc>
              <w:tc>
                <w:tcPr>
                  <w:tcW w:w="628" w:type="pct"/>
                  <w:shd w:val="clear" w:color="auto" w:fill="auto"/>
                  <w:vAlign w:val="center"/>
                </w:tcPr>
                <w:p w14:paraId="6F65E57E">
                  <w:pPr>
                    <w:widowControl/>
                    <w:adjustRightInd w:val="0"/>
                    <w:snapToGrid w:val="0"/>
                    <w:jc w:val="center"/>
                    <w:textAlignment w:val="center"/>
                    <w:rPr>
                      <w:rFonts w:hint="eastAsia" w:ascii="Times New Roman" w:hAnsi="宋体" w:eastAsia="宋体" w:cs="Times New Roman"/>
                      <w:bCs/>
                      <w:color w:val="auto"/>
                      <w:szCs w:val="21"/>
                      <w:highlight w:val="none"/>
                      <w:lang w:val="en-US" w:eastAsia="zh-CN"/>
                    </w:rPr>
                  </w:pPr>
                  <w:r>
                    <w:rPr>
                      <w:rFonts w:hint="eastAsia" w:ascii="Times New Roman" w:hAnsi="宋体" w:eastAsia="宋体" w:cs="Times New Roman"/>
                      <w:bCs/>
                      <w:color w:val="auto"/>
                      <w:szCs w:val="21"/>
                      <w:highlight w:val="none"/>
                      <w:lang w:val="en-US" w:eastAsia="zh-CN"/>
                    </w:rPr>
                    <w:t>0.054</w:t>
                  </w:r>
                </w:p>
              </w:tc>
              <w:tc>
                <w:tcPr>
                  <w:tcW w:w="671" w:type="pct"/>
                  <w:shd w:val="clear" w:color="auto" w:fill="auto"/>
                  <w:vAlign w:val="center"/>
                </w:tcPr>
                <w:p w14:paraId="491C5CF5">
                  <w:pPr>
                    <w:widowControl/>
                    <w:adjustRightInd w:val="0"/>
                    <w:snapToGrid w:val="0"/>
                    <w:jc w:val="center"/>
                    <w:textAlignment w:val="center"/>
                    <w:rPr>
                      <w:rFonts w:hint="eastAsia" w:ascii="Times New Roman" w:hAnsi="宋体" w:eastAsia="宋体" w:cs="Times New Roman"/>
                      <w:bCs/>
                      <w:color w:val="auto"/>
                      <w:szCs w:val="21"/>
                      <w:highlight w:val="none"/>
                      <w:lang w:val="en-US" w:eastAsia="zh-CN"/>
                    </w:rPr>
                  </w:pPr>
                  <w:r>
                    <w:rPr>
                      <w:rFonts w:hint="eastAsia" w:ascii="Times New Roman" w:hAnsi="宋体" w:eastAsia="宋体" w:cs="Times New Roman"/>
                      <w:bCs/>
                      <w:color w:val="auto"/>
                      <w:szCs w:val="21"/>
                      <w:highlight w:val="none"/>
                      <w:lang w:val="en-US" w:eastAsia="zh-CN"/>
                    </w:rPr>
                    <w:t>0.5</w:t>
                  </w:r>
                </w:p>
              </w:tc>
              <w:tc>
                <w:tcPr>
                  <w:tcW w:w="679" w:type="pct"/>
                  <w:vAlign w:val="center"/>
                </w:tcPr>
                <w:p w14:paraId="30DCAA65">
                  <w:pPr>
                    <w:widowControl/>
                    <w:adjustRightInd w:val="0"/>
                    <w:snapToGrid w:val="0"/>
                    <w:jc w:val="center"/>
                    <w:textAlignment w:val="center"/>
                    <w:rPr>
                      <w:rFonts w:hint="default" w:hAnsi="宋体" w:eastAsia="宋体"/>
                      <w:bCs/>
                      <w:color w:val="auto"/>
                      <w:szCs w:val="21"/>
                      <w:highlight w:val="none"/>
                      <w:lang w:val="en-US" w:eastAsia="zh-CN"/>
                    </w:rPr>
                  </w:pPr>
                  <w:r>
                    <w:rPr>
                      <w:rFonts w:hint="eastAsia" w:hAnsi="宋体"/>
                      <w:bCs/>
                      <w:color w:val="auto"/>
                      <w:szCs w:val="21"/>
                      <w:highlight w:val="none"/>
                      <w:lang w:val="en-US" w:eastAsia="zh-CN"/>
                    </w:rPr>
                    <w:t>30</w:t>
                  </w:r>
                </w:p>
              </w:tc>
              <w:tc>
                <w:tcPr>
                  <w:tcW w:w="401" w:type="pct"/>
                  <w:vAlign w:val="center"/>
                </w:tcPr>
                <w:p w14:paraId="3197CFE6">
                  <w:pPr>
                    <w:widowControl/>
                    <w:adjustRightInd w:val="0"/>
                    <w:snapToGrid w:val="0"/>
                    <w:jc w:val="center"/>
                    <w:textAlignment w:val="center"/>
                    <w:rPr>
                      <w:rFonts w:hAnsi="宋体"/>
                      <w:bCs/>
                      <w:color w:val="auto"/>
                      <w:szCs w:val="21"/>
                      <w:highlight w:val="none"/>
                    </w:rPr>
                  </w:pPr>
                  <w:r>
                    <w:rPr>
                      <w:rFonts w:hAnsi="宋体"/>
                      <w:bCs/>
                      <w:color w:val="auto"/>
                      <w:szCs w:val="21"/>
                      <w:highlight w:val="none"/>
                    </w:rPr>
                    <w:t>达标</w:t>
                  </w:r>
                </w:p>
              </w:tc>
              <w:tc>
                <w:tcPr>
                  <w:tcW w:w="520" w:type="pct"/>
                  <w:vMerge w:val="restart"/>
                  <w:shd w:val="clear" w:color="auto" w:fill="auto"/>
                  <w:vAlign w:val="center"/>
                </w:tcPr>
                <w:p w14:paraId="2BBE7C26">
                  <w:pPr>
                    <w:adjustRightInd w:val="0"/>
                    <w:snapToGrid w:val="0"/>
                    <w:jc w:val="center"/>
                    <w:rPr>
                      <w:rFonts w:hint="eastAsia" w:ascii="Times New Roman" w:hAnsi="Times New Roman" w:eastAsia="宋体" w:cs="宋体"/>
                      <w:bCs/>
                      <w:color w:val="auto"/>
                      <w:spacing w:val="-10"/>
                      <w:kern w:val="2"/>
                      <w:sz w:val="21"/>
                      <w:szCs w:val="21"/>
                      <w:highlight w:val="none"/>
                      <w:lang w:val="en-US" w:eastAsia="zh-CN" w:bidi="ar-SA"/>
                    </w:rPr>
                  </w:pPr>
                  <w:r>
                    <w:rPr>
                      <w:rFonts w:cs="宋体"/>
                      <w:bCs/>
                      <w:color w:val="auto"/>
                      <w:spacing w:val="-10"/>
                      <w:szCs w:val="21"/>
                      <w:highlight w:val="none"/>
                    </w:rPr>
                    <w:t>DA00</w:t>
                  </w:r>
                  <w:r>
                    <w:rPr>
                      <w:rFonts w:hint="eastAsia" w:cs="宋体"/>
                      <w:bCs/>
                      <w:color w:val="auto"/>
                      <w:spacing w:val="-10"/>
                      <w:szCs w:val="21"/>
                      <w:highlight w:val="none"/>
                      <w:lang w:val="en-US" w:eastAsia="zh-CN"/>
                    </w:rPr>
                    <w:t>5</w:t>
                  </w:r>
                </w:p>
              </w:tc>
            </w:tr>
            <w:tr w14:paraId="6007F00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410" w:type="pct"/>
                  <w:vMerge w:val="continue"/>
                  <w:vAlign w:val="center"/>
                </w:tcPr>
                <w:p w14:paraId="790B5699">
                  <w:pPr>
                    <w:adjustRightInd w:val="0"/>
                    <w:snapToGrid w:val="0"/>
                    <w:jc w:val="center"/>
                    <w:rPr>
                      <w:rFonts w:hint="eastAsia" w:hAnsi="宋体"/>
                      <w:bCs/>
                      <w:color w:val="auto"/>
                      <w:szCs w:val="21"/>
                      <w:highlight w:val="none"/>
                    </w:rPr>
                  </w:pPr>
                </w:p>
              </w:tc>
              <w:tc>
                <w:tcPr>
                  <w:tcW w:w="632" w:type="pct"/>
                  <w:vMerge w:val="continue"/>
                  <w:vAlign w:val="center"/>
                </w:tcPr>
                <w:p w14:paraId="5792EE93">
                  <w:pPr>
                    <w:adjustRightInd w:val="0"/>
                    <w:snapToGrid w:val="0"/>
                    <w:jc w:val="center"/>
                    <w:rPr>
                      <w:rFonts w:hint="eastAsia" w:hAnsi="宋体"/>
                      <w:bCs/>
                      <w:color w:val="auto"/>
                      <w:szCs w:val="21"/>
                      <w:highlight w:val="none"/>
                    </w:rPr>
                  </w:pPr>
                </w:p>
              </w:tc>
              <w:tc>
                <w:tcPr>
                  <w:tcW w:w="530" w:type="pct"/>
                  <w:shd w:val="clear" w:color="auto" w:fill="auto"/>
                  <w:vAlign w:val="center"/>
                </w:tcPr>
                <w:p w14:paraId="2DDB936A">
                  <w:pPr>
                    <w:keepNext w:val="0"/>
                    <w:keepLines w:val="0"/>
                    <w:widowControl/>
                    <w:suppressLineNumbers w:val="0"/>
                    <w:jc w:val="center"/>
                    <w:textAlignment w:val="center"/>
                    <w:rPr>
                      <w:rFonts w:hint="eastAsia" w:ascii="Times New Roman" w:hAnsi="Times New Roman" w:eastAsia="宋体" w:cs="宋体"/>
                      <w:bCs/>
                      <w:color w:val="auto"/>
                      <w:spacing w:val="-10"/>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SO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p>
              </w:tc>
              <w:tc>
                <w:tcPr>
                  <w:tcW w:w="526" w:type="pct"/>
                  <w:shd w:val="clear" w:color="auto" w:fill="auto"/>
                  <w:vAlign w:val="center"/>
                </w:tcPr>
                <w:p w14:paraId="38A3C1E7">
                  <w:pPr>
                    <w:widowControl/>
                    <w:adjustRightInd w:val="0"/>
                    <w:snapToGrid w:val="0"/>
                    <w:jc w:val="center"/>
                    <w:textAlignment w:val="center"/>
                    <w:rPr>
                      <w:rFonts w:hint="eastAsia" w:ascii="Times New Roman" w:hAnsi="宋体" w:eastAsia="宋体" w:cs="Times New Roman"/>
                      <w:bCs/>
                      <w:color w:val="auto"/>
                      <w:szCs w:val="21"/>
                      <w:highlight w:val="none"/>
                      <w:lang w:val="en-US" w:eastAsia="zh-CN"/>
                    </w:rPr>
                  </w:pPr>
                  <w:r>
                    <w:rPr>
                      <w:rFonts w:hint="eastAsia" w:ascii="Times New Roman" w:hAnsi="宋体" w:eastAsia="宋体" w:cs="Times New Roman"/>
                      <w:bCs/>
                      <w:color w:val="auto"/>
                      <w:szCs w:val="21"/>
                      <w:highlight w:val="none"/>
                      <w:lang w:val="en-US" w:eastAsia="zh-CN"/>
                    </w:rPr>
                    <w:t>0.040</w:t>
                  </w:r>
                </w:p>
              </w:tc>
              <w:tc>
                <w:tcPr>
                  <w:tcW w:w="628" w:type="pct"/>
                  <w:shd w:val="clear" w:color="auto" w:fill="auto"/>
                  <w:vAlign w:val="center"/>
                </w:tcPr>
                <w:p w14:paraId="1C60FD52">
                  <w:pPr>
                    <w:widowControl/>
                    <w:adjustRightInd w:val="0"/>
                    <w:snapToGrid w:val="0"/>
                    <w:jc w:val="center"/>
                    <w:textAlignment w:val="center"/>
                    <w:rPr>
                      <w:rFonts w:hint="eastAsia" w:ascii="Times New Roman" w:hAnsi="宋体" w:eastAsia="宋体" w:cs="Times New Roman"/>
                      <w:bCs/>
                      <w:color w:val="auto"/>
                      <w:szCs w:val="21"/>
                      <w:highlight w:val="none"/>
                      <w:lang w:val="en-US" w:eastAsia="zh-CN"/>
                    </w:rPr>
                  </w:pPr>
                  <w:r>
                    <w:rPr>
                      <w:rFonts w:hint="eastAsia" w:ascii="Times New Roman" w:hAnsi="宋体" w:eastAsia="宋体" w:cs="Times New Roman"/>
                      <w:bCs/>
                      <w:color w:val="auto"/>
                      <w:szCs w:val="21"/>
                      <w:highlight w:val="none"/>
                      <w:lang w:val="en-US" w:eastAsia="zh-CN"/>
                    </w:rPr>
                    <w:t>0.008</w:t>
                  </w:r>
                </w:p>
              </w:tc>
              <w:tc>
                <w:tcPr>
                  <w:tcW w:w="671" w:type="pct"/>
                  <w:shd w:val="clear" w:color="auto" w:fill="auto"/>
                  <w:vAlign w:val="center"/>
                </w:tcPr>
                <w:p w14:paraId="43A0DFC9">
                  <w:pPr>
                    <w:widowControl/>
                    <w:adjustRightInd w:val="0"/>
                    <w:snapToGrid w:val="0"/>
                    <w:jc w:val="center"/>
                    <w:textAlignment w:val="center"/>
                    <w:rPr>
                      <w:rFonts w:hint="eastAsia" w:ascii="Times New Roman" w:hAnsi="宋体" w:eastAsia="宋体" w:cs="Times New Roman"/>
                      <w:bCs/>
                      <w:color w:val="auto"/>
                      <w:szCs w:val="21"/>
                      <w:highlight w:val="none"/>
                      <w:lang w:val="en-US" w:eastAsia="zh-CN"/>
                    </w:rPr>
                  </w:pPr>
                  <w:r>
                    <w:rPr>
                      <w:rFonts w:hint="eastAsia" w:ascii="Times New Roman" w:hAnsi="宋体" w:eastAsia="宋体" w:cs="Times New Roman"/>
                      <w:bCs/>
                      <w:color w:val="auto"/>
                      <w:szCs w:val="21"/>
                      <w:highlight w:val="none"/>
                      <w:lang w:val="en-US" w:eastAsia="zh-CN"/>
                    </w:rPr>
                    <w:t>0.1</w:t>
                  </w:r>
                </w:p>
              </w:tc>
              <w:tc>
                <w:tcPr>
                  <w:tcW w:w="679" w:type="pct"/>
                  <w:vAlign w:val="center"/>
                </w:tcPr>
                <w:p w14:paraId="3897BE7D">
                  <w:pPr>
                    <w:widowControl/>
                    <w:adjustRightInd w:val="0"/>
                    <w:snapToGrid w:val="0"/>
                    <w:jc w:val="center"/>
                    <w:textAlignment w:val="center"/>
                    <w:rPr>
                      <w:rFonts w:hint="default" w:hAnsi="宋体" w:eastAsia="宋体"/>
                      <w:bCs/>
                      <w:color w:val="auto"/>
                      <w:szCs w:val="21"/>
                      <w:highlight w:val="none"/>
                      <w:lang w:val="en-US" w:eastAsia="zh-CN"/>
                    </w:rPr>
                  </w:pPr>
                  <w:r>
                    <w:rPr>
                      <w:rFonts w:hint="eastAsia" w:hAnsi="宋体"/>
                      <w:bCs/>
                      <w:color w:val="auto"/>
                      <w:szCs w:val="21"/>
                      <w:highlight w:val="none"/>
                      <w:lang w:val="en-US" w:eastAsia="zh-CN"/>
                    </w:rPr>
                    <w:t>200</w:t>
                  </w:r>
                </w:p>
              </w:tc>
              <w:tc>
                <w:tcPr>
                  <w:tcW w:w="401" w:type="pct"/>
                  <w:vAlign w:val="center"/>
                </w:tcPr>
                <w:p w14:paraId="60D0EE11">
                  <w:pPr>
                    <w:widowControl/>
                    <w:adjustRightInd w:val="0"/>
                    <w:snapToGrid w:val="0"/>
                    <w:jc w:val="center"/>
                    <w:textAlignment w:val="center"/>
                    <w:rPr>
                      <w:rFonts w:hAnsi="宋体"/>
                      <w:bCs/>
                      <w:color w:val="auto"/>
                      <w:szCs w:val="21"/>
                      <w:highlight w:val="none"/>
                    </w:rPr>
                  </w:pPr>
                  <w:r>
                    <w:rPr>
                      <w:rFonts w:hAnsi="宋体"/>
                      <w:bCs/>
                      <w:color w:val="auto"/>
                      <w:szCs w:val="21"/>
                      <w:highlight w:val="none"/>
                    </w:rPr>
                    <w:t>达标</w:t>
                  </w:r>
                </w:p>
              </w:tc>
              <w:tc>
                <w:tcPr>
                  <w:tcW w:w="520" w:type="pct"/>
                  <w:vMerge w:val="continue"/>
                  <w:vAlign w:val="center"/>
                </w:tcPr>
                <w:p w14:paraId="6C83F3FD">
                  <w:pPr>
                    <w:widowControl/>
                    <w:adjustRightInd w:val="0"/>
                    <w:snapToGrid w:val="0"/>
                    <w:jc w:val="center"/>
                    <w:textAlignment w:val="center"/>
                    <w:rPr>
                      <w:rFonts w:hAnsi="宋体"/>
                      <w:bCs/>
                      <w:color w:val="auto"/>
                      <w:szCs w:val="21"/>
                      <w:highlight w:val="none"/>
                    </w:rPr>
                  </w:pPr>
                </w:p>
              </w:tc>
            </w:tr>
            <w:tr w14:paraId="4E21D4B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10" w:type="pct"/>
                  <w:vMerge w:val="continue"/>
                  <w:vAlign w:val="center"/>
                </w:tcPr>
                <w:p w14:paraId="37FD9048">
                  <w:pPr>
                    <w:adjustRightInd w:val="0"/>
                    <w:snapToGrid w:val="0"/>
                    <w:jc w:val="center"/>
                    <w:rPr>
                      <w:rFonts w:hint="eastAsia" w:hAnsi="宋体"/>
                      <w:bCs/>
                      <w:color w:val="auto"/>
                      <w:szCs w:val="21"/>
                      <w:highlight w:val="none"/>
                    </w:rPr>
                  </w:pPr>
                </w:p>
              </w:tc>
              <w:tc>
                <w:tcPr>
                  <w:tcW w:w="632" w:type="pct"/>
                  <w:vMerge w:val="continue"/>
                  <w:vAlign w:val="center"/>
                </w:tcPr>
                <w:p w14:paraId="31317820">
                  <w:pPr>
                    <w:adjustRightInd w:val="0"/>
                    <w:snapToGrid w:val="0"/>
                    <w:jc w:val="center"/>
                    <w:rPr>
                      <w:rFonts w:hint="eastAsia" w:hAnsi="宋体"/>
                      <w:bCs/>
                      <w:color w:val="auto"/>
                      <w:szCs w:val="21"/>
                      <w:highlight w:val="none"/>
                    </w:rPr>
                  </w:pPr>
                </w:p>
              </w:tc>
              <w:tc>
                <w:tcPr>
                  <w:tcW w:w="530" w:type="pct"/>
                  <w:shd w:val="clear" w:color="auto" w:fill="auto"/>
                  <w:vAlign w:val="center"/>
                </w:tcPr>
                <w:p w14:paraId="153B3E95">
                  <w:pPr>
                    <w:keepNext w:val="0"/>
                    <w:keepLines w:val="0"/>
                    <w:widowControl/>
                    <w:suppressLineNumbers w:val="0"/>
                    <w:jc w:val="center"/>
                    <w:textAlignment w:val="center"/>
                    <w:rPr>
                      <w:rFonts w:hint="eastAsia" w:ascii="Times New Roman" w:hAnsi="Times New Roman" w:eastAsia="宋体" w:cs="宋体"/>
                      <w:bCs/>
                      <w:color w:val="auto"/>
                      <w:spacing w:val="-10"/>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NOx</w:t>
                  </w:r>
                </w:p>
              </w:tc>
              <w:tc>
                <w:tcPr>
                  <w:tcW w:w="526" w:type="pct"/>
                  <w:shd w:val="clear" w:color="auto" w:fill="auto"/>
                  <w:vAlign w:val="center"/>
                </w:tcPr>
                <w:p w14:paraId="0EF27F70">
                  <w:pPr>
                    <w:widowControl/>
                    <w:adjustRightInd w:val="0"/>
                    <w:snapToGrid w:val="0"/>
                    <w:jc w:val="center"/>
                    <w:textAlignment w:val="center"/>
                    <w:rPr>
                      <w:rFonts w:hint="eastAsia" w:ascii="Times New Roman" w:hAnsi="宋体" w:eastAsia="宋体" w:cs="Times New Roman"/>
                      <w:bCs/>
                      <w:color w:val="auto"/>
                      <w:szCs w:val="21"/>
                      <w:highlight w:val="none"/>
                      <w:lang w:val="en-US" w:eastAsia="zh-CN"/>
                    </w:rPr>
                  </w:pPr>
                  <w:r>
                    <w:rPr>
                      <w:rFonts w:hint="eastAsia" w:ascii="Times New Roman" w:hAnsi="宋体" w:eastAsia="宋体" w:cs="Times New Roman"/>
                      <w:bCs/>
                      <w:color w:val="auto"/>
                      <w:szCs w:val="21"/>
                      <w:highlight w:val="none"/>
                      <w:lang w:val="en-US" w:eastAsia="zh-CN"/>
                    </w:rPr>
                    <w:t>1.876</w:t>
                  </w:r>
                </w:p>
              </w:tc>
              <w:tc>
                <w:tcPr>
                  <w:tcW w:w="628" w:type="pct"/>
                  <w:shd w:val="clear" w:color="auto" w:fill="auto"/>
                  <w:vAlign w:val="center"/>
                </w:tcPr>
                <w:p w14:paraId="1B1BAC14">
                  <w:pPr>
                    <w:widowControl/>
                    <w:adjustRightInd w:val="0"/>
                    <w:snapToGrid w:val="0"/>
                    <w:jc w:val="center"/>
                    <w:textAlignment w:val="center"/>
                    <w:rPr>
                      <w:rFonts w:hint="eastAsia" w:ascii="Times New Roman" w:hAnsi="宋体" w:eastAsia="宋体" w:cs="Times New Roman"/>
                      <w:bCs/>
                      <w:color w:val="auto"/>
                      <w:szCs w:val="21"/>
                      <w:highlight w:val="none"/>
                      <w:lang w:val="en-US" w:eastAsia="zh-CN"/>
                    </w:rPr>
                  </w:pPr>
                  <w:r>
                    <w:rPr>
                      <w:rFonts w:hint="eastAsia" w:ascii="Times New Roman" w:hAnsi="宋体" w:eastAsia="宋体" w:cs="Times New Roman"/>
                      <w:bCs/>
                      <w:color w:val="auto"/>
                      <w:szCs w:val="21"/>
                      <w:highlight w:val="none"/>
                      <w:lang w:val="en-US" w:eastAsia="zh-CN"/>
                    </w:rPr>
                    <w:t>0.355</w:t>
                  </w:r>
                </w:p>
              </w:tc>
              <w:tc>
                <w:tcPr>
                  <w:tcW w:w="671" w:type="pct"/>
                  <w:shd w:val="clear" w:color="auto" w:fill="auto"/>
                  <w:vAlign w:val="center"/>
                </w:tcPr>
                <w:p w14:paraId="2BB9AC3C">
                  <w:pPr>
                    <w:widowControl/>
                    <w:adjustRightInd w:val="0"/>
                    <w:snapToGrid w:val="0"/>
                    <w:jc w:val="center"/>
                    <w:textAlignment w:val="center"/>
                    <w:rPr>
                      <w:rFonts w:hint="eastAsia" w:ascii="Times New Roman" w:hAnsi="宋体" w:eastAsia="宋体" w:cs="Times New Roman"/>
                      <w:bCs/>
                      <w:color w:val="auto"/>
                      <w:szCs w:val="21"/>
                      <w:highlight w:val="none"/>
                      <w:lang w:val="en-US" w:eastAsia="zh-CN"/>
                    </w:rPr>
                  </w:pPr>
                  <w:r>
                    <w:rPr>
                      <w:rFonts w:hint="eastAsia" w:ascii="Times New Roman" w:hAnsi="宋体" w:eastAsia="宋体" w:cs="Times New Roman"/>
                      <w:bCs/>
                      <w:color w:val="auto"/>
                      <w:szCs w:val="21"/>
                      <w:highlight w:val="none"/>
                      <w:lang w:val="en-US" w:eastAsia="zh-CN"/>
                    </w:rPr>
                    <w:t>3.4</w:t>
                  </w:r>
                </w:p>
              </w:tc>
              <w:tc>
                <w:tcPr>
                  <w:tcW w:w="679" w:type="pct"/>
                  <w:vAlign w:val="center"/>
                </w:tcPr>
                <w:p w14:paraId="1CBE4644">
                  <w:pPr>
                    <w:widowControl/>
                    <w:adjustRightInd w:val="0"/>
                    <w:snapToGrid w:val="0"/>
                    <w:jc w:val="center"/>
                    <w:textAlignment w:val="center"/>
                    <w:rPr>
                      <w:rFonts w:hint="default" w:hAnsi="宋体" w:eastAsia="宋体"/>
                      <w:bCs/>
                      <w:color w:val="auto"/>
                      <w:szCs w:val="21"/>
                      <w:highlight w:val="none"/>
                      <w:lang w:val="en-US" w:eastAsia="zh-CN"/>
                    </w:rPr>
                  </w:pPr>
                  <w:r>
                    <w:rPr>
                      <w:rFonts w:hint="eastAsia" w:hAnsi="宋体"/>
                      <w:bCs/>
                      <w:color w:val="auto"/>
                      <w:szCs w:val="21"/>
                      <w:highlight w:val="none"/>
                      <w:lang w:val="en-US" w:eastAsia="zh-CN"/>
                    </w:rPr>
                    <w:t>300</w:t>
                  </w:r>
                </w:p>
              </w:tc>
              <w:tc>
                <w:tcPr>
                  <w:tcW w:w="401" w:type="pct"/>
                  <w:vAlign w:val="center"/>
                </w:tcPr>
                <w:p w14:paraId="2A47FBB8">
                  <w:pPr>
                    <w:widowControl/>
                    <w:adjustRightInd w:val="0"/>
                    <w:snapToGrid w:val="0"/>
                    <w:jc w:val="center"/>
                    <w:textAlignment w:val="center"/>
                    <w:rPr>
                      <w:rFonts w:hAnsi="宋体"/>
                      <w:bCs/>
                      <w:color w:val="auto"/>
                      <w:szCs w:val="21"/>
                      <w:highlight w:val="none"/>
                    </w:rPr>
                  </w:pPr>
                  <w:r>
                    <w:rPr>
                      <w:rFonts w:hAnsi="宋体"/>
                      <w:bCs/>
                      <w:color w:val="auto"/>
                      <w:szCs w:val="21"/>
                      <w:highlight w:val="none"/>
                    </w:rPr>
                    <w:t>达标</w:t>
                  </w:r>
                </w:p>
              </w:tc>
              <w:tc>
                <w:tcPr>
                  <w:tcW w:w="520" w:type="pct"/>
                  <w:vMerge w:val="continue"/>
                  <w:vAlign w:val="center"/>
                </w:tcPr>
                <w:p w14:paraId="280F0C39">
                  <w:pPr>
                    <w:widowControl/>
                    <w:adjustRightInd w:val="0"/>
                    <w:snapToGrid w:val="0"/>
                    <w:jc w:val="center"/>
                    <w:textAlignment w:val="center"/>
                    <w:rPr>
                      <w:rFonts w:hAnsi="宋体"/>
                      <w:bCs/>
                      <w:color w:val="auto"/>
                      <w:szCs w:val="21"/>
                      <w:highlight w:val="none"/>
                    </w:rPr>
                  </w:pPr>
                </w:p>
              </w:tc>
            </w:tr>
            <w:tr w14:paraId="50D1A0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410" w:type="pct"/>
                  <w:vMerge w:val="continue"/>
                  <w:vAlign w:val="center"/>
                </w:tcPr>
                <w:p w14:paraId="495957CB">
                  <w:pPr>
                    <w:adjustRightInd w:val="0"/>
                    <w:snapToGrid w:val="0"/>
                    <w:jc w:val="center"/>
                    <w:rPr>
                      <w:rFonts w:hint="default" w:ascii="Times New Roman" w:hAnsi="Times New Roman" w:cs="Times New Roman"/>
                      <w:bCs/>
                      <w:color w:val="auto"/>
                      <w:szCs w:val="21"/>
                      <w:highlight w:val="none"/>
                    </w:rPr>
                  </w:pPr>
                </w:p>
              </w:tc>
              <w:tc>
                <w:tcPr>
                  <w:tcW w:w="632" w:type="pct"/>
                  <w:vMerge w:val="restart"/>
                  <w:shd w:val="clear" w:color="auto" w:fill="auto"/>
                  <w:vAlign w:val="center"/>
                </w:tcPr>
                <w:p w14:paraId="436E42C9">
                  <w:pPr>
                    <w:wordWrap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燃气加热炉</w:t>
                  </w:r>
                  <w:r>
                    <w:rPr>
                      <w:rFonts w:hint="default" w:ascii="Times New Roman" w:hAnsi="Times New Roman" w:eastAsia="宋体" w:cs="Times New Roman"/>
                      <w:i w:val="0"/>
                      <w:iCs w:val="0"/>
                      <w:color w:val="auto"/>
                      <w:kern w:val="0"/>
                      <w:sz w:val="21"/>
                      <w:szCs w:val="21"/>
                      <w:highlight w:val="none"/>
                      <w:u w:val="none"/>
                      <w:lang w:val="en-US" w:eastAsia="zh-CN" w:bidi="ar"/>
                    </w:rPr>
                    <w:t>（1#、</w:t>
                  </w:r>
                  <w:r>
                    <w:rPr>
                      <w:rStyle w:val="138"/>
                      <w:rFonts w:hint="default" w:ascii="Times New Roman" w:hAnsi="Times New Roman" w:cs="Times New Roman"/>
                      <w:color w:val="auto"/>
                      <w:sz w:val="21"/>
                      <w:szCs w:val="21"/>
                      <w:highlight w:val="none"/>
                      <w:lang w:val="en-US" w:eastAsia="zh-CN" w:bidi="ar"/>
                    </w:rPr>
                    <w:t>2#、</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eastAsia="zh-CN"/>
                    </w:rPr>
                    <w:t>#</w:t>
                  </w:r>
                  <w:r>
                    <w:rPr>
                      <w:rStyle w:val="137"/>
                      <w:rFonts w:hint="default" w:ascii="Times New Roman" w:hAnsi="Times New Roman" w:cs="Times New Roman"/>
                      <w:color w:val="auto"/>
                      <w:sz w:val="21"/>
                      <w:szCs w:val="21"/>
                      <w:highlight w:val="none"/>
                      <w:lang w:val="en-US" w:eastAsia="zh-CN" w:bidi="ar"/>
                    </w:rPr>
                    <w:t>）</w:t>
                  </w:r>
                </w:p>
              </w:tc>
              <w:tc>
                <w:tcPr>
                  <w:tcW w:w="530" w:type="pct"/>
                  <w:shd w:val="clear" w:color="auto" w:fill="auto"/>
                  <w:vAlign w:val="center"/>
                </w:tcPr>
                <w:p w14:paraId="16E7134E">
                  <w:pPr>
                    <w:keepNext w:val="0"/>
                    <w:keepLines w:val="0"/>
                    <w:widowControl/>
                    <w:suppressLineNumbers w:val="0"/>
                    <w:jc w:val="center"/>
                    <w:textAlignment w:val="center"/>
                    <w:rPr>
                      <w:rFonts w:hint="default" w:ascii="Times New Roman" w:hAnsi="Times New Roman" w:eastAsia="宋体" w:cs="Times New Roman"/>
                      <w:bCs/>
                      <w:color w:val="auto"/>
                      <w:spacing w:val="-10"/>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526" w:type="pct"/>
                  <w:shd w:val="clear" w:color="auto" w:fill="auto"/>
                  <w:vAlign w:val="center"/>
                </w:tcPr>
                <w:p w14:paraId="05D5080B">
                  <w:pPr>
                    <w:widowControl/>
                    <w:adjustRightInd w:val="0"/>
                    <w:snapToGrid w:val="0"/>
                    <w:jc w:val="center"/>
                    <w:textAlignment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0.238</w:t>
                  </w:r>
                </w:p>
              </w:tc>
              <w:tc>
                <w:tcPr>
                  <w:tcW w:w="628" w:type="pct"/>
                  <w:shd w:val="clear" w:color="auto" w:fill="auto"/>
                  <w:vAlign w:val="center"/>
                </w:tcPr>
                <w:p w14:paraId="2B589AFA">
                  <w:pPr>
                    <w:widowControl/>
                    <w:adjustRightInd w:val="0"/>
                    <w:snapToGrid w:val="0"/>
                    <w:jc w:val="center"/>
                    <w:textAlignment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0.090</w:t>
                  </w:r>
                </w:p>
              </w:tc>
              <w:tc>
                <w:tcPr>
                  <w:tcW w:w="671" w:type="pct"/>
                  <w:shd w:val="clear" w:color="auto" w:fill="auto"/>
                  <w:vAlign w:val="center"/>
                </w:tcPr>
                <w:p w14:paraId="2D8293CA">
                  <w:pPr>
                    <w:widowControl/>
                    <w:adjustRightInd w:val="0"/>
                    <w:snapToGrid w:val="0"/>
                    <w:jc w:val="center"/>
                    <w:textAlignment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5.1</w:t>
                  </w:r>
                </w:p>
              </w:tc>
              <w:tc>
                <w:tcPr>
                  <w:tcW w:w="679" w:type="pct"/>
                  <w:vAlign w:val="center"/>
                </w:tcPr>
                <w:p w14:paraId="3DC54AEB">
                  <w:pPr>
                    <w:widowControl/>
                    <w:adjustRightInd w:val="0"/>
                    <w:snapToGrid w:val="0"/>
                    <w:jc w:val="center"/>
                    <w:textAlignment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lang w:val="en-US" w:eastAsia="zh-CN"/>
                    </w:rPr>
                    <w:t>30</w:t>
                  </w:r>
                </w:p>
              </w:tc>
              <w:tc>
                <w:tcPr>
                  <w:tcW w:w="401" w:type="pct"/>
                  <w:vAlign w:val="center"/>
                </w:tcPr>
                <w:p w14:paraId="313782EB">
                  <w:pPr>
                    <w:widowControl/>
                    <w:adjustRightInd w:val="0"/>
                    <w:snapToGrid w:val="0"/>
                    <w:jc w:val="center"/>
                    <w:textAlignment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达标</w:t>
                  </w:r>
                </w:p>
              </w:tc>
              <w:tc>
                <w:tcPr>
                  <w:tcW w:w="520" w:type="pct"/>
                  <w:vMerge w:val="restart"/>
                  <w:shd w:val="clear" w:color="auto" w:fill="auto"/>
                  <w:vAlign w:val="center"/>
                </w:tcPr>
                <w:p w14:paraId="7B63708E">
                  <w:pPr>
                    <w:adjustRightInd w:val="0"/>
                    <w:snapToGrid w:val="0"/>
                    <w:jc w:val="center"/>
                    <w:rPr>
                      <w:rFonts w:hint="default" w:ascii="Times New Roman" w:hAnsi="Times New Roman" w:eastAsia="宋体" w:cs="Times New Roman"/>
                      <w:bCs/>
                      <w:color w:val="auto"/>
                      <w:spacing w:val="-10"/>
                      <w:kern w:val="2"/>
                      <w:sz w:val="21"/>
                      <w:szCs w:val="21"/>
                      <w:highlight w:val="none"/>
                      <w:lang w:val="en-US" w:eastAsia="zh-CN" w:bidi="ar-SA"/>
                    </w:rPr>
                  </w:pPr>
                  <w:r>
                    <w:rPr>
                      <w:rFonts w:hint="default" w:ascii="Times New Roman" w:hAnsi="Times New Roman" w:cs="Times New Roman"/>
                      <w:bCs/>
                      <w:color w:val="auto"/>
                      <w:spacing w:val="-10"/>
                      <w:szCs w:val="21"/>
                      <w:highlight w:val="none"/>
                    </w:rPr>
                    <w:t>DA00</w:t>
                  </w:r>
                  <w:r>
                    <w:rPr>
                      <w:rFonts w:hint="default" w:ascii="Times New Roman" w:hAnsi="Times New Roman" w:cs="Times New Roman"/>
                      <w:bCs/>
                      <w:color w:val="auto"/>
                      <w:spacing w:val="-10"/>
                      <w:szCs w:val="21"/>
                      <w:highlight w:val="none"/>
                      <w:lang w:val="en-US" w:eastAsia="zh-CN"/>
                    </w:rPr>
                    <w:t>6</w:t>
                  </w:r>
                </w:p>
              </w:tc>
            </w:tr>
            <w:tr w14:paraId="7DF15F8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45" w:hRule="atLeast"/>
                <w:jc w:val="center"/>
              </w:trPr>
              <w:tc>
                <w:tcPr>
                  <w:tcW w:w="410" w:type="pct"/>
                  <w:vMerge w:val="continue"/>
                  <w:vAlign w:val="center"/>
                </w:tcPr>
                <w:p w14:paraId="1C90109F">
                  <w:pPr>
                    <w:adjustRightInd w:val="0"/>
                    <w:snapToGrid w:val="0"/>
                    <w:jc w:val="center"/>
                    <w:rPr>
                      <w:rFonts w:hint="default" w:ascii="Times New Roman" w:hAnsi="Times New Roman" w:cs="Times New Roman"/>
                      <w:bCs/>
                      <w:color w:val="auto"/>
                      <w:szCs w:val="21"/>
                      <w:highlight w:val="none"/>
                    </w:rPr>
                  </w:pPr>
                </w:p>
              </w:tc>
              <w:tc>
                <w:tcPr>
                  <w:tcW w:w="632" w:type="pct"/>
                  <w:vMerge w:val="continue"/>
                  <w:vAlign w:val="center"/>
                </w:tcPr>
                <w:p w14:paraId="29954482">
                  <w:pPr>
                    <w:adjustRightInd w:val="0"/>
                    <w:snapToGrid w:val="0"/>
                    <w:jc w:val="center"/>
                    <w:rPr>
                      <w:rFonts w:hint="default" w:ascii="Times New Roman" w:hAnsi="Times New Roman" w:cs="Times New Roman"/>
                      <w:bCs/>
                      <w:color w:val="auto"/>
                      <w:szCs w:val="21"/>
                      <w:highlight w:val="none"/>
                    </w:rPr>
                  </w:pPr>
                </w:p>
              </w:tc>
              <w:tc>
                <w:tcPr>
                  <w:tcW w:w="530" w:type="pct"/>
                  <w:shd w:val="clear" w:color="auto" w:fill="auto"/>
                  <w:vAlign w:val="center"/>
                </w:tcPr>
                <w:p w14:paraId="251BA8BC">
                  <w:pPr>
                    <w:keepNext w:val="0"/>
                    <w:keepLines w:val="0"/>
                    <w:widowControl/>
                    <w:suppressLineNumbers w:val="0"/>
                    <w:jc w:val="center"/>
                    <w:textAlignment w:val="center"/>
                    <w:rPr>
                      <w:rFonts w:hint="default" w:ascii="Times New Roman" w:hAnsi="Times New Roman" w:eastAsia="宋体" w:cs="Times New Roman"/>
                      <w:bCs/>
                      <w:color w:val="auto"/>
                      <w:spacing w:val="-10"/>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SO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p>
              </w:tc>
              <w:tc>
                <w:tcPr>
                  <w:tcW w:w="526" w:type="pct"/>
                  <w:shd w:val="clear" w:color="auto" w:fill="auto"/>
                  <w:vAlign w:val="center"/>
                </w:tcPr>
                <w:p w14:paraId="5F62596E">
                  <w:pPr>
                    <w:widowControl/>
                    <w:adjustRightInd w:val="0"/>
                    <w:snapToGrid w:val="0"/>
                    <w:jc w:val="center"/>
                    <w:textAlignment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0.033</w:t>
                  </w:r>
                </w:p>
              </w:tc>
              <w:tc>
                <w:tcPr>
                  <w:tcW w:w="628" w:type="pct"/>
                  <w:shd w:val="clear" w:color="auto" w:fill="auto"/>
                  <w:vAlign w:val="center"/>
                </w:tcPr>
                <w:p w14:paraId="1FCDB6B3">
                  <w:pPr>
                    <w:widowControl/>
                    <w:adjustRightInd w:val="0"/>
                    <w:snapToGrid w:val="0"/>
                    <w:jc w:val="center"/>
                    <w:textAlignment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0.013</w:t>
                  </w:r>
                </w:p>
              </w:tc>
              <w:tc>
                <w:tcPr>
                  <w:tcW w:w="671" w:type="pct"/>
                  <w:shd w:val="clear" w:color="auto" w:fill="auto"/>
                  <w:vAlign w:val="center"/>
                </w:tcPr>
                <w:p w14:paraId="190BFB4E">
                  <w:pPr>
                    <w:widowControl/>
                    <w:adjustRightInd w:val="0"/>
                    <w:snapToGrid w:val="0"/>
                    <w:jc w:val="center"/>
                    <w:textAlignment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0.7</w:t>
                  </w:r>
                </w:p>
              </w:tc>
              <w:tc>
                <w:tcPr>
                  <w:tcW w:w="679" w:type="pct"/>
                  <w:vAlign w:val="center"/>
                </w:tcPr>
                <w:p w14:paraId="5DB95B14">
                  <w:pPr>
                    <w:widowControl/>
                    <w:adjustRightInd w:val="0"/>
                    <w:snapToGrid w:val="0"/>
                    <w:jc w:val="center"/>
                    <w:textAlignment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lang w:val="en-US" w:eastAsia="zh-CN"/>
                    </w:rPr>
                    <w:t>200</w:t>
                  </w:r>
                </w:p>
              </w:tc>
              <w:tc>
                <w:tcPr>
                  <w:tcW w:w="401" w:type="pct"/>
                  <w:vAlign w:val="center"/>
                </w:tcPr>
                <w:p w14:paraId="198A0FFC">
                  <w:pPr>
                    <w:widowControl/>
                    <w:adjustRightInd w:val="0"/>
                    <w:snapToGrid w:val="0"/>
                    <w:jc w:val="center"/>
                    <w:textAlignment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达标</w:t>
                  </w:r>
                </w:p>
              </w:tc>
              <w:tc>
                <w:tcPr>
                  <w:tcW w:w="520" w:type="pct"/>
                  <w:vMerge w:val="continue"/>
                  <w:vAlign w:val="center"/>
                </w:tcPr>
                <w:p w14:paraId="09CB186C">
                  <w:pPr>
                    <w:widowControl/>
                    <w:adjustRightInd w:val="0"/>
                    <w:snapToGrid w:val="0"/>
                    <w:jc w:val="center"/>
                    <w:textAlignment w:val="center"/>
                    <w:rPr>
                      <w:rFonts w:hint="default" w:ascii="Times New Roman" w:hAnsi="Times New Roman" w:cs="Times New Roman"/>
                      <w:bCs/>
                      <w:color w:val="auto"/>
                      <w:szCs w:val="21"/>
                      <w:highlight w:val="none"/>
                    </w:rPr>
                  </w:pPr>
                </w:p>
              </w:tc>
            </w:tr>
            <w:tr w14:paraId="4F3CD1F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410" w:type="pct"/>
                  <w:vMerge w:val="continue"/>
                  <w:vAlign w:val="center"/>
                </w:tcPr>
                <w:p w14:paraId="1C6D6782">
                  <w:pPr>
                    <w:adjustRightInd w:val="0"/>
                    <w:snapToGrid w:val="0"/>
                    <w:jc w:val="center"/>
                    <w:rPr>
                      <w:rFonts w:hint="default" w:ascii="Times New Roman" w:hAnsi="Times New Roman" w:cs="Times New Roman"/>
                      <w:bCs/>
                      <w:color w:val="auto"/>
                      <w:szCs w:val="21"/>
                      <w:highlight w:val="none"/>
                    </w:rPr>
                  </w:pPr>
                </w:p>
              </w:tc>
              <w:tc>
                <w:tcPr>
                  <w:tcW w:w="632" w:type="pct"/>
                  <w:vMerge w:val="continue"/>
                  <w:vAlign w:val="center"/>
                </w:tcPr>
                <w:p w14:paraId="23FEBB12">
                  <w:pPr>
                    <w:adjustRightInd w:val="0"/>
                    <w:snapToGrid w:val="0"/>
                    <w:jc w:val="center"/>
                    <w:rPr>
                      <w:rFonts w:hint="default" w:ascii="Times New Roman" w:hAnsi="Times New Roman" w:cs="Times New Roman"/>
                      <w:bCs/>
                      <w:color w:val="auto"/>
                      <w:szCs w:val="21"/>
                      <w:highlight w:val="none"/>
                    </w:rPr>
                  </w:pPr>
                </w:p>
              </w:tc>
              <w:tc>
                <w:tcPr>
                  <w:tcW w:w="530" w:type="pct"/>
                  <w:shd w:val="clear" w:color="auto" w:fill="auto"/>
                  <w:vAlign w:val="center"/>
                </w:tcPr>
                <w:p w14:paraId="0226D8ED">
                  <w:pPr>
                    <w:keepNext w:val="0"/>
                    <w:keepLines w:val="0"/>
                    <w:widowControl/>
                    <w:suppressLineNumbers w:val="0"/>
                    <w:jc w:val="center"/>
                    <w:textAlignment w:val="center"/>
                    <w:rPr>
                      <w:rFonts w:hint="default" w:ascii="Times New Roman" w:hAnsi="Times New Roman" w:eastAsia="宋体" w:cs="Times New Roman"/>
                      <w:bCs/>
                      <w:color w:val="auto"/>
                      <w:spacing w:val="-10"/>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NOx</w:t>
                  </w:r>
                </w:p>
              </w:tc>
              <w:tc>
                <w:tcPr>
                  <w:tcW w:w="526" w:type="pct"/>
                  <w:shd w:val="clear" w:color="auto" w:fill="auto"/>
                  <w:vAlign w:val="center"/>
                </w:tcPr>
                <w:p w14:paraId="5CB9C6FA">
                  <w:pPr>
                    <w:widowControl/>
                    <w:adjustRightInd w:val="0"/>
                    <w:snapToGrid w:val="0"/>
                    <w:jc w:val="center"/>
                    <w:textAlignment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1.555</w:t>
                  </w:r>
                </w:p>
              </w:tc>
              <w:tc>
                <w:tcPr>
                  <w:tcW w:w="628" w:type="pct"/>
                  <w:shd w:val="clear" w:color="auto" w:fill="auto"/>
                  <w:vAlign w:val="center"/>
                </w:tcPr>
                <w:p w14:paraId="61319DE1">
                  <w:pPr>
                    <w:widowControl/>
                    <w:adjustRightInd w:val="0"/>
                    <w:snapToGrid w:val="0"/>
                    <w:jc w:val="center"/>
                    <w:textAlignment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0.589</w:t>
                  </w:r>
                </w:p>
              </w:tc>
              <w:tc>
                <w:tcPr>
                  <w:tcW w:w="671" w:type="pct"/>
                  <w:shd w:val="clear" w:color="auto" w:fill="auto"/>
                  <w:vAlign w:val="center"/>
                </w:tcPr>
                <w:p w14:paraId="697F3DCD">
                  <w:pPr>
                    <w:widowControl/>
                    <w:adjustRightInd w:val="0"/>
                    <w:snapToGrid w:val="0"/>
                    <w:jc w:val="center"/>
                    <w:textAlignment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33.5</w:t>
                  </w:r>
                </w:p>
              </w:tc>
              <w:tc>
                <w:tcPr>
                  <w:tcW w:w="679" w:type="pct"/>
                  <w:vAlign w:val="center"/>
                </w:tcPr>
                <w:p w14:paraId="75BB1883">
                  <w:pPr>
                    <w:widowControl/>
                    <w:adjustRightInd w:val="0"/>
                    <w:snapToGrid w:val="0"/>
                    <w:jc w:val="center"/>
                    <w:textAlignment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lang w:val="en-US" w:eastAsia="zh-CN"/>
                    </w:rPr>
                    <w:t>300</w:t>
                  </w:r>
                </w:p>
              </w:tc>
              <w:tc>
                <w:tcPr>
                  <w:tcW w:w="401" w:type="pct"/>
                  <w:vAlign w:val="center"/>
                </w:tcPr>
                <w:p w14:paraId="3025C7B0">
                  <w:pPr>
                    <w:widowControl/>
                    <w:adjustRightInd w:val="0"/>
                    <w:snapToGrid w:val="0"/>
                    <w:jc w:val="center"/>
                    <w:textAlignment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达标</w:t>
                  </w:r>
                </w:p>
              </w:tc>
              <w:tc>
                <w:tcPr>
                  <w:tcW w:w="520" w:type="pct"/>
                  <w:vMerge w:val="continue"/>
                  <w:vAlign w:val="center"/>
                </w:tcPr>
                <w:p w14:paraId="22872119">
                  <w:pPr>
                    <w:widowControl/>
                    <w:adjustRightInd w:val="0"/>
                    <w:snapToGrid w:val="0"/>
                    <w:jc w:val="center"/>
                    <w:textAlignment w:val="center"/>
                    <w:rPr>
                      <w:rFonts w:hint="default" w:ascii="Times New Roman" w:hAnsi="Times New Roman" w:cs="Times New Roman"/>
                      <w:bCs/>
                      <w:color w:val="auto"/>
                      <w:szCs w:val="21"/>
                      <w:highlight w:val="none"/>
                    </w:rPr>
                  </w:pPr>
                </w:p>
              </w:tc>
            </w:tr>
            <w:tr w14:paraId="3B08905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410" w:type="pct"/>
                  <w:vMerge w:val="continue"/>
                  <w:vAlign w:val="center"/>
                </w:tcPr>
                <w:p w14:paraId="2406A60A">
                  <w:pPr>
                    <w:adjustRightInd w:val="0"/>
                    <w:snapToGrid w:val="0"/>
                    <w:jc w:val="center"/>
                    <w:rPr>
                      <w:rFonts w:hint="default" w:ascii="Times New Roman" w:hAnsi="Times New Roman" w:cs="Times New Roman"/>
                      <w:bCs/>
                      <w:color w:val="auto"/>
                      <w:szCs w:val="21"/>
                      <w:highlight w:val="none"/>
                    </w:rPr>
                  </w:pPr>
                </w:p>
              </w:tc>
              <w:tc>
                <w:tcPr>
                  <w:tcW w:w="632" w:type="pct"/>
                  <w:vMerge w:val="restart"/>
                  <w:vAlign w:val="center"/>
                </w:tcPr>
                <w:p w14:paraId="014DDC64">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color w:val="auto"/>
                      <w:szCs w:val="21"/>
                      <w:highlight w:val="none"/>
                      <w:lang w:val="en-US" w:eastAsia="zh-CN"/>
                    </w:rPr>
                    <w:t>燃气</w:t>
                  </w:r>
                  <w:r>
                    <w:rPr>
                      <w:rFonts w:hint="default" w:ascii="Times New Roman" w:hAnsi="Times New Roman" w:eastAsia="宋体" w:cs="Times New Roman"/>
                      <w:color w:val="auto"/>
                      <w:sz w:val="21"/>
                      <w:szCs w:val="21"/>
                      <w:highlight w:val="none"/>
                      <w:lang w:eastAsia="zh-CN"/>
                    </w:rPr>
                    <w:t>回火炉</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eastAsia="zh-CN"/>
                    </w:rPr>
                    <w:t>#</w:t>
                  </w:r>
                </w:p>
              </w:tc>
              <w:tc>
                <w:tcPr>
                  <w:tcW w:w="530" w:type="pct"/>
                  <w:shd w:val="clear" w:color="auto" w:fill="auto"/>
                  <w:vAlign w:val="center"/>
                </w:tcPr>
                <w:p w14:paraId="44A5F86C">
                  <w:pPr>
                    <w:keepNext w:val="0"/>
                    <w:keepLines w:val="0"/>
                    <w:widowControl/>
                    <w:suppressLineNumbers w:val="0"/>
                    <w:jc w:val="center"/>
                    <w:textAlignment w:val="center"/>
                    <w:rPr>
                      <w:rFonts w:hint="default" w:ascii="Times New Roman" w:hAnsi="Times New Roman" w:eastAsia="宋体" w:cs="Times New Roman"/>
                      <w:bCs/>
                      <w:color w:val="auto"/>
                      <w:spacing w:val="-10"/>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526" w:type="pct"/>
                  <w:shd w:val="clear" w:color="auto" w:fill="auto"/>
                  <w:vAlign w:val="center"/>
                </w:tcPr>
                <w:p w14:paraId="524E9909">
                  <w:pPr>
                    <w:widowControl/>
                    <w:adjustRightInd w:val="0"/>
                    <w:snapToGrid w:val="0"/>
                    <w:jc w:val="center"/>
                    <w:textAlignment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0.098</w:t>
                  </w:r>
                </w:p>
              </w:tc>
              <w:tc>
                <w:tcPr>
                  <w:tcW w:w="628" w:type="pct"/>
                  <w:shd w:val="clear" w:color="auto" w:fill="auto"/>
                  <w:vAlign w:val="center"/>
                </w:tcPr>
                <w:p w14:paraId="2E1E3BCE">
                  <w:pPr>
                    <w:widowControl/>
                    <w:adjustRightInd w:val="0"/>
                    <w:snapToGrid w:val="0"/>
                    <w:jc w:val="center"/>
                    <w:textAlignment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0.037</w:t>
                  </w:r>
                </w:p>
              </w:tc>
              <w:tc>
                <w:tcPr>
                  <w:tcW w:w="671" w:type="pct"/>
                  <w:shd w:val="clear" w:color="auto" w:fill="auto"/>
                  <w:vAlign w:val="center"/>
                </w:tcPr>
                <w:p w14:paraId="081A00BD">
                  <w:pPr>
                    <w:widowControl/>
                    <w:adjustRightInd w:val="0"/>
                    <w:snapToGrid w:val="0"/>
                    <w:jc w:val="center"/>
                    <w:textAlignment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5.2</w:t>
                  </w:r>
                </w:p>
              </w:tc>
              <w:tc>
                <w:tcPr>
                  <w:tcW w:w="679" w:type="pct"/>
                  <w:shd w:val="clear" w:color="auto" w:fill="auto"/>
                  <w:vAlign w:val="center"/>
                </w:tcPr>
                <w:p w14:paraId="05A70C1D">
                  <w:pPr>
                    <w:widowControl/>
                    <w:adjustRightInd w:val="0"/>
                    <w:snapToGrid w:val="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Cs w:val="21"/>
                      <w:highlight w:val="none"/>
                      <w:lang w:val="en-US" w:eastAsia="zh-CN"/>
                    </w:rPr>
                    <w:t>30</w:t>
                  </w:r>
                </w:p>
              </w:tc>
              <w:tc>
                <w:tcPr>
                  <w:tcW w:w="401" w:type="pct"/>
                  <w:shd w:val="clear" w:color="auto" w:fill="auto"/>
                  <w:vAlign w:val="center"/>
                </w:tcPr>
                <w:p w14:paraId="1DEFF9D1">
                  <w:pPr>
                    <w:widowControl/>
                    <w:adjustRightInd w:val="0"/>
                    <w:snapToGrid w:val="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Cs w:val="21"/>
                      <w:highlight w:val="none"/>
                    </w:rPr>
                    <w:t>达标</w:t>
                  </w:r>
                </w:p>
              </w:tc>
              <w:tc>
                <w:tcPr>
                  <w:tcW w:w="520" w:type="pct"/>
                  <w:vMerge w:val="restart"/>
                  <w:vAlign w:val="center"/>
                </w:tcPr>
                <w:p w14:paraId="28DC095E">
                  <w:pPr>
                    <w:widowControl/>
                    <w:adjustRightInd w:val="0"/>
                    <w:snapToGrid w:val="0"/>
                    <w:jc w:val="center"/>
                    <w:textAlignment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pacing w:val="-10"/>
                      <w:szCs w:val="21"/>
                      <w:highlight w:val="none"/>
                    </w:rPr>
                    <w:t>DA00</w:t>
                  </w:r>
                  <w:r>
                    <w:rPr>
                      <w:rFonts w:hint="default" w:ascii="Times New Roman" w:hAnsi="Times New Roman" w:cs="Times New Roman"/>
                      <w:bCs/>
                      <w:color w:val="auto"/>
                      <w:spacing w:val="-10"/>
                      <w:szCs w:val="21"/>
                      <w:highlight w:val="none"/>
                      <w:lang w:val="en-US" w:eastAsia="zh-CN"/>
                    </w:rPr>
                    <w:t>7</w:t>
                  </w:r>
                </w:p>
              </w:tc>
            </w:tr>
            <w:tr w14:paraId="7732BEE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410" w:type="pct"/>
                  <w:vMerge w:val="continue"/>
                  <w:vAlign w:val="center"/>
                </w:tcPr>
                <w:p w14:paraId="4F56F10D">
                  <w:pPr>
                    <w:adjustRightInd w:val="0"/>
                    <w:snapToGrid w:val="0"/>
                    <w:jc w:val="center"/>
                    <w:rPr>
                      <w:rFonts w:hint="default" w:ascii="Times New Roman" w:hAnsi="Times New Roman" w:cs="Times New Roman"/>
                      <w:bCs/>
                      <w:color w:val="auto"/>
                      <w:szCs w:val="21"/>
                      <w:highlight w:val="none"/>
                    </w:rPr>
                  </w:pPr>
                </w:p>
              </w:tc>
              <w:tc>
                <w:tcPr>
                  <w:tcW w:w="632" w:type="pct"/>
                  <w:vMerge w:val="continue"/>
                  <w:vAlign w:val="center"/>
                </w:tcPr>
                <w:p w14:paraId="1CF1A74F">
                  <w:pPr>
                    <w:adjustRightInd w:val="0"/>
                    <w:snapToGrid w:val="0"/>
                    <w:jc w:val="center"/>
                    <w:rPr>
                      <w:rFonts w:hint="default" w:ascii="Times New Roman" w:hAnsi="Times New Roman" w:cs="Times New Roman"/>
                      <w:bCs/>
                      <w:color w:val="auto"/>
                      <w:szCs w:val="21"/>
                      <w:highlight w:val="none"/>
                    </w:rPr>
                  </w:pPr>
                </w:p>
              </w:tc>
              <w:tc>
                <w:tcPr>
                  <w:tcW w:w="530" w:type="pct"/>
                  <w:shd w:val="clear" w:color="auto" w:fill="auto"/>
                  <w:vAlign w:val="center"/>
                </w:tcPr>
                <w:p w14:paraId="219C01D4">
                  <w:pPr>
                    <w:keepNext w:val="0"/>
                    <w:keepLines w:val="0"/>
                    <w:widowControl/>
                    <w:suppressLineNumbers w:val="0"/>
                    <w:jc w:val="center"/>
                    <w:textAlignment w:val="center"/>
                    <w:rPr>
                      <w:rFonts w:hint="default" w:ascii="Times New Roman" w:hAnsi="Times New Roman" w:eastAsia="宋体" w:cs="Times New Roman"/>
                      <w:bCs/>
                      <w:color w:val="auto"/>
                      <w:spacing w:val="-10"/>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SO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p>
              </w:tc>
              <w:tc>
                <w:tcPr>
                  <w:tcW w:w="526" w:type="pct"/>
                  <w:shd w:val="clear" w:color="auto" w:fill="auto"/>
                  <w:vAlign w:val="center"/>
                </w:tcPr>
                <w:p w14:paraId="0638668C">
                  <w:pPr>
                    <w:widowControl/>
                    <w:adjustRightInd w:val="0"/>
                    <w:snapToGrid w:val="0"/>
                    <w:jc w:val="center"/>
                    <w:textAlignment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0.014</w:t>
                  </w:r>
                </w:p>
              </w:tc>
              <w:tc>
                <w:tcPr>
                  <w:tcW w:w="628" w:type="pct"/>
                  <w:shd w:val="clear" w:color="auto" w:fill="auto"/>
                  <w:vAlign w:val="center"/>
                </w:tcPr>
                <w:p w14:paraId="0CC77722">
                  <w:pPr>
                    <w:widowControl/>
                    <w:adjustRightInd w:val="0"/>
                    <w:snapToGrid w:val="0"/>
                    <w:jc w:val="center"/>
                    <w:textAlignment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0.005</w:t>
                  </w:r>
                </w:p>
              </w:tc>
              <w:tc>
                <w:tcPr>
                  <w:tcW w:w="671" w:type="pct"/>
                  <w:shd w:val="clear" w:color="auto" w:fill="auto"/>
                  <w:vAlign w:val="center"/>
                </w:tcPr>
                <w:p w14:paraId="47CB9065">
                  <w:pPr>
                    <w:widowControl/>
                    <w:adjustRightInd w:val="0"/>
                    <w:snapToGrid w:val="0"/>
                    <w:jc w:val="center"/>
                    <w:textAlignment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0.7</w:t>
                  </w:r>
                </w:p>
              </w:tc>
              <w:tc>
                <w:tcPr>
                  <w:tcW w:w="679" w:type="pct"/>
                  <w:shd w:val="clear" w:color="auto" w:fill="auto"/>
                  <w:vAlign w:val="center"/>
                </w:tcPr>
                <w:p w14:paraId="4E2E6C90">
                  <w:pPr>
                    <w:widowControl/>
                    <w:adjustRightInd w:val="0"/>
                    <w:snapToGrid w:val="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Cs w:val="21"/>
                      <w:highlight w:val="none"/>
                      <w:lang w:val="en-US" w:eastAsia="zh-CN"/>
                    </w:rPr>
                    <w:t>200</w:t>
                  </w:r>
                </w:p>
              </w:tc>
              <w:tc>
                <w:tcPr>
                  <w:tcW w:w="401" w:type="pct"/>
                  <w:shd w:val="clear" w:color="auto" w:fill="auto"/>
                  <w:vAlign w:val="center"/>
                </w:tcPr>
                <w:p w14:paraId="3953236D">
                  <w:pPr>
                    <w:widowControl/>
                    <w:adjustRightInd w:val="0"/>
                    <w:snapToGrid w:val="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Cs w:val="21"/>
                      <w:highlight w:val="none"/>
                    </w:rPr>
                    <w:t>达标</w:t>
                  </w:r>
                </w:p>
              </w:tc>
              <w:tc>
                <w:tcPr>
                  <w:tcW w:w="520" w:type="pct"/>
                  <w:vMerge w:val="continue"/>
                  <w:vAlign w:val="center"/>
                </w:tcPr>
                <w:p w14:paraId="3183D193">
                  <w:pPr>
                    <w:widowControl/>
                    <w:adjustRightInd w:val="0"/>
                    <w:snapToGrid w:val="0"/>
                    <w:jc w:val="center"/>
                    <w:textAlignment w:val="center"/>
                    <w:rPr>
                      <w:rFonts w:hint="default" w:ascii="Times New Roman" w:hAnsi="Times New Roman" w:cs="Times New Roman"/>
                      <w:bCs/>
                      <w:color w:val="auto"/>
                      <w:szCs w:val="21"/>
                      <w:highlight w:val="none"/>
                    </w:rPr>
                  </w:pPr>
                </w:p>
              </w:tc>
            </w:tr>
            <w:tr w14:paraId="4CC5652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410" w:type="pct"/>
                  <w:vMerge w:val="continue"/>
                  <w:vAlign w:val="center"/>
                </w:tcPr>
                <w:p w14:paraId="572EF33A">
                  <w:pPr>
                    <w:adjustRightInd w:val="0"/>
                    <w:snapToGrid w:val="0"/>
                    <w:jc w:val="center"/>
                    <w:rPr>
                      <w:rFonts w:hint="default" w:ascii="Times New Roman" w:hAnsi="Times New Roman" w:cs="Times New Roman"/>
                      <w:bCs/>
                      <w:color w:val="auto"/>
                      <w:szCs w:val="21"/>
                      <w:highlight w:val="none"/>
                    </w:rPr>
                  </w:pPr>
                </w:p>
              </w:tc>
              <w:tc>
                <w:tcPr>
                  <w:tcW w:w="632" w:type="pct"/>
                  <w:vMerge w:val="continue"/>
                  <w:vAlign w:val="center"/>
                </w:tcPr>
                <w:p w14:paraId="0AAD76F4">
                  <w:pPr>
                    <w:adjustRightInd w:val="0"/>
                    <w:snapToGrid w:val="0"/>
                    <w:jc w:val="center"/>
                    <w:rPr>
                      <w:rFonts w:hint="default" w:ascii="Times New Roman" w:hAnsi="Times New Roman" w:cs="Times New Roman"/>
                      <w:bCs/>
                      <w:color w:val="auto"/>
                      <w:szCs w:val="21"/>
                      <w:highlight w:val="none"/>
                    </w:rPr>
                  </w:pPr>
                </w:p>
              </w:tc>
              <w:tc>
                <w:tcPr>
                  <w:tcW w:w="530" w:type="pct"/>
                  <w:shd w:val="clear" w:color="auto" w:fill="auto"/>
                  <w:vAlign w:val="center"/>
                </w:tcPr>
                <w:p w14:paraId="03CFF8DB">
                  <w:pPr>
                    <w:keepNext w:val="0"/>
                    <w:keepLines w:val="0"/>
                    <w:widowControl/>
                    <w:suppressLineNumbers w:val="0"/>
                    <w:jc w:val="center"/>
                    <w:textAlignment w:val="center"/>
                    <w:rPr>
                      <w:rFonts w:hint="default" w:ascii="Times New Roman" w:hAnsi="Times New Roman" w:eastAsia="宋体" w:cs="Times New Roman"/>
                      <w:bCs/>
                      <w:color w:val="auto"/>
                      <w:spacing w:val="-10"/>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NOx</w:t>
                  </w:r>
                </w:p>
              </w:tc>
              <w:tc>
                <w:tcPr>
                  <w:tcW w:w="526" w:type="pct"/>
                  <w:shd w:val="clear" w:color="auto" w:fill="auto"/>
                  <w:vAlign w:val="center"/>
                </w:tcPr>
                <w:p w14:paraId="31924A59">
                  <w:pPr>
                    <w:widowControl/>
                    <w:adjustRightInd w:val="0"/>
                    <w:snapToGrid w:val="0"/>
                    <w:jc w:val="center"/>
                    <w:textAlignment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0.642</w:t>
                  </w:r>
                </w:p>
              </w:tc>
              <w:tc>
                <w:tcPr>
                  <w:tcW w:w="628" w:type="pct"/>
                  <w:shd w:val="clear" w:color="auto" w:fill="auto"/>
                  <w:vAlign w:val="center"/>
                </w:tcPr>
                <w:p w14:paraId="1B32F7B5">
                  <w:pPr>
                    <w:widowControl/>
                    <w:adjustRightInd w:val="0"/>
                    <w:snapToGrid w:val="0"/>
                    <w:jc w:val="center"/>
                    <w:textAlignment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0.243</w:t>
                  </w:r>
                </w:p>
              </w:tc>
              <w:tc>
                <w:tcPr>
                  <w:tcW w:w="671" w:type="pct"/>
                  <w:shd w:val="clear" w:color="auto" w:fill="auto"/>
                  <w:vAlign w:val="center"/>
                </w:tcPr>
                <w:p w14:paraId="574744CF">
                  <w:pPr>
                    <w:widowControl/>
                    <w:adjustRightInd w:val="0"/>
                    <w:snapToGrid w:val="0"/>
                    <w:jc w:val="center"/>
                    <w:textAlignment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33.8</w:t>
                  </w:r>
                </w:p>
              </w:tc>
              <w:tc>
                <w:tcPr>
                  <w:tcW w:w="679" w:type="pct"/>
                  <w:shd w:val="clear" w:color="auto" w:fill="auto"/>
                  <w:vAlign w:val="center"/>
                </w:tcPr>
                <w:p w14:paraId="212F6182">
                  <w:pPr>
                    <w:widowControl/>
                    <w:adjustRightInd w:val="0"/>
                    <w:snapToGrid w:val="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Cs w:val="21"/>
                      <w:highlight w:val="none"/>
                      <w:lang w:val="en-US" w:eastAsia="zh-CN"/>
                    </w:rPr>
                    <w:t>300</w:t>
                  </w:r>
                </w:p>
              </w:tc>
              <w:tc>
                <w:tcPr>
                  <w:tcW w:w="401" w:type="pct"/>
                  <w:shd w:val="clear" w:color="auto" w:fill="auto"/>
                  <w:vAlign w:val="center"/>
                </w:tcPr>
                <w:p w14:paraId="0356D36A">
                  <w:pPr>
                    <w:widowControl/>
                    <w:adjustRightInd w:val="0"/>
                    <w:snapToGrid w:val="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Cs w:val="21"/>
                      <w:highlight w:val="none"/>
                    </w:rPr>
                    <w:t>达标</w:t>
                  </w:r>
                </w:p>
              </w:tc>
              <w:tc>
                <w:tcPr>
                  <w:tcW w:w="520" w:type="pct"/>
                  <w:vMerge w:val="continue"/>
                  <w:vAlign w:val="center"/>
                </w:tcPr>
                <w:p w14:paraId="717A01CE">
                  <w:pPr>
                    <w:widowControl/>
                    <w:adjustRightInd w:val="0"/>
                    <w:snapToGrid w:val="0"/>
                    <w:jc w:val="center"/>
                    <w:textAlignment w:val="center"/>
                    <w:rPr>
                      <w:rFonts w:hint="default" w:ascii="Times New Roman" w:hAnsi="Times New Roman" w:cs="Times New Roman"/>
                      <w:bCs/>
                      <w:color w:val="auto"/>
                      <w:szCs w:val="21"/>
                      <w:highlight w:val="none"/>
                    </w:rPr>
                  </w:pPr>
                </w:p>
              </w:tc>
            </w:tr>
            <w:tr w14:paraId="6C93C6C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410" w:type="pct"/>
                  <w:vAlign w:val="center"/>
                </w:tcPr>
                <w:p w14:paraId="792299D4">
                  <w:pPr>
                    <w:adjustRightInd w:val="0"/>
                    <w:snapToGrid w:val="0"/>
                    <w:jc w:val="center"/>
                    <w:rPr>
                      <w:rFonts w:hAnsi="宋体"/>
                      <w:bCs/>
                      <w:color w:val="auto"/>
                      <w:szCs w:val="21"/>
                      <w:highlight w:val="none"/>
                    </w:rPr>
                  </w:pPr>
                  <w:r>
                    <w:rPr>
                      <w:rFonts w:hint="eastAsia" w:hAnsi="宋体"/>
                      <w:bCs/>
                      <w:color w:val="auto"/>
                      <w:szCs w:val="21"/>
                      <w:highlight w:val="none"/>
                    </w:rPr>
                    <w:t>重型</w:t>
                  </w:r>
                  <w:r>
                    <w:rPr>
                      <w:rFonts w:hAnsi="宋体"/>
                      <w:bCs/>
                      <w:color w:val="auto"/>
                      <w:szCs w:val="21"/>
                      <w:highlight w:val="none"/>
                    </w:rPr>
                    <w:t>车间</w:t>
                  </w:r>
                </w:p>
              </w:tc>
              <w:tc>
                <w:tcPr>
                  <w:tcW w:w="632" w:type="pct"/>
                  <w:vAlign w:val="center"/>
                </w:tcPr>
                <w:p w14:paraId="0340B8EA">
                  <w:pPr>
                    <w:adjustRightInd w:val="0"/>
                    <w:snapToGrid w:val="0"/>
                    <w:jc w:val="center"/>
                    <w:rPr>
                      <w:rFonts w:hAnsi="宋体"/>
                      <w:bCs/>
                      <w:color w:val="auto"/>
                      <w:szCs w:val="21"/>
                      <w:highlight w:val="none"/>
                    </w:rPr>
                  </w:pPr>
                  <w:r>
                    <w:rPr>
                      <w:rFonts w:hint="eastAsia" w:hAnsi="宋体"/>
                      <w:bCs/>
                      <w:color w:val="auto"/>
                      <w:szCs w:val="21"/>
                      <w:highlight w:val="none"/>
                    </w:rPr>
                    <w:t>抛丸工序</w:t>
                  </w:r>
                </w:p>
              </w:tc>
              <w:tc>
                <w:tcPr>
                  <w:tcW w:w="530" w:type="pct"/>
                  <w:vAlign w:val="center"/>
                </w:tcPr>
                <w:p w14:paraId="3477D7C4">
                  <w:pPr>
                    <w:adjustRightInd w:val="0"/>
                    <w:snapToGrid w:val="0"/>
                    <w:jc w:val="center"/>
                    <w:rPr>
                      <w:rFonts w:hAnsi="宋体"/>
                      <w:bCs/>
                      <w:color w:val="auto"/>
                      <w:szCs w:val="21"/>
                      <w:highlight w:val="none"/>
                    </w:rPr>
                  </w:pPr>
                  <w:r>
                    <w:rPr>
                      <w:rFonts w:hint="eastAsia" w:hAnsi="宋体"/>
                      <w:bCs/>
                      <w:color w:val="auto"/>
                      <w:szCs w:val="21"/>
                      <w:highlight w:val="none"/>
                    </w:rPr>
                    <w:t>颗粒物</w:t>
                  </w:r>
                </w:p>
              </w:tc>
              <w:tc>
                <w:tcPr>
                  <w:tcW w:w="526" w:type="pct"/>
                  <w:vAlign w:val="center"/>
                </w:tcPr>
                <w:p w14:paraId="5D533E70">
                  <w:pPr>
                    <w:widowControl/>
                    <w:adjustRightInd w:val="0"/>
                    <w:snapToGrid w:val="0"/>
                    <w:jc w:val="center"/>
                    <w:textAlignment w:val="center"/>
                    <w:rPr>
                      <w:rFonts w:hint="default" w:hAnsi="宋体" w:eastAsia="宋体"/>
                      <w:bCs/>
                      <w:color w:val="auto"/>
                      <w:szCs w:val="21"/>
                      <w:highlight w:val="none"/>
                      <w:lang w:val="en-US" w:eastAsia="zh-CN"/>
                    </w:rPr>
                  </w:pPr>
                  <w:r>
                    <w:rPr>
                      <w:rFonts w:hint="eastAsia" w:hAnsi="宋体"/>
                      <w:bCs/>
                      <w:color w:val="auto"/>
                      <w:szCs w:val="21"/>
                      <w:highlight w:val="none"/>
                      <w:lang w:val="en-US" w:eastAsia="zh-CN"/>
                    </w:rPr>
                    <w:t>0.036</w:t>
                  </w:r>
                </w:p>
              </w:tc>
              <w:tc>
                <w:tcPr>
                  <w:tcW w:w="628" w:type="pct"/>
                  <w:vAlign w:val="center"/>
                </w:tcPr>
                <w:p w14:paraId="466CF567">
                  <w:pPr>
                    <w:widowControl/>
                    <w:adjustRightInd w:val="0"/>
                    <w:snapToGrid w:val="0"/>
                    <w:jc w:val="center"/>
                    <w:textAlignment w:val="center"/>
                    <w:rPr>
                      <w:rFonts w:hint="default" w:hAnsi="宋体" w:eastAsia="宋体"/>
                      <w:bCs/>
                      <w:color w:val="auto"/>
                      <w:szCs w:val="21"/>
                      <w:highlight w:val="none"/>
                      <w:lang w:val="en-US" w:eastAsia="zh-CN"/>
                    </w:rPr>
                  </w:pPr>
                  <w:r>
                    <w:rPr>
                      <w:rFonts w:hint="eastAsia" w:hAnsi="宋体"/>
                      <w:bCs/>
                      <w:color w:val="auto"/>
                      <w:szCs w:val="21"/>
                      <w:highlight w:val="none"/>
                      <w:lang w:val="en-US" w:eastAsia="zh-CN"/>
                    </w:rPr>
                    <w:t>0.040</w:t>
                  </w:r>
                </w:p>
              </w:tc>
              <w:tc>
                <w:tcPr>
                  <w:tcW w:w="671" w:type="pct"/>
                  <w:vAlign w:val="center"/>
                </w:tcPr>
                <w:p w14:paraId="66697B18">
                  <w:pPr>
                    <w:widowControl/>
                    <w:adjustRightInd w:val="0"/>
                    <w:snapToGrid w:val="0"/>
                    <w:jc w:val="center"/>
                    <w:textAlignment w:val="center"/>
                    <w:rPr>
                      <w:rFonts w:hint="default" w:hAnsi="宋体" w:eastAsia="宋体"/>
                      <w:bCs/>
                      <w:color w:val="auto"/>
                      <w:szCs w:val="21"/>
                      <w:highlight w:val="none"/>
                      <w:lang w:val="en-US" w:eastAsia="zh-CN"/>
                    </w:rPr>
                  </w:pPr>
                  <w:r>
                    <w:rPr>
                      <w:rFonts w:hint="eastAsia" w:hAnsi="宋体"/>
                      <w:bCs/>
                      <w:color w:val="auto"/>
                      <w:szCs w:val="21"/>
                      <w:highlight w:val="none"/>
                      <w:lang w:val="en-US" w:eastAsia="zh-CN"/>
                    </w:rPr>
                    <w:t>1.6</w:t>
                  </w:r>
                </w:p>
              </w:tc>
              <w:tc>
                <w:tcPr>
                  <w:tcW w:w="679" w:type="pct"/>
                  <w:vAlign w:val="center"/>
                </w:tcPr>
                <w:p w14:paraId="2C0229CF">
                  <w:pPr>
                    <w:widowControl/>
                    <w:adjustRightInd w:val="0"/>
                    <w:snapToGrid w:val="0"/>
                    <w:jc w:val="center"/>
                    <w:textAlignment w:val="center"/>
                    <w:rPr>
                      <w:rFonts w:hAnsi="宋体"/>
                      <w:bCs/>
                      <w:color w:val="auto"/>
                      <w:szCs w:val="21"/>
                      <w:highlight w:val="none"/>
                    </w:rPr>
                  </w:pPr>
                  <w:r>
                    <w:rPr>
                      <w:rFonts w:hint="eastAsia" w:hAnsi="宋体"/>
                      <w:bCs/>
                      <w:color w:val="auto"/>
                      <w:szCs w:val="21"/>
                      <w:highlight w:val="none"/>
                    </w:rPr>
                    <w:t>10</w:t>
                  </w:r>
                </w:p>
              </w:tc>
              <w:tc>
                <w:tcPr>
                  <w:tcW w:w="401" w:type="pct"/>
                  <w:vAlign w:val="center"/>
                </w:tcPr>
                <w:p w14:paraId="50681091">
                  <w:pPr>
                    <w:widowControl/>
                    <w:adjustRightInd w:val="0"/>
                    <w:snapToGrid w:val="0"/>
                    <w:jc w:val="center"/>
                    <w:textAlignment w:val="center"/>
                    <w:rPr>
                      <w:rFonts w:hAnsi="宋体"/>
                      <w:bCs/>
                      <w:color w:val="auto"/>
                      <w:szCs w:val="21"/>
                      <w:highlight w:val="none"/>
                    </w:rPr>
                  </w:pPr>
                  <w:r>
                    <w:rPr>
                      <w:rFonts w:hAnsi="宋体"/>
                      <w:bCs/>
                      <w:color w:val="auto"/>
                      <w:szCs w:val="21"/>
                      <w:highlight w:val="none"/>
                    </w:rPr>
                    <w:t>达标</w:t>
                  </w:r>
                </w:p>
              </w:tc>
              <w:tc>
                <w:tcPr>
                  <w:tcW w:w="520" w:type="pct"/>
                  <w:vAlign w:val="center"/>
                </w:tcPr>
                <w:p w14:paraId="4908CC19">
                  <w:pPr>
                    <w:widowControl/>
                    <w:adjustRightInd w:val="0"/>
                    <w:snapToGrid w:val="0"/>
                    <w:jc w:val="center"/>
                    <w:textAlignment w:val="center"/>
                    <w:rPr>
                      <w:rFonts w:hAnsi="宋体"/>
                      <w:bCs/>
                      <w:color w:val="auto"/>
                      <w:szCs w:val="21"/>
                      <w:highlight w:val="none"/>
                    </w:rPr>
                  </w:pPr>
                  <w:r>
                    <w:rPr>
                      <w:rFonts w:hAnsi="宋体"/>
                      <w:bCs/>
                      <w:color w:val="auto"/>
                      <w:szCs w:val="21"/>
                      <w:highlight w:val="none"/>
                    </w:rPr>
                    <w:t>DA004</w:t>
                  </w:r>
                </w:p>
              </w:tc>
            </w:tr>
          </w:tbl>
          <w:p w14:paraId="434568FC">
            <w:pPr>
              <w:pStyle w:val="116"/>
              <w:ind w:firstLine="420"/>
              <w:rPr>
                <w:color w:val="auto"/>
                <w:highlight w:val="none"/>
              </w:rPr>
            </w:pPr>
            <w:r>
              <w:rPr>
                <w:rFonts w:hint="eastAsia"/>
                <w:color w:val="auto"/>
                <w:highlight w:val="none"/>
              </w:rPr>
              <w:t>本项目废气无组织排放情况见</w:t>
            </w:r>
            <w:r>
              <w:rPr>
                <w:color w:val="auto"/>
                <w:highlight w:val="none"/>
              </w:rPr>
              <w:fldChar w:fldCharType="begin"/>
            </w:r>
            <w:r>
              <w:rPr>
                <w:color w:val="auto"/>
                <w:highlight w:val="none"/>
              </w:rPr>
              <w:instrText xml:space="preserve"> REF _Ref131411580 \h  \* MERGEFORMAT </w:instrText>
            </w:r>
            <w:r>
              <w:rPr>
                <w:color w:val="auto"/>
                <w:highlight w:val="none"/>
              </w:rPr>
              <w:fldChar w:fldCharType="separate"/>
            </w:r>
            <w:r>
              <w:rPr>
                <w:rFonts w:hint="eastAsia"/>
                <w:color w:val="auto"/>
                <w:highlight w:val="none"/>
              </w:rPr>
              <w:t>表4</w:t>
            </w:r>
            <w:r>
              <w:rPr>
                <w:rFonts w:hint="eastAsia"/>
                <w:color w:val="auto"/>
                <w:highlight w:val="none"/>
                <w:lang w:eastAsia="zh-CN"/>
              </w:rPr>
              <w:t>-</w:t>
            </w:r>
            <w:r>
              <w:rPr>
                <w:color w:val="auto"/>
                <w:highlight w:val="none"/>
              </w:rPr>
              <w:t>5</w:t>
            </w:r>
            <w:r>
              <w:rPr>
                <w:color w:val="auto"/>
                <w:highlight w:val="none"/>
              </w:rPr>
              <w:fldChar w:fldCharType="end"/>
            </w:r>
            <w:r>
              <w:rPr>
                <w:rFonts w:hint="eastAsia"/>
                <w:color w:val="auto"/>
                <w:highlight w:val="none"/>
              </w:rPr>
              <w:t>。</w:t>
            </w:r>
          </w:p>
          <w:p w14:paraId="05AA0CFA">
            <w:pPr>
              <w:pStyle w:val="10"/>
              <w:rPr>
                <w:color w:val="auto"/>
                <w:highlight w:val="none"/>
              </w:rPr>
            </w:pPr>
            <w:bookmarkStart w:id="24" w:name="_Ref131411580"/>
            <w:r>
              <w:rPr>
                <w:rFonts w:hint="eastAsia"/>
                <w:color w:val="auto"/>
                <w:highlight w:val="none"/>
              </w:rPr>
              <w:t>表4</w:t>
            </w:r>
            <w:r>
              <w:rPr>
                <w:rFonts w:hint="eastAsia"/>
                <w:color w:val="auto"/>
                <w:highlight w:val="none"/>
                <w:lang w:eastAsia="zh-CN"/>
              </w:rPr>
              <w:t>-</w:t>
            </w:r>
            <w:r>
              <w:rPr>
                <w:color w:val="auto"/>
                <w:highlight w:val="none"/>
              </w:rPr>
              <w:fldChar w:fldCharType="begin"/>
            </w:r>
            <w:r>
              <w:rPr>
                <w:color w:val="auto"/>
                <w:highlight w:val="none"/>
              </w:rPr>
              <w:instrText xml:space="preserve"> </w:instrText>
            </w:r>
            <w:r>
              <w:rPr>
                <w:rFonts w:hint="eastAsia"/>
                <w:color w:val="auto"/>
                <w:highlight w:val="none"/>
              </w:rPr>
              <w:instrText xml:space="preserve">SEQ 表4- \* ARABIC</w:instrText>
            </w:r>
            <w:r>
              <w:rPr>
                <w:color w:val="auto"/>
                <w:highlight w:val="none"/>
              </w:rPr>
              <w:instrText xml:space="preserve"> </w:instrText>
            </w:r>
            <w:r>
              <w:rPr>
                <w:color w:val="auto"/>
                <w:highlight w:val="none"/>
              </w:rPr>
              <w:fldChar w:fldCharType="separate"/>
            </w:r>
            <w:r>
              <w:rPr>
                <w:color w:val="auto"/>
                <w:highlight w:val="none"/>
              </w:rPr>
              <w:t>5</w:t>
            </w:r>
            <w:r>
              <w:rPr>
                <w:color w:val="auto"/>
                <w:highlight w:val="none"/>
              </w:rPr>
              <w:fldChar w:fldCharType="end"/>
            </w:r>
            <w:bookmarkEnd w:id="24"/>
            <w:r>
              <w:rPr>
                <w:rFonts w:hint="eastAsia"/>
                <w:color w:val="auto"/>
                <w:highlight w:val="none"/>
              </w:rPr>
              <w:t xml:space="preserve"> 本项目废气无组织排放情况一览表</w:t>
            </w:r>
          </w:p>
          <w:tbl>
            <w:tblPr>
              <w:tblStyle w:val="33"/>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34"/>
              <w:gridCol w:w="2256"/>
              <w:gridCol w:w="996"/>
              <w:gridCol w:w="1622"/>
              <w:gridCol w:w="1817"/>
            </w:tblGrid>
            <w:tr w14:paraId="2043AB5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31" w:type="pct"/>
                  <w:vAlign w:val="center"/>
                </w:tcPr>
                <w:p w14:paraId="3EF21471">
                  <w:pPr>
                    <w:widowControl/>
                    <w:adjustRightInd w:val="0"/>
                    <w:snapToGrid w:val="0"/>
                    <w:jc w:val="center"/>
                    <w:textAlignment w:val="center"/>
                    <w:rPr>
                      <w:rFonts w:hAnsi="宋体"/>
                      <w:bCs/>
                      <w:color w:val="auto"/>
                      <w:szCs w:val="21"/>
                      <w:highlight w:val="none"/>
                    </w:rPr>
                  </w:pPr>
                  <w:r>
                    <w:rPr>
                      <w:rFonts w:hint="eastAsia" w:hAnsi="宋体"/>
                      <w:bCs/>
                      <w:color w:val="auto"/>
                      <w:szCs w:val="21"/>
                      <w:highlight w:val="none"/>
                    </w:rPr>
                    <w:t>污染源名称</w:t>
                  </w:r>
                </w:p>
              </w:tc>
              <w:tc>
                <w:tcPr>
                  <w:tcW w:w="1405" w:type="pct"/>
                  <w:vAlign w:val="center"/>
                </w:tcPr>
                <w:p w14:paraId="37BE77C1">
                  <w:pPr>
                    <w:widowControl/>
                    <w:adjustRightInd w:val="0"/>
                    <w:snapToGrid w:val="0"/>
                    <w:jc w:val="center"/>
                    <w:textAlignment w:val="center"/>
                    <w:rPr>
                      <w:rFonts w:hAnsi="宋体"/>
                      <w:bCs/>
                      <w:color w:val="auto"/>
                      <w:szCs w:val="21"/>
                      <w:highlight w:val="none"/>
                    </w:rPr>
                  </w:pPr>
                  <w:r>
                    <w:rPr>
                      <w:rFonts w:hAnsi="宋体"/>
                      <w:bCs/>
                      <w:color w:val="auto"/>
                      <w:szCs w:val="21"/>
                      <w:highlight w:val="none"/>
                    </w:rPr>
                    <w:t>产污工序</w:t>
                  </w:r>
                </w:p>
              </w:tc>
              <w:tc>
                <w:tcPr>
                  <w:tcW w:w="620" w:type="pct"/>
                  <w:vAlign w:val="center"/>
                </w:tcPr>
                <w:p w14:paraId="57B84001">
                  <w:pPr>
                    <w:widowControl/>
                    <w:adjustRightInd w:val="0"/>
                    <w:snapToGrid w:val="0"/>
                    <w:jc w:val="center"/>
                    <w:textAlignment w:val="center"/>
                    <w:rPr>
                      <w:rFonts w:hAnsi="宋体"/>
                      <w:bCs/>
                      <w:color w:val="auto"/>
                      <w:szCs w:val="21"/>
                      <w:highlight w:val="none"/>
                    </w:rPr>
                  </w:pPr>
                  <w:r>
                    <w:rPr>
                      <w:rFonts w:hAnsi="宋体"/>
                      <w:bCs/>
                      <w:color w:val="auto"/>
                      <w:szCs w:val="21"/>
                      <w:highlight w:val="none"/>
                    </w:rPr>
                    <w:t>污染物</w:t>
                  </w:r>
                </w:p>
              </w:tc>
              <w:tc>
                <w:tcPr>
                  <w:tcW w:w="1010" w:type="pct"/>
                  <w:vAlign w:val="center"/>
                </w:tcPr>
                <w:p w14:paraId="6969EB45">
                  <w:pPr>
                    <w:widowControl/>
                    <w:adjustRightInd w:val="0"/>
                    <w:snapToGrid w:val="0"/>
                    <w:jc w:val="center"/>
                    <w:textAlignment w:val="center"/>
                    <w:rPr>
                      <w:rFonts w:hAnsi="宋体"/>
                      <w:bCs/>
                      <w:color w:val="auto"/>
                      <w:szCs w:val="21"/>
                      <w:highlight w:val="none"/>
                    </w:rPr>
                  </w:pPr>
                  <w:r>
                    <w:rPr>
                      <w:rFonts w:hAnsi="宋体"/>
                      <w:bCs/>
                      <w:color w:val="auto"/>
                      <w:szCs w:val="21"/>
                      <w:highlight w:val="none"/>
                    </w:rPr>
                    <w:t>排放量</w:t>
                  </w:r>
                  <w:r>
                    <w:rPr>
                      <w:rFonts w:hint="eastAsia" w:hAnsi="宋体"/>
                      <w:bCs/>
                      <w:color w:val="auto"/>
                      <w:szCs w:val="21"/>
                      <w:highlight w:val="none"/>
                    </w:rPr>
                    <w:t>/</w:t>
                  </w:r>
                  <w:r>
                    <w:rPr>
                      <w:rFonts w:hAnsi="宋体"/>
                      <w:bCs/>
                      <w:color w:val="auto"/>
                      <w:szCs w:val="21"/>
                      <w:highlight w:val="none"/>
                    </w:rPr>
                    <w:t>（t/a）</w:t>
                  </w:r>
                </w:p>
              </w:tc>
              <w:tc>
                <w:tcPr>
                  <w:tcW w:w="1132" w:type="pct"/>
                  <w:vAlign w:val="center"/>
                </w:tcPr>
                <w:p w14:paraId="0516E6F4">
                  <w:pPr>
                    <w:widowControl/>
                    <w:adjustRightInd w:val="0"/>
                    <w:snapToGrid w:val="0"/>
                    <w:jc w:val="center"/>
                    <w:textAlignment w:val="center"/>
                    <w:rPr>
                      <w:rFonts w:hAnsi="宋体"/>
                      <w:bCs/>
                      <w:color w:val="auto"/>
                      <w:szCs w:val="21"/>
                      <w:highlight w:val="none"/>
                    </w:rPr>
                  </w:pPr>
                  <w:r>
                    <w:rPr>
                      <w:rFonts w:hAnsi="宋体"/>
                      <w:bCs/>
                      <w:color w:val="auto"/>
                      <w:szCs w:val="21"/>
                      <w:highlight w:val="none"/>
                    </w:rPr>
                    <w:t>排放速率</w:t>
                  </w:r>
                  <w:r>
                    <w:rPr>
                      <w:rFonts w:hint="eastAsia" w:hAnsi="宋体"/>
                      <w:bCs/>
                      <w:color w:val="auto"/>
                      <w:szCs w:val="21"/>
                      <w:highlight w:val="none"/>
                    </w:rPr>
                    <w:t>/（kg/h）</w:t>
                  </w:r>
                </w:p>
              </w:tc>
            </w:tr>
            <w:tr w14:paraId="79F19EC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1" w:type="pct"/>
                  <w:vAlign w:val="center"/>
                </w:tcPr>
                <w:p w14:paraId="17760EF6">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重型车间</w:t>
                  </w:r>
                </w:p>
              </w:tc>
              <w:tc>
                <w:tcPr>
                  <w:tcW w:w="1405" w:type="pct"/>
                  <w:vAlign w:val="center"/>
                </w:tcPr>
                <w:p w14:paraId="7121DDE5">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抛丸工序未收集废气</w:t>
                  </w:r>
                </w:p>
              </w:tc>
              <w:tc>
                <w:tcPr>
                  <w:tcW w:w="620" w:type="pct"/>
                  <w:vAlign w:val="center"/>
                </w:tcPr>
                <w:p w14:paraId="73781EB2">
                  <w:pPr>
                    <w:adjustRightInd w:val="0"/>
                    <w:snapToGrid w:val="0"/>
                    <w:jc w:val="center"/>
                    <w:rPr>
                      <w:rFonts w:hAnsi="宋体"/>
                      <w:bCs/>
                      <w:color w:val="auto"/>
                      <w:szCs w:val="21"/>
                      <w:highlight w:val="none"/>
                    </w:rPr>
                  </w:pPr>
                  <w:r>
                    <w:rPr>
                      <w:rFonts w:hint="eastAsia" w:hAnsi="宋体"/>
                      <w:bCs/>
                      <w:color w:val="auto"/>
                      <w:szCs w:val="21"/>
                      <w:highlight w:val="none"/>
                    </w:rPr>
                    <w:t>颗粒物</w:t>
                  </w:r>
                </w:p>
              </w:tc>
              <w:tc>
                <w:tcPr>
                  <w:tcW w:w="1010" w:type="pct"/>
                  <w:vAlign w:val="center"/>
                </w:tcPr>
                <w:p w14:paraId="4092D537">
                  <w:pPr>
                    <w:widowControl/>
                    <w:adjustRightInd w:val="0"/>
                    <w:snapToGrid w:val="0"/>
                    <w:jc w:val="center"/>
                    <w:textAlignment w:val="center"/>
                    <w:rPr>
                      <w:rFonts w:hint="default" w:hAnsi="宋体" w:eastAsia="宋体"/>
                      <w:bCs/>
                      <w:color w:val="auto"/>
                      <w:szCs w:val="21"/>
                      <w:highlight w:val="none"/>
                      <w:lang w:val="en-US" w:eastAsia="zh-CN"/>
                    </w:rPr>
                  </w:pPr>
                  <w:r>
                    <w:rPr>
                      <w:rFonts w:hint="eastAsia" w:hAnsi="宋体"/>
                      <w:bCs/>
                      <w:color w:val="auto"/>
                      <w:szCs w:val="21"/>
                      <w:highlight w:val="none"/>
                      <w:lang w:val="en-US" w:eastAsia="zh-CN"/>
                    </w:rPr>
                    <w:t>0.364</w:t>
                  </w:r>
                </w:p>
              </w:tc>
              <w:tc>
                <w:tcPr>
                  <w:tcW w:w="1132" w:type="pct"/>
                  <w:vAlign w:val="center"/>
                </w:tcPr>
                <w:p w14:paraId="38F109F1">
                  <w:pPr>
                    <w:widowControl/>
                    <w:adjustRightInd w:val="0"/>
                    <w:snapToGrid w:val="0"/>
                    <w:jc w:val="center"/>
                    <w:textAlignment w:val="center"/>
                    <w:rPr>
                      <w:rFonts w:hint="default" w:hAnsi="宋体" w:eastAsia="宋体"/>
                      <w:bCs/>
                      <w:color w:val="auto"/>
                      <w:szCs w:val="21"/>
                      <w:highlight w:val="none"/>
                      <w:lang w:val="en-US" w:eastAsia="zh-CN"/>
                    </w:rPr>
                  </w:pPr>
                  <w:r>
                    <w:rPr>
                      <w:rFonts w:hint="eastAsia" w:hAnsi="宋体"/>
                      <w:bCs/>
                      <w:color w:val="auto"/>
                      <w:szCs w:val="21"/>
                      <w:highlight w:val="none"/>
                      <w:lang w:val="en-US" w:eastAsia="zh-CN"/>
                    </w:rPr>
                    <w:t>0.404</w:t>
                  </w:r>
                </w:p>
              </w:tc>
            </w:tr>
          </w:tbl>
          <w:p w14:paraId="439498FF">
            <w:pPr>
              <w:pStyle w:val="119"/>
              <w:rPr>
                <w:color w:val="auto"/>
              </w:rPr>
            </w:pPr>
            <w:r>
              <w:rPr>
                <w:rFonts w:hint="eastAsia"/>
                <w:color w:val="auto"/>
              </w:rPr>
              <w:t>1</w:t>
            </w:r>
            <w:r>
              <w:rPr>
                <w:color w:val="auto"/>
              </w:rPr>
              <w:t>.</w:t>
            </w:r>
            <w:r>
              <w:rPr>
                <w:rFonts w:hint="eastAsia"/>
                <w:color w:val="auto"/>
              </w:rPr>
              <w:t>4源强核算过程</w:t>
            </w:r>
          </w:p>
          <w:p w14:paraId="42E851B7">
            <w:pPr>
              <w:pStyle w:val="119"/>
              <w:rPr>
                <w:color w:val="auto"/>
              </w:rPr>
            </w:pPr>
            <w:r>
              <w:rPr>
                <w:rFonts w:hint="eastAsia"/>
                <w:color w:val="auto"/>
              </w:rPr>
              <w:t>1.4.1有组织废气</w:t>
            </w:r>
          </w:p>
          <w:p w14:paraId="1736EAF6">
            <w:pPr>
              <w:keepNext w:val="0"/>
              <w:keepLines w:val="0"/>
              <w:pageBreakBefore w:val="0"/>
              <w:widowControl/>
              <w:kinsoku/>
              <w:wordWrap/>
              <w:overflowPunct/>
              <w:topLinePunct w:val="0"/>
              <w:autoSpaceDE/>
              <w:autoSpaceDN/>
              <w:bidi w:val="0"/>
              <w:adjustRightInd/>
              <w:snapToGrid/>
              <w:spacing w:line="360" w:lineRule="auto"/>
              <w:ind w:left="0" w:right="0" w:firstLine="408" w:firstLineChars="200"/>
              <w:jc w:val="both"/>
              <w:textAlignment w:val="auto"/>
              <w:outlineLvl w:val="9"/>
              <w:rPr>
                <w:rFonts w:hint="default" w:ascii="Times New Roman" w:hAnsi="Times New Roman" w:eastAsia="宋体" w:cs="Times New Roman"/>
                <w:color w:val="auto"/>
                <w:spacing w:val="-3"/>
                <w:sz w:val="21"/>
                <w:szCs w:val="21"/>
                <w:highlight w:val="none"/>
                <w:lang w:val="en-US" w:eastAsia="zh-CN"/>
              </w:rPr>
            </w:pPr>
            <w:r>
              <w:rPr>
                <w:rFonts w:hint="eastAsia" w:ascii="Times New Roman" w:hAnsi="Times New Roman" w:eastAsia="宋体" w:cs="Times New Roman"/>
                <w:color w:val="auto"/>
                <w:spacing w:val="-3"/>
                <w:sz w:val="21"/>
                <w:szCs w:val="21"/>
                <w:highlight w:val="none"/>
                <w:lang w:eastAsia="zh-CN"/>
              </w:rPr>
              <w:t>（</w:t>
            </w:r>
            <w:r>
              <w:rPr>
                <w:rFonts w:hint="eastAsia" w:ascii="Times New Roman" w:hAnsi="Times New Roman" w:eastAsia="宋体" w:cs="Times New Roman"/>
                <w:color w:val="auto"/>
                <w:spacing w:val="-3"/>
                <w:sz w:val="21"/>
                <w:szCs w:val="21"/>
                <w:highlight w:val="none"/>
                <w:lang w:val="en-US" w:eastAsia="zh-CN"/>
              </w:rPr>
              <w:t>1</w:t>
            </w:r>
            <w:r>
              <w:rPr>
                <w:rFonts w:hint="eastAsia" w:ascii="Times New Roman" w:hAnsi="Times New Roman" w:eastAsia="宋体" w:cs="Times New Roman"/>
                <w:color w:val="auto"/>
                <w:spacing w:val="-3"/>
                <w:sz w:val="21"/>
                <w:szCs w:val="21"/>
                <w:highlight w:val="none"/>
                <w:lang w:eastAsia="zh-CN"/>
              </w:rPr>
              <w:t>）</w:t>
            </w:r>
            <w:r>
              <w:rPr>
                <w:rFonts w:hint="eastAsia" w:ascii="Times New Roman" w:hAnsi="Times New Roman" w:eastAsia="宋体" w:cs="Times New Roman"/>
                <w:color w:val="auto"/>
                <w:spacing w:val="-3"/>
                <w:sz w:val="21"/>
                <w:szCs w:val="21"/>
                <w:highlight w:val="none"/>
                <w:lang w:val="en-US" w:eastAsia="zh-CN"/>
              </w:rPr>
              <w:t>燃气炉废气</w:t>
            </w:r>
          </w:p>
          <w:p w14:paraId="623FB3F2">
            <w:pPr>
              <w:keepNext w:val="0"/>
              <w:keepLines w:val="0"/>
              <w:pageBreakBefore w:val="0"/>
              <w:kinsoku/>
              <w:wordWrap/>
              <w:overflowPunct/>
              <w:topLinePunct w:val="0"/>
              <w:autoSpaceDE/>
              <w:autoSpaceDN/>
              <w:bidi w:val="0"/>
              <w:spacing w:line="360" w:lineRule="auto"/>
              <w:ind w:left="0" w:right="0" w:firstLine="420" w:firstLineChars="200"/>
              <w:textAlignment w:val="auto"/>
              <w:rPr>
                <w:rFonts w:hint="eastAsia" w:ascii="Times New Roman" w:hAnsi="Times New Roman" w:eastAsia="宋体" w:cs="Times New Roman"/>
                <w:color w:val="auto"/>
                <w:spacing w:val="-2"/>
                <w:sz w:val="21"/>
                <w:szCs w:val="21"/>
                <w:highlight w:val="none"/>
                <w:lang w:eastAsia="zh-CN"/>
              </w:rPr>
            </w:pPr>
            <w:r>
              <w:rPr>
                <w:rFonts w:hint="eastAsia"/>
                <w:color w:val="auto"/>
                <w:highlight w:val="none"/>
              </w:rPr>
              <w:t>本项目</w:t>
            </w:r>
            <w:r>
              <w:rPr>
                <w:rFonts w:hint="eastAsia" w:ascii="Times New Roman" w:hAnsi="Times New Roman" w:eastAsia="宋体" w:cs="Times New Roman"/>
                <w:color w:val="auto"/>
                <w:spacing w:val="-3"/>
                <w:sz w:val="21"/>
                <w:szCs w:val="21"/>
                <w:highlight w:val="none"/>
                <w:lang w:val="en-US" w:eastAsia="zh-CN"/>
              </w:rPr>
              <w:t>燃气炉</w:t>
            </w:r>
            <w:r>
              <w:rPr>
                <w:rFonts w:hint="eastAsia"/>
                <w:color w:val="auto"/>
                <w:highlight w:val="none"/>
              </w:rPr>
              <w:t>废气主要为</w:t>
            </w:r>
            <w:r>
              <w:rPr>
                <w:rFonts w:hint="default" w:ascii="Times New Roman" w:hAnsi="Times New Roman" w:cs="Times New Roman"/>
                <w:color w:val="auto"/>
                <w:spacing w:val="-2"/>
                <w:sz w:val="21"/>
                <w:szCs w:val="21"/>
                <w:highlight w:val="none"/>
              </w:rPr>
              <w:t>钢球生产</w:t>
            </w:r>
            <w:r>
              <w:rPr>
                <w:rFonts w:hint="eastAsia" w:ascii="Times New Roman" w:hAnsi="Times New Roman" w:cs="Times New Roman"/>
                <w:color w:val="auto"/>
                <w:spacing w:val="-2"/>
                <w:sz w:val="21"/>
                <w:szCs w:val="21"/>
                <w:highlight w:val="none"/>
                <w:lang w:val="en-US" w:eastAsia="zh-CN"/>
              </w:rPr>
              <w:t>线</w:t>
            </w:r>
            <w:r>
              <w:rPr>
                <w:rFonts w:hint="eastAsia" w:ascii="Times New Roman" w:hAnsi="Times New Roman" w:eastAsia="宋体" w:cs="Times New Roman"/>
                <w:color w:val="auto"/>
                <w:spacing w:val="-3"/>
                <w:sz w:val="21"/>
                <w:szCs w:val="21"/>
                <w:highlight w:val="none"/>
                <w:lang w:val="en-US" w:eastAsia="zh-CN"/>
              </w:rPr>
              <w:t>燃气回火炉、燃气环形炉，</w:t>
            </w:r>
            <w:r>
              <w:rPr>
                <w:rFonts w:hint="default" w:ascii="Times New Roman" w:hAnsi="Times New Roman" w:cs="Times New Roman"/>
                <w:color w:val="auto"/>
                <w:spacing w:val="-2"/>
                <w:sz w:val="21"/>
                <w:szCs w:val="21"/>
                <w:highlight w:val="none"/>
              </w:rPr>
              <w:t>自由锻</w:t>
            </w:r>
            <w:r>
              <w:rPr>
                <w:rFonts w:hint="eastAsia" w:ascii="Times New Roman" w:hAnsi="Times New Roman" w:cs="Times New Roman"/>
                <w:color w:val="auto"/>
                <w:spacing w:val="-2"/>
                <w:sz w:val="21"/>
                <w:szCs w:val="21"/>
                <w:highlight w:val="none"/>
                <w:lang w:val="en-US" w:eastAsia="zh-CN"/>
              </w:rPr>
              <w:t>生产线</w:t>
            </w:r>
            <w:r>
              <w:rPr>
                <w:rFonts w:hint="eastAsia" w:ascii="Times New Roman" w:hAnsi="Times New Roman" w:eastAsia="宋体" w:cs="Times New Roman"/>
                <w:color w:val="auto"/>
                <w:spacing w:val="-3"/>
                <w:sz w:val="21"/>
                <w:szCs w:val="21"/>
                <w:highlight w:val="none"/>
                <w:lang w:val="en-US" w:eastAsia="zh-CN"/>
              </w:rPr>
              <w:t>燃气加热炉、燃气回火炉，</w:t>
            </w:r>
            <w:r>
              <w:rPr>
                <w:rFonts w:hint="default" w:ascii="Times New Roman" w:hAnsi="Times New Roman" w:eastAsia="宋体" w:cs="Times New Roman"/>
                <w:color w:val="auto"/>
                <w:spacing w:val="-2"/>
                <w:sz w:val="21"/>
                <w:szCs w:val="21"/>
                <w:highlight w:val="none"/>
              </w:rPr>
              <w:t>燃烧</w:t>
            </w:r>
            <w:r>
              <w:rPr>
                <w:rFonts w:hint="default" w:ascii="Times New Roman" w:hAnsi="Times New Roman" w:eastAsia="宋体" w:cs="Times New Roman"/>
                <w:color w:val="auto"/>
                <w:spacing w:val="-2"/>
                <w:sz w:val="21"/>
                <w:szCs w:val="21"/>
                <w:highlight w:val="none"/>
                <w:lang w:val="en-US" w:eastAsia="zh-CN"/>
              </w:rPr>
              <w:t>天然气</w:t>
            </w:r>
            <w:r>
              <w:rPr>
                <w:rFonts w:hint="eastAsia" w:ascii="Times New Roman" w:hAnsi="Times New Roman" w:eastAsia="宋体" w:cs="Times New Roman"/>
                <w:color w:val="auto"/>
                <w:spacing w:val="-2"/>
                <w:sz w:val="21"/>
                <w:szCs w:val="21"/>
                <w:highlight w:val="none"/>
                <w:lang w:val="en-US" w:eastAsia="zh-CN"/>
              </w:rPr>
              <w:t>会</w:t>
            </w:r>
            <w:r>
              <w:rPr>
                <w:rFonts w:hint="default" w:ascii="Times New Roman" w:hAnsi="Times New Roman" w:eastAsia="宋体" w:cs="Times New Roman"/>
                <w:color w:val="auto"/>
                <w:spacing w:val="-3"/>
                <w:sz w:val="21"/>
                <w:szCs w:val="21"/>
                <w:highlight w:val="none"/>
              </w:rPr>
              <w:t>产生废气</w:t>
            </w:r>
            <w:r>
              <w:rPr>
                <w:rFonts w:hint="eastAsia" w:ascii="Times New Roman" w:hAnsi="Times New Roman" w:eastAsia="宋体" w:cs="Times New Roman"/>
                <w:color w:val="auto"/>
                <w:spacing w:val="-1"/>
                <w:sz w:val="21"/>
                <w:szCs w:val="21"/>
                <w:highlight w:val="none"/>
                <w:lang w:eastAsia="zh-CN"/>
              </w:rPr>
              <w:t>，</w:t>
            </w:r>
            <w:r>
              <w:rPr>
                <w:rFonts w:hint="default" w:ascii="Times New Roman" w:hAnsi="Times New Roman" w:cs="Times New Roman"/>
                <w:color w:val="auto"/>
                <w:spacing w:val="-7"/>
                <w:sz w:val="21"/>
                <w:szCs w:val="21"/>
                <w:highlight w:val="none"/>
              </w:rPr>
              <w:t>污染物为颗粒物、</w:t>
            </w:r>
            <w:r>
              <w:rPr>
                <w:rFonts w:hint="default" w:ascii="Times New Roman" w:hAnsi="Times New Roman" w:cs="Times New Roman"/>
                <w:color w:val="auto"/>
                <w:spacing w:val="-2"/>
                <w:sz w:val="21"/>
                <w:szCs w:val="21"/>
                <w:highlight w:val="none"/>
              </w:rPr>
              <w:t>氮氧化物、二氧化硫</w:t>
            </w:r>
            <w:r>
              <w:rPr>
                <w:rFonts w:hint="eastAsia" w:cs="Times New Roman"/>
                <w:color w:val="auto"/>
                <w:spacing w:val="-2"/>
                <w:sz w:val="21"/>
                <w:szCs w:val="21"/>
                <w:highlight w:val="none"/>
                <w:lang w:eastAsia="zh-CN"/>
              </w:rPr>
              <w:t>、</w:t>
            </w:r>
            <w:r>
              <w:rPr>
                <w:rFonts w:hint="eastAsia"/>
                <w:b w:val="0"/>
                <w:bCs w:val="0"/>
                <w:color w:val="auto"/>
                <w:kern w:val="0"/>
                <w:sz w:val="21"/>
                <w:szCs w:val="21"/>
                <w:highlight w:val="none"/>
                <w:lang w:val="en-US" w:eastAsia="zh-CN"/>
              </w:rPr>
              <w:t>烟气黑度</w:t>
            </w:r>
            <w:r>
              <w:rPr>
                <w:rFonts w:hint="default" w:ascii="Times New Roman" w:hAnsi="Times New Roman" w:cs="Times New Roman"/>
                <w:color w:val="auto"/>
                <w:spacing w:val="-2"/>
                <w:sz w:val="21"/>
                <w:szCs w:val="21"/>
                <w:highlight w:val="none"/>
              </w:rPr>
              <w:t>。</w:t>
            </w:r>
            <w:r>
              <w:rPr>
                <w:rFonts w:hint="eastAsia" w:cs="Times New Roman"/>
                <w:color w:val="auto"/>
                <w:spacing w:val="-2"/>
                <w:sz w:val="21"/>
                <w:szCs w:val="21"/>
                <w:highlight w:val="none"/>
                <w:lang w:val="en-US" w:eastAsia="zh-CN"/>
              </w:rPr>
              <w:t>燃气炉</w:t>
            </w:r>
            <w:r>
              <w:rPr>
                <w:rFonts w:hint="default" w:ascii="Times New Roman" w:hAnsi="Times New Roman" w:eastAsia="宋体" w:cs="Times New Roman"/>
                <w:color w:val="auto"/>
                <w:spacing w:val="-5"/>
                <w:sz w:val="21"/>
                <w:szCs w:val="21"/>
                <w:highlight w:val="none"/>
              </w:rPr>
              <w:t>安装低氮燃烧器</w:t>
            </w:r>
            <w:r>
              <w:rPr>
                <w:rFonts w:hint="eastAsia" w:cs="Times New Roman"/>
                <w:color w:val="auto"/>
                <w:spacing w:val="-5"/>
                <w:sz w:val="21"/>
                <w:szCs w:val="21"/>
                <w:highlight w:val="none"/>
                <w:lang w:eastAsia="zh-CN"/>
              </w:rPr>
              <w:t>，</w:t>
            </w:r>
            <w:r>
              <w:rPr>
                <w:rFonts w:hint="default" w:ascii="Times New Roman" w:hAnsi="Times New Roman" w:cs="Times New Roman"/>
                <w:color w:val="auto"/>
                <w:spacing w:val="-8"/>
                <w:sz w:val="21"/>
                <w:szCs w:val="21"/>
                <w:highlight w:val="none"/>
                <w:lang w:val="en-US" w:eastAsia="zh-CN"/>
              </w:rPr>
              <w:t>经1根27m高排气筒</w:t>
            </w:r>
            <w:r>
              <w:rPr>
                <w:rFonts w:hint="default" w:ascii="Times New Roman" w:hAnsi="Times New Roman" w:cs="Times New Roman"/>
                <w:color w:val="auto"/>
                <w:spacing w:val="-2"/>
                <w:sz w:val="21"/>
                <w:szCs w:val="21"/>
                <w:highlight w:val="none"/>
                <w:lang w:eastAsia="zh-CN"/>
              </w:rPr>
              <w:t>（</w:t>
            </w:r>
            <w:r>
              <w:rPr>
                <w:rFonts w:hint="default" w:ascii="Times New Roman" w:hAnsi="Times New Roman" w:cs="Times New Roman"/>
                <w:color w:val="auto"/>
                <w:spacing w:val="-2"/>
                <w:sz w:val="21"/>
                <w:szCs w:val="21"/>
                <w:highlight w:val="none"/>
                <w:lang w:val="en-US" w:eastAsia="zh-CN"/>
              </w:rPr>
              <w:t>DA005</w:t>
            </w:r>
            <w:r>
              <w:rPr>
                <w:rFonts w:hint="eastAsia" w:ascii="Times New Roman" w:hAnsi="Times New Roman" w:cs="Times New Roman"/>
                <w:color w:val="auto"/>
                <w:spacing w:val="-2"/>
                <w:sz w:val="21"/>
                <w:szCs w:val="21"/>
                <w:highlight w:val="none"/>
                <w:lang w:val="en-US" w:eastAsia="zh-CN"/>
              </w:rPr>
              <w:t>、</w:t>
            </w:r>
            <w:r>
              <w:rPr>
                <w:rFonts w:hint="default" w:ascii="Times New Roman" w:hAnsi="Times New Roman" w:cs="Times New Roman"/>
                <w:color w:val="auto"/>
                <w:spacing w:val="-2"/>
                <w:sz w:val="21"/>
                <w:szCs w:val="21"/>
                <w:highlight w:val="none"/>
                <w:lang w:val="en-US" w:eastAsia="zh-CN"/>
              </w:rPr>
              <w:t>DA00</w:t>
            </w:r>
            <w:r>
              <w:rPr>
                <w:rFonts w:hint="eastAsia" w:ascii="Times New Roman" w:hAnsi="Times New Roman" w:cs="Times New Roman"/>
                <w:color w:val="auto"/>
                <w:spacing w:val="-2"/>
                <w:sz w:val="21"/>
                <w:szCs w:val="21"/>
                <w:highlight w:val="none"/>
                <w:lang w:val="en-US" w:eastAsia="zh-CN"/>
              </w:rPr>
              <w:t>6、</w:t>
            </w:r>
            <w:r>
              <w:rPr>
                <w:rFonts w:hint="default" w:ascii="Times New Roman" w:hAnsi="Times New Roman" w:cs="Times New Roman"/>
                <w:color w:val="auto"/>
                <w:spacing w:val="-2"/>
                <w:sz w:val="21"/>
                <w:szCs w:val="21"/>
                <w:highlight w:val="none"/>
                <w:lang w:val="en-US" w:eastAsia="zh-CN"/>
              </w:rPr>
              <w:t>DA00</w:t>
            </w:r>
            <w:r>
              <w:rPr>
                <w:rFonts w:hint="eastAsia" w:ascii="Times New Roman" w:hAnsi="Times New Roman" w:cs="Times New Roman"/>
                <w:color w:val="auto"/>
                <w:spacing w:val="-2"/>
                <w:sz w:val="21"/>
                <w:szCs w:val="21"/>
                <w:highlight w:val="none"/>
                <w:lang w:val="en-US" w:eastAsia="zh-CN"/>
              </w:rPr>
              <w:t>7</w:t>
            </w:r>
            <w:r>
              <w:rPr>
                <w:rFonts w:hint="default" w:ascii="Times New Roman" w:hAnsi="Times New Roman" w:cs="Times New Roman"/>
                <w:color w:val="auto"/>
                <w:spacing w:val="-2"/>
                <w:sz w:val="21"/>
                <w:szCs w:val="21"/>
                <w:highlight w:val="none"/>
                <w:lang w:eastAsia="zh-CN"/>
              </w:rPr>
              <w:t>）</w:t>
            </w:r>
            <w:r>
              <w:rPr>
                <w:rFonts w:hint="default" w:ascii="Times New Roman" w:hAnsi="Times New Roman" w:cs="Times New Roman"/>
                <w:color w:val="auto"/>
                <w:spacing w:val="-2"/>
                <w:sz w:val="21"/>
                <w:szCs w:val="21"/>
                <w:highlight w:val="none"/>
                <w:lang w:val="en-US" w:eastAsia="zh-CN"/>
              </w:rPr>
              <w:t>排放</w:t>
            </w:r>
            <w:r>
              <w:rPr>
                <w:rFonts w:hint="eastAsia" w:ascii="Times New Roman" w:hAnsi="Times New Roman" w:cs="Times New Roman"/>
                <w:color w:val="auto"/>
                <w:spacing w:val="-2"/>
                <w:sz w:val="21"/>
                <w:szCs w:val="21"/>
                <w:highlight w:val="none"/>
                <w:lang w:val="en-US" w:eastAsia="zh-CN"/>
              </w:rPr>
              <w:t>。</w:t>
            </w:r>
            <w:r>
              <w:rPr>
                <w:rFonts w:hint="default" w:ascii="Times New Roman" w:hAnsi="Times New Roman" w:cs="Times New Roman"/>
                <w:color w:val="auto"/>
                <w:spacing w:val="-2"/>
                <w:sz w:val="21"/>
                <w:szCs w:val="21"/>
                <w:highlight w:val="none"/>
              </w:rPr>
              <w:t>钢球生产</w:t>
            </w:r>
            <w:r>
              <w:rPr>
                <w:rFonts w:hint="eastAsia" w:ascii="Times New Roman" w:hAnsi="Times New Roman" w:cs="Times New Roman"/>
                <w:color w:val="auto"/>
                <w:spacing w:val="-2"/>
                <w:sz w:val="21"/>
                <w:szCs w:val="21"/>
                <w:highlight w:val="none"/>
                <w:lang w:val="en-US" w:eastAsia="zh-CN"/>
              </w:rPr>
              <w:t>线</w:t>
            </w:r>
            <w:r>
              <w:rPr>
                <w:rFonts w:hint="default" w:ascii="Times New Roman" w:hAnsi="Times New Roman" w:cs="Times New Roman"/>
                <w:color w:val="auto"/>
                <w:spacing w:val="-2"/>
                <w:sz w:val="21"/>
                <w:szCs w:val="21"/>
                <w:highlight w:val="none"/>
              </w:rPr>
              <w:t>年工作时间为5280h（330天，每天16h），自由锻</w:t>
            </w:r>
            <w:r>
              <w:rPr>
                <w:rFonts w:hint="eastAsia" w:ascii="Times New Roman" w:hAnsi="Times New Roman" w:cs="Times New Roman"/>
                <w:color w:val="auto"/>
                <w:spacing w:val="-2"/>
                <w:sz w:val="21"/>
                <w:szCs w:val="21"/>
                <w:highlight w:val="none"/>
                <w:lang w:val="en-US" w:eastAsia="zh-CN"/>
              </w:rPr>
              <w:t>生产线</w:t>
            </w:r>
            <w:r>
              <w:rPr>
                <w:rFonts w:hint="default" w:ascii="Times New Roman" w:hAnsi="Times New Roman" w:cs="Times New Roman"/>
                <w:color w:val="auto"/>
                <w:spacing w:val="-2"/>
                <w:sz w:val="21"/>
                <w:szCs w:val="21"/>
                <w:highlight w:val="none"/>
              </w:rPr>
              <w:t>年工作时间为2640h（330天，每天8h）</w:t>
            </w:r>
            <w:r>
              <w:rPr>
                <w:rFonts w:hint="eastAsia" w:ascii="Times New Roman" w:hAnsi="Times New Roman" w:cs="Times New Roman"/>
                <w:color w:val="auto"/>
                <w:spacing w:val="-2"/>
                <w:sz w:val="21"/>
                <w:szCs w:val="21"/>
                <w:highlight w:val="none"/>
                <w:lang w:eastAsia="zh-CN"/>
              </w:rPr>
              <w:t>。</w:t>
            </w:r>
          </w:p>
          <w:p w14:paraId="049571F7">
            <w:pPr>
              <w:keepNext w:val="0"/>
              <w:keepLines w:val="0"/>
              <w:pageBreakBefore w:val="0"/>
              <w:kinsoku/>
              <w:wordWrap/>
              <w:overflowPunct/>
              <w:topLinePunct w:val="0"/>
              <w:autoSpaceDE/>
              <w:autoSpaceDN/>
              <w:bidi w:val="0"/>
              <w:spacing w:line="360" w:lineRule="auto"/>
              <w:ind w:left="0" w:right="0" w:firstLine="408"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本项目使用</w:t>
            </w:r>
            <w:r>
              <w:rPr>
                <w:rFonts w:hint="default" w:ascii="Times New Roman" w:hAnsi="Times New Roman" w:eastAsia="宋体" w:cs="Times New Roman"/>
                <w:color w:val="auto"/>
                <w:spacing w:val="-3"/>
                <w:sz w:val="21"/>
                <w:szCs w:val="21"/>
                <w:highlight w:val="none"/>
                <w:lang w:val="en-US" w:eastAsia="zh-CN"/>
              </w:rPr>
              <w:t>天然气</w:t>
            </w:r>
            <w:r>
              <w:rPr>
                <w:rFonts w:hint="default" w:ascii="Times New Roman" w:hAnsi="Times New Roman" w:eastAsia="宋体" w:cs="Times New Roman"/>
                <w:color w:val="auto"/>
                <w:spacing w:val="-3"/>
                <w:sz w:val="21"/>
                <w:szCs w:val="21"/>
                <w:highlight w:val="none"/>
              </w:rPr>
              <w:t>作为燃料，参考《排放源统计调查产排污核算方法和系数手册》（</w:t>
            </w:r>
            <w:r>
              <w:rPr>
                <w:rFonts w:hint="default" w:ascii="Times New Roman" w:hAnsi="Times New Roman" w:eastAsia="Times New Roman" w:cs="Times New Roman"/>
                <w:color w:val="auto"/>
                <w:spacing w:val="-3"/>
                <w:sz w:val="21"/>
                <w:szCs w:val="21"/>
                <w:highlight w:val="none"/>
              </w:rPr>
              <w:t>2021</w:t>
            </w:r>
            <w:r>
              <w:rPr>
                <w:rFonts w:hint="default" w:ascii="Times New Roman" w:hAnsi="Times New Roman" w:eastAsia="宋体" w:cs="Times New Roman"/>
                <w:color w:val="auto"/>
                <w:spacing w:val="-3"/>
                <w:sz w:val="21"/>
                <w:szCs w:val="21"/>
                <w:highlight w:val="none"/>
              </w:rPr>
              <w:t>年</w:t>
            </w:r>
            <w:r>
              <w:rPr>
                <w:rFonts w:hint="default" w:ascii="Times New Roman" w:hAnsi="Times New Roman" w:eastAsia="Times New Roman" w:cs="Times New Roman"/>
                <w:color w:val="auto"/>
                <w:spacing w:val="-3"/>
                <w:sz w:val="21"/>
                <w:szCs w:val="21"/>
                <w:highlight w:val="none"/>
              </w:rPr>
              <w:t>6</w:t>
            </w:r>
            <w:r>
              <w:rPr>
                <w:rFonts w:hint="default" w:ascii="Times New Roman" w:hAnsi="Times New Roman" w:eastAsia="宋体" w:cs="Times New Roman"/>
                <w:color w:val="auto"/>
                <w:spacing w:val="-3"/>
                <w:sz w:val="21"/>
                <w:szCs w:val="21"/>
                <w:highlight w:val="none"/>
              </w:rPr>
              <w:t>月</w:t>
            </w:r>
            <w:r>
              <w:rPr>
                <w:rFonts w:hint="default" w:ascii="Times New Roman" w:hAnsi="Times New Roman" w:eastAsia="Times New Roman" w:cs="Times New Roman"/>
                <w:color w:val="auto"/>
                <w:spacing w:val="-3"/>
                <w:sz w:val="21"/>
                <w:szCs w:val="21"/>
                <w:highlight w:val="none"/>
              </w:rPr>
              <w:t>11</w:t>
            </w:r>
            <w:r>
              <w:rPr>
                <w:rFonts w:hint="default" w:ascii="Times New Roman" w:hAnsi="Times New Roman" w:eastAsia="宋体" w:cs="Times New Roman"/>
                <w:color w:val="auto"/>
                <w:spacing w:val="-3"/>
                <w:sz w:val="21"/>
                <w:szCs w:val="21"/>
                <w:highlight w:val="none"/>
              </w:rPr>
              <w:t>日，生态环境部印发）中</w:t>
            </w:r>
            <w:r>
              <w:rPr>
                <w:rFonts w:hint="default" w:ascii="Times New Roman" w:hAnsi="Times New Roman" w:eastAsia="宋体" w:cs="Times New Roman"/>
                <w:color w:val="auto"/>
                <w:spacing w:val="1"/>
                <w:sz w:val="21"/>
                <w:szCs w:val="21"/>
                <w:highlight w:val="none"/>
              </w:rPr>
              <w:t>产污系数表</w:t>
            </w:r>
            <w:r>
              <w:rPr>
                <w:rFonts w:hint="default" w:ascii="Times New Roman" w:hAnsi="Times New Roman" w:eastAsia="Times New Roman" w:cs="Times New Roman"/>
                <w:color w:val="auto"/>
                <w:spacing w:val="1"/>
                <w:sz w:val="21"/>
                <w:szCs w:val="21"/>
                <w:highlight w:val="none"/>
              </w:rPr>
              <w:t>-</w:t>
            </w:r>
            <w:r>
              <w:rPr>
                <w:rFonts w:hint="default" w:ascii="Times New Roman" w:hAnsi="Times New Roman" w:eastAsia="宋体" w:cs="Times New Roman"/>
                <w:color w:val="auto"/>
                <w:spacing w:val="1"/>
                <w:sz w:val="21"/>
                <w:szCs w:val="21"/>
                <w:highlight w:val="none"/>
              </w:rPr>
              <w:t>天然气工业炉窑</w:t>
            </w:r>
            <w:r>
              <w:rPr>
                <w:rFonts w:hint="eastAsia" w:ascii="Times New Roman" w:hAnsi="Times New Roman" w:eastAsia="宋体" w:cs="Times New Roman"/>
                <w:color w:val="auto"/>
                <w:spacing w:val="1"/>
                <w:sz w:val="21"/>
                <w:szCs w:val="21"/>
                <w:highlight w:val="none"/>
                <w:lang w:eastAsia="zh-CN"/>
              </w:rPr>
              <w:t>：</w:t>
            </w:r>
            <w:r>
              <w:rPr>
                <w:rFonts w:hint="default" w:ascii="Times New Roman" w:hAnsi="Times New Roman" w:eastAsia="宋体" w:cs="Times New Roman"/>
                <w:color w:val="auto"/>
                <w:spacing w:val="-3"/>
                <w:sz w:val="21"/>
                <w:szCs w:val="21"/>
                <w:highlight w:val="none"/>
              </w:rPr>
              <w:t>工业废气量产污系数为</w:t>
            </w:r>
            <w:r>
              <w:rPr>
                <w:rFonts w:hint="eastAsia" w:ascii="Times New Roman" w:hAnsi="Times New Roman" w:eastAsia="宋体" w:cs="Times New Roman"/>
                <w:color w:val="auto"/>
                <w:spacing w:val="-3"/>
                <w:sz w:val="21"/>
                <w:szCs w:val="21"/>
                <w:highlight w:val="none"/>
                <w:lang w:val="en-US" w:eastAsia="zh-CN"/>
              </w:rPr>
              <w:t>13.6</w:t>
            </w:r>
            <w:r>
              <w:rPr>
                <w:rFonts w:hint="default" w:ascii="Times New Roman" w:hAnsi="Times New Roman" w:eastAsia="Times New Roman" w:cs="Times New Roman"/>
                <w:color w:val="auto"/>
                <w:spacing w:val="-3"/>
                <w:sz w:val="21"/>
                <w:szCs w:val="21"/>
                <w:highlight w:val="none"/>
              </w:rPr>
              <w:t>m</w:t>
            </w:r>
            <w:r>
              <w:rPr>
                <w:rFonts w:hint="eastAsia" w:ascii="Times New Roman" w:hAnsi="Times New Roman" w:eastAsia="宋体" w:cs="Times New Roman"/>
                <w:color w:val="auto"/>
                <w:spacing w:val="-3"/>
                <w:sz w:val="21"/>
                <w:szCs w:val="21"/>
                <w:highlight w:val="none"/>
                <w:vertAlign w:val="superscript"/>
                <w:lang w:val="en-US" w:eastAsia="zh-CN"/>
              </w:rPr>
              <w:t>3</w:t>
            </w:r>
            <w:r>
              <w:rPr>
                <w:rFonts w:hint="default" w:ascii="Times New Roman" w:hAnsi="Times New Roman" w:eastAsia="Times New Roman" w:cs="Times New Roman"/>
                <w:color w:val="auto"/>
                <w:spacing w:val="-3"/>
                <w:sz w:val="21"/>
                <w:szCs w:val="21"/>
                <w:highlight w:val="none"/>
              </w:rPr>
              <w:t>/m</w:t>
            </w:r>
            <w:r>
              <w:rPr>
                <w:rFonts w:hint="eastAsia" w:ascii="Times New Roman" w:hAnsi="Times New Roman" w:eastAsia="宋体" w:cs="Times New Roman"/>
                <w:color w:val="auto"/>
                <w:spacing w:val="-3"/>
                <w:sz w:val="21"/>
                <w:szCs w:val="21"/>
                <w:highlight w:val="none"/>
                <w:vertAlign w:val="superscript"/>
                <w:lang w:val="en-US" w:eastAsia="zh-CN"/>
              </w:rPr>
              <w:t>3</w:t>
            </w:r>
            <w:r>
              <w:rPr>
                <w:rFonts w:hint="default" w:ascii="Times New Roman" w:hAnsi="Times New Roman" w:eastAsia="Times New Roman" w:cs="Times New Roman"/>
                <w:color w:val="auto"/>
                <w:spacing w:val="-3"/>
                <w:sz w:val="21"/>
                <w:szCs w:val="21"/>
                <w:highlight w:val="none"/>
              </w:rPr>
              <w:t>-</w:t>
            </w:r>
            <w:r>
              <w:rPr>
                <w:rFonts w:hint="default" w:ascii="Times New Roman" w:hAnsi="Times New Roman" w:eastAsia="宋体" w:cs="Times New Roman"/>
                <w:color w:val="auto"/>
                <w:spacing w:val="-3"/>
                <w:sz w:val="21"/>
                <w:szCs w:val="21"/>
                <w:highlight w:val="none"/>
              </w:rPr>
              <w:t>原料、</w:t>
            </w:r>
            <w:r>
              <w:rPr>
                <w:rFonts w:hint="default" w:ascii="Times New Roman" w:hAnsi="Times New Roman" w:eastAsia="宋体" w:cs="Times New Roman"/>
                <w:color w:val="auto"/>
                <w:sz w:val="21"/>
                <w:szCs w:val="21"/>
                <w:highlight w:val="none"/>
              </w:rPr>
              <w:t>颗粒物产污系数</w:t>
            </w:r>
            <w:r>
              <w:rPr>
                <w:rFonts w:hint="eastAsia" w:ascii="Times New Roman" w:hAnsi="Times New Roman" w:eastAsia="宋体" w:cs="Times New Roman"/>
                <w:color w:val="auto"/>
                <w:sz w:val="21"/>
                <w:szCs w:val="21"/>
                <w:highlight w:val="none"/>
                <w:lang w:val="en-US" w:eastAsia="zh-CN"/>
              </w:rPr>
              <w:t>为</w:t>
            </w:r>
            <w:r>
              <w:rPr>
                <w:rFonts w:hint="default" w:ascii="Times New Roman" w:hAnsi="Times New Roman" w:eastAsia="宋体" w:cs="Times New Roman"/>
                <w:color w:val="auto"/>
                <w:spacing w:val="-4"/>
                <w:sz w:val="21"/>
                <w:szCs w:val="21"/>
                <w:highlight w:val="none"/>
                <w:lang w:val="en-US" w:eastAsia="zh-CN"/>
              </w:rPr>
              <w:t>0.</w:t>
            </w:r>
            <w:r>
              <w:rPr>
                <w:rFonts w:hint="eastAsia" w:ascii="Times New Roman" w:hAnsi="Times New Roman" w:eastAsia="宋体" w:cs="Times New Roman"/>
                <w:color w:val="auto"/>
                <w:spacing w:val="-4"/>
                <w:sz w:val="21"/>
                <w:szCs w:val="21"/>
                <w:highlight w:val="none"/>
                <w:lang w:val="en-US" w:eastAsia="zh-CN"/>
              </w:rPr>
              <w:t>000286</w:t>
            </w:r>
            <w:r>
              <w:rPr>
                <w:rFonts w:hint="default" w:ascii="Times New Roman" w:hAnsi="Times New Roman" w:eastAsia="Times New Roman" w:cs="Times New Roman"/>
                <w:color w:val="auto"/>
                <w:spacing w:val="-4"/>
                <w:sz w:val="21"/>
                <w:szCs w:val="21"/>
                <w:highlight w:val="none"/>
              </w:rPr>
              <w:t>kg/</w:t>
            </w:r>
            <w:r>
              <w:rPr>
                <w:rFonts w:hint="default" w:ascii="Times New Roman" w:hAnsi="Times New Roman" w:eastAsia="Times New Roman" w:cs="Times New Roman"/>
                <w:color w:val="auto"/>
                <w:spacing w:val="-3"/>
                <w:sz w:val="21"/>
                <w:szCs w:val="21"/>
                <w:highlight w:val="none"/>
              </w:rPr>
              <w:t>m</w:t>
            </w:r>
            <w:r>
              <w:rPr>
                <w:rFonts w:hint="eastAsia" w:ascii="Times New Roman" w:hAnsi="Times New Roman" w:eastAsia="宋体" w:cs="Times New Roman"/>
                <w:color w:val="auto"/>
                <w:spacing w:val="-3"/>
                <w:sz w:val="21"/>
                <w:szCs w:val="21"/>
                <w:highlight w:val="none"/>
                <w:vertAlign w:val="superscript"/>
                <w:lang w:val="en-US" w:eastAsia="zh-CN"/>
              </w:rPr>
              <w:t>3</w:t>
            </w:r>
            <w:r>
              <w:rPr>
                <w:rFonts w:hint="default" w:ascii="Times New Roman" w:hAnsi="Times New Roman" w:eastAsia="Times New Roman" w:cs="Times New Roman"/>
                <w:color w:val="auto"/>
                <w:spacing w:val="-4"/>
                <w:sz w:val="21"/>
                <w:szCs w:val="21"/>
                <w:highlight w:val="none"/>
              </w:rPr>
              <w:t>-</w:t>
            </w:r>
            <w:r>
              <w:rPr>
                <w:rFonts w:hint="default" w:ascii="Times New Roman" w:hAnsi="Times New Roman" w:eastAsia="宋体" w:cs="Times New Roman"/>
                <w:color w:val="auto"/>
                <w:spacing w:val="-4"/>
                <w:sz w:val="21"/>
                <w:szCs w:val="21"/>
                <w:highlight w:val="none"/>
              </w:rPr>
              <w:t>原料</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pacing w:val="-3"/>
                <w:sz w:val="21"/>
                <w:szCs w:val="21"/>
                <w:highlight w:val="none"/>
              </w:rPr>
              <w:t>二氧化硫产污系数为</w:t>
            </w:r>
            <w:r>
              <w:rPr>
                <w:rFonts w:hint="default" w:ascii="Times New Roman" w:hAnsi="Times New Roman" w:eastAsia="宋体" w:cs="Times New Roman"/>
                <w:color w:val="auto"/>
                <w:spacing w:val="-3"/>
                <w:sz w:val="21"/>
                <w:szCs w:val="21"/>
                <w:highlight w:val="none"/>
                <w:lang w:val="en-US" w:eastAsia="zh-CN"/>
              </w:rPr>
              <w:t>0.0</w:t>
            </w:r>
            <w:r>
              <w:rPr>
                <w:rFonts w:hint="eastAsia" w:ascii="Times New Roman" w:hAnsi="Times New Roman" w:eastAsia="宋体" w:cs="Times New Roman"/>
                <w:color w:val="auto"/>
                <w:spacing w:val="-3"/>
                <w:sz w:val="21"/>
                <w:szCs w:val="21"/>
                <w:highlight w:val="none"/>
                <w:lang w:val="en-US" w:eastAsia="zh-CN"/>
              </w:rPr>
              <w:t>0000</w:t>
            </w:r>
            <w:r>
              <w:rPr>
                <w:rFonts w:hint="default" w:ascii="Times New Roman" w:hAnsi="Times New Roman" w:eastAsia="宋体" w:cs="Times New Roman"/>
                <w:color w:val="auto"/>
                <w:spacing w:val="-3"/>
                <w:sz w:val="21"/>
                <w:szCs w:val="21"/>
                <w:highlight w:val="none"/>
                <w:lang w:val="en-US" w:eastAsia="zh-CN"/>
              </w:rPr>
              <w:t>2S</w:t>
            </w:r>
            <w:r>
              <w:rPr>
                <w:rFonts w:hint="default" w:ascii="Times New Roman" w:hAnsi="Times New Roman" w:eastAsia="Times New Roman" w:cs="Times New Roman"/>
                <w:color w:val="auto"/>
                <w:spacing w:val="-3"/>
                <w:sz w:val="21"/>
                <w:szCs w:val="21"/>
                <w:highlight w:val="none"/>
              </w:rPr>
              <w:t>kg/m</w:t>
            </w:r>
            <w:r>
              <w:rPr>
                <w:rFonts w:hint="eastAsia" w:ascii="Times New Roman" w:hAnsi="Times New Roman" w:eastAsia="宋体" w:cs="Times New Roman"/>
                <w:color w:val="auto"/>
                <w:spacing w:val="-3"/>
                <w:sz w:val="21"/>
                <w:szCs w:val="21"/>
                <w:highlight w:val="none"/>
                <w:vertAlign w:val="superscript"/>
                <w:lang w:val="en-US" w:eastAsia="zh-CN"/>
              </w:rPr>
              <w:t>3</w:t>
            </w:r>
            <w:r>
              <w:rPr>
                <w:rFonts w:hint="default" w:ascii="Times New Roman" w:hAnsi="Times New Roman" w:eastAsia="Times New Roman" w:cs="Times New Roman"/>
                <w:color w:val="auto"/>
                <w:spacing w:val="-3"/>
                <w:sz w:val="21"/>
                <w:szCs w:val="21"/>
                <w:highlight w:val="none"/>
              </w:rPr>
              <w:t>-</w:t>
            </w:r>
            <w:r>
              <w:rPr>
                <w:rFonts w:hint="default" w:ascii="Times New Roman" w:hAnsi="Times New Roman" w:eastAsia="宋体" w:cs="Times New Roman"/>
                <w:color w:val="auto"/>
                <w:spacing w:val="-3"/>
                <w:sz w:val="21"/>
                <w:szCs w:val="21"/>
                <w:highlight w:val="none"/>
              </w:rPr>
              <w:t>原料（参考《天然气》GB17820-2018，S取</w:t>
            </w:r>
            <w:r>
              <w:rPr>
                <w:rFonts w:hint="default" w:ascii="Times New Roman" w:hAnsi="Times New Roman" w:eastAsia="宋体" w:cs="Times New Roman"/>
                <w:color w:val="auto"/>
                <w:spacing w:val="-3"/>
                <w:sz w:val="21"/>
                <w:szCs w:val="21"/>
                <w:highlight w:val="none"/>
                <w:lang w:val="en-US" w:eastAsia="zh-CN"/>
              </w:rPr>
              <w:t>20</w:t>
            </w:r>
            <w:r>
              <w:rPr>
                <w:rFonts w:hint="default" w:ascii="Times New Roman" w:hAnsi="Times New Roman" w:eastAsia="宋体" w:cs="Times New Roman"/>
                <w:color w:val="auto"/>
                <w:spacing w:val="-4"/>
                <w:sz w:val="21"/>
                <w:szCs w:val="21"/>
                <w:highlight w:val="none"/>
              </w:rPr>
              <w:t>）、氮氧化物产污系数为</w:t>
            </w:r>
            <w:r>
              <w:rPr>
                <w:rFonts w:hint="eastAsia" w:ascii="Times New Roman" w:hAnsi="Times New Roman" w:eastAsia="宋体" w:cs="Times New Roman"/>
                <w:color w:val="auto"/>
                <w:spacing w:val="-4"/>
                <w:sz w:val="21"/>
                <w:szCs w:val="21"/>
                <w:highlight w:val="none"/>
                <w:lang w:val="en-US" w:eastAsia="zh-CN"/>
              </w:rPr>
              <w:t>0.00187</w:t>
            </w:r>
            <w:r>
              <w:rPr>
                <w:rFonts w:hint="default" w:ascii="Times New Roman" w:hAnsi="Times New Roman" w:eastAsia="Times New Roman" w:cs="Times New Roman"/>
                <w:color w:val="auto"/>
                <w:spacing w:val="-4"/>
                <w:sz w:val="21"/>
                <w:szCs w:val="21"/>
                <w:highlight w:val="none"/>
              </w:rPr>
              <w:t>kg/</w:t>
            </w:r>
            <w:r>
              <w:rPr>
                <w:rFonts w:hint="default" w:ascii="Times New Roman" w:hAnsi="Times New Roman" w:eastAsia="Times New Roman" w:cs="Times New Roman"/>
                <w:color w:val="auto"/>
                <w:spacing w:val="-3"/>
                <w:sz w:val="21"/>
                <w:szCs w:val="21"/>
                <w:highlight w:val="none"/>
              </w:rPr>
              <w:t>m</w:t>
            </w:r>
            <w:r>
              <w:rPr>
                <w:rFonts w:hint="eastAsia" w:ascii="Times New Roman" w:hAnsi="Times New Roman" w:eastAsia="宋体" w:cs="Times New Roman"/>
                <w:color w:val="auto"/>
                <w:spacing w:val="-3"/>
                <w:sz w:val="21"/>
                <w:szCs w:val="21"/>
                <w:highlight w:val="none"/>
                <w:vertAlign w:val="superscript"/>
                <w:lang w:val="en-US" w:eastAsia="zh-CN"/>
              </w:rPr>
              <w:t>3</w:t>
            </w:r>
            <w:r>
              <w:rPr>
                <w:rFonts w:hint="default" w:ascii="Times New Roman" w:hAnsi="Times New Roman" w:eastAsia="Times New Roman" w:cs="Times New Roman"/>
                <w:color w:val="auto"/>
                <w:spacing w:val="-4"/>
                <w:sz w:val="21"/>
                <w:szCs w:val="21"/>
                <w:highlight w:val="none"/>
              </w:rPr>
              <w:t>-</w:t>
            </w:r>
            <w:r>
              <w:rPr>
                <w:rFonts w:hint="default" w:ascii="Times New Roman" w:hAnsi="Times New Roman" w:eastAsia="宋体" w:cs="Times New Roman"/>
                <w:color w:val="auto"/>
                <w:spacing w:val="-4"/>
                <w:sz w:val="21"/>
                <w:szCs w:val="21"/>
                <w:highlight w:val="none"/>
              </w:rPr>
              <w:t>原料。</w:t>
            </w:r>
          </w:p>
          <w:p w14:paraId="49AABA0C">
            <w:pPr>
              <w:pStyle w:val="10"/>
              <w:rPr>
                <w:rFonts w:hint="default"/>
                <w:color w:val="auto"/>
                <w:highlight w:val="none"/>
              </w:rPr>
            </w:pPr>
            <w:r>
              <w:rPr>
                <w:rFonts w:hint="default"/>
                <w:color w:val="auto"/>
                <w:highlight w:val="none"/>
              </w:rPr>
              <w:t>表</w:t>
            </w:r>
            <w:r>
              <w:rPr>
                <w:rFonts w:hint="eastAsia"/>
                <w:color w:val="auto"/>
                <w:highlight w:val="none"/>
                <w:lang w:val="en-US" w:eastAsia="zh-CN"/>
              </w:rPr>
              <w:t>4-6</w:t>
            </w:r>
            <w:r>
              <w:rPr>
                <w:rFonts w:hint="default"/>
                <w:color w:val="auto"/>
                <w:highlight w:val="none"/>
              </w:rPr>
              <w:t xml:space="preserve">  本项目污染物产生情况一览表</w:t>
            </w:r>
          </w:p>
          <w:tbl>
            <w:tblPr>
              <w:tblStyle w:val="33"/>
              <w:tblW w:w="501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477"/>
              <w:gridCol w:w="1313"/>
              <w:gridCol w:w="1290"/>
              <w:gridCol w:w="1327"/>
              <w:gridCol w:w="1109"/>
              <w:gridCol w:w="1544"/>
            </w:tblGrid>
            <w:tr w14:paraId="55BC98E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93" w:hRule="atLeast"/>
                <w:jc w:val="center"/>
              </w:trPr>
              <w:tc>
                <w:tcPr>
                  <w:tcW w:w="916" w:type="pct"/>
                  <w:shd w:val="clear" w:color="auto" w:fill="auto"/>
                  <w:vAlign w:val="center"/>
                </w:tcPr>
                <w:p w14:paraId="07E8659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用气点</w:t>
                  </w:r>
                </w:p>
              </w:tc>
              <w:tc>
                <w:tcPr>
                  <w:tcW w:w="814" w:type="pct"/>
                  <w:shd w:val="clear" w:color="auto" w:fill="auto"/>
                  <w:vAlign w:val="center"/>
                </w:tcPr>
                <w:p w14:paraId="6C512BA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天然气用量</w:t>
                  </w:r>
                  <w:r>
                    <w:rPr>
                      <w:rStyle w:val="137"/>
                      <w:rFonts w:hint="default" w:ascii="Times New Roman" w:hAnsi="Times New Roman" w:cs="Times New Roman"/>
                      <w:color w:val="auto"/>
                      <w:sz w:val="21"/>
                      <w:szCs w:val="21"/>
                      <w:highlight w:val="none"/>
                      <w:lang w:val="en-US" w:eastAsia="zh-CN" w:bidi="ar"/>
                    </w:rPr>
                    <w:t>（万</w:t>
                  </w:r>
                  <w:r>
                    <w:rPr>
                      <w:rStyle w:val="138"/>
                      <w:rFonts w:hint="default" w:ascii="Times New Roman" w:hAnsi="Times New Roman" w:eastAsia="宋体" w:cs="Times New Roman"/>
                      <w:color w:val="auto"/>
                      <w:sz w:val="21"/>
                      <w:szCs w:val="21"/>
                      <w:highlight w:val="none"/>
                      <w:lang w:val="en-US" w:eastAsia="zh-CN" w:bidi="ar"/>
                    </w:rPr>
                    <w:t>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r>
                    <w:rPr>
                      <w:rStyle w:val="138"/>
                      <w:rFonts w:hint="default" w:ascii="Times New Roman" w:hAnsi="Times New Roman" w:eastAsia="宋体" w:cs="Times New Roman"/>
                      <w:color w:val="auto"/>
                      <w:sz w:val="21"/>
                      <w:szCs w:val="21"/>
                      <w:highlight w:val="none"/>
                      <w:lang w:val="en-US" w:eastAsia="zh-CN" w:bidi="ar"/>
                    </w:rPr>
                    <w:t>/a</w:t>
                  </w:r>
                  <w:r>
                    <w:rPr>
                      <w:rStyle w:val="137"/>
                      <w:rFonts w:hint="default" w:ascii="Times New Roman" w:hAnsi="Times New Roman" w:cs="Times New Roman"/>
                      <w:color w:val="auto"/>
                      <w:sz w:val="21"/>
                      <w:szCs w:val="21"/>
                      <w:highlight w:val="none"/>
                      <w:lang w:val="en-US" w:eastAsia="zh-CN" w:bidi="ar"/>
                    </w:rPr>
                    <w:t>）</w:t>
                  </w:r>
                </w:p>
              </w:tc>
              <w:tc>
                <w:tcPr>
                  <w:tcW w:w="800" w:type="pct"/>
                  <w:shd w:val="clear" w:color="auto" w:fill="auto"/>
                  <w:vAlign w:val="center"/>
                </w:tcPr>
                <w:p w14:paraId="323F87D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项目</w:t>
                  </w:r>
                </w:p>
              </w:tc>
              <w:tc>
                <w:tcPr>
                  <w:tcW w:w="823" w:type="pct"/>
                  <w:shd w:val="clear" w:color="auto" w:fill="auto"/>
                  <w:vAlign w:val="center"/>
                </w:tcPr>
                <w:p w14:paraId="6DC8852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产生浓度</w:t>
                  </w:r>
                  <w:r>
                    <w:rPr>
                      <w:rStyle w:val="137"/>
                      <w:rFonts w:hint="default" w:ascii="Times New Roman" w:hAnsi="Times New Roman" w:cs="Times New Roman"/>
                      <w:color w:val="auto"/>
                      <w:sz w:val="21"/>
                      <w:szCs w:val="21"/>
                      <w:highlight w:val="none"/>
                      <w:lang w:val="en-US" w:eastAsia="zh-CN" w:bidi="ar"/>
                    </w:rPr>
                    <w:t>（</w:t>
                  </w:r>
                  <w:r>
                    <w:rPr>
                      <w:rStyle w:val="138"/>
                      <w:rFonts w:hint="default" w:ascii="Times New Roman" w:hAnsi="Times New Roman" w:eastAsia="宋体" w:cs="Times New Roman"/>
                      <w:color w:val="auto"/>
                      <w:sz w:val="21"/>
                      <w:szCs w:val="21"/>
                      <w:highlight w:val="none"/>
                      <w:lang w:val="en-US" w:eastAsia="zh-CN" w:bidi="ar"/>
                    </w:rPr>
                    <w:t>mg/m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r>
                    <w:rPr>
                      <w:rStyle w:val="137"/>
                      <w:rFonts w:hint="default" w:ascii="Times New Roman" w:hAnsi="Times New Roman" w:cs="Times New Roman"/>
                      <w:color w:val="auto"/>
                      <w:sz w:val="21"/>
                      <w:szCs w:val="21"/>
                      <w:highlight w:val="none"/>
                      <w:lang w:val="en-US" w:eastAsia="zh-CN" w:bidi="ar"/>
                    </w:rPr>
                    <w:t>）</w:t>
                  </w:r>
                </w:p>
              </w:tc>
              <w:tc>
                <w:tcPr>
                  <w:tcW w:w="687" w:type="pct"/>
                  <w:shd w:val="clear" w:color="auto" w:fill="auto"/>
                  <w:vAlign w:val="center"/>
                </w:tcPr>
                <w:p w14:paraId="4CDD25A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产生速率</w:t>
                  </w:r>
                  <w:r>
                    <w:rPr>
                      <w:rStyle w:val="137"/>
                      <w:rFonts w:hint="default" w:ascii="Times New Roman" w:hAnsi="Times New Roman" w:cs="Times New Roman"/>
                      <w:color w:val="auto"/>
                      <w:sz w:val="21"/>
                      <w:szCs w:val="21"/>
                      <w:highlight w:val="none"/>
                      <w:lang w:val="en-US" w:eastAsia="zh-CN" w:bidi="ar"/>
                    </w:rPr>
                    <w:t>（</w:t>
                  </w:r>
                  <w:r>
                    <w:rPr>
                      <w:rStyle w:val="138"/>
                      <w:rFonts w:hint="default" w:ascii="Times New Roman" w:hAnsi="Times New Roman" w:eastAsia="宋体" w:cs="Times New Roman"/>
                      <w:color w:val="auto"/>
                      <w:sz w:val="21"/>
                      <w:szCs w:val="21"/>
                      <w:highlight w:val="none"/>
                      <w:lang w:val="en-US" w:eastAsia="zh-CN" w:bidi="ar"/>
                    </w:rPr>
                    <w:t>kg/h</w:t>
                  </w:r>
                  <w:r>
                    <w:rPr>
                      <w:rStyle w:val="137"/>
                      <w:rFonts w:hint="default" w:ascii="Times New Roman" w:hAnsi="Times New Roman" w:cs="Times New Roman"/>
                      <w:color w:val="auto"/>
                      <w:sz w:val="21"/>
                      <w:szCs w:val="21"/>
                      <w:highlight w:val="none"/>
                      <w:lang w:val="en-US" w:eastAsia="zh-CN" w:bidi="ar"/>
                    </w:rPr>
                    <w:t>）</w:t>
                  </w:r>
                </w:p>
              </w:tc>
              <w:tc>
                <w:tcPr>
                  <w:tcW w:w="957" w:type="pct"/>
                  <w:shd w:val="clear" w:color="auto" w:fill="auto"/>
                  <w:vAlign w:val="center"/>
                </w:tcPr>
                <w:p w14:paraId="5C03A52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产生量</w:t>
                  </w:r>
                  <w:r>
                    <w:rPr>
                      <w:rStyle w:val="137"/>
                      <w:rFonts w:hint="default" w:ascii="Times New Roman" w:hAnsi="Times New Roman" w:cs="Times New Roman"/>
                      <w:color w:val="auto"/>
                      <w:sz w:val="21"/>
                      <w:szCs w:val="21"/>
                      <w:highlight w:val="none"/>
                      <w:lang w:val="en-US" w:eastAsia="zh-CN" w:bidi="ar"/>
                    </w:rPr>
                    <w:t>（</w:t>
                  </w:r>
                  <w:r>
                    <w:rPr>
                      <w:rStyle w:val="138"/>
                      <w:rFonts w:hint="default" w:ascii="Times New Roman" w:hAnsi="Times New Roman" w:eastAsia="宋体" w:cs="Times New Roman"/>
                      <w:color w:val="auto"/>
                      <w:sz w:val="21"/>
                      <w:szCs w:val="21"/>
                      <w:highlight w:val="none"/>
                      <w:lang w:val="en-US" w:eastAsia="zh-CN" w:bidi="ar"/>
                    </w:rPr>
                    <w:t>t/a</w:t>
                  </w:r>
                  <w:r>
                    <w:rPr>
                      <w:rStyle w:val="137"/>
                      <w:rFonts w:hint="default" w:ascii="Times New Roman" w:hAnsi="Times New Roman" w:cs="Times New Roman"/>
                      <w:color w:val="auto"/>
                      <w:sz w:val="21"/>
                      <w:szCs w:val="21"/>
                      <w:highlight w:val="none"/>
                      <w:lang w:val="en-US" w:eastAsia="zh-CN" w:bidi="ar"/>
                    </w:rPr>
                    <w:t>）</w:t>
                  </w:r>
                </w:p>
              </w:tc>
            </w:tr>
            <w:tr w14:paraId="27EF26E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916" w:type="pct"/>
                  <w:vMerge w:val="restart"/>
                  <w:shd w:val="clear" w:color="auto" w:fill="auto"/>
                  <w:vAlign w:val="center"/>
                </w:tcPr>
                <w:p w14:paraId="61D71124">
                  <w:pPr>
                    <w:jc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cs="Times New Roman" w:eastAsiaTheme="minorEastAsia"/>
                      <w:color w:val="auto"/>
                      <w:szCs w:val="21"/>
                      <w:highlight w:val="none"/>
                      <w:lang w:val="en-US" w:eastAsia="zh-CN"/>
                    </w:rPr>
                    <w:t>轧球</w:t>
                  </w:r>
                  <w:r>
                    <w:rPr>
                      <w:rFonts w:hint="eastAsia" w:ascii="Times New Roman" w:hAnsi="Times New Roman" w:cs="Times New Roman" w:eastAsiaTheme="minorEastAsia"/>
                      <w:b w:val="0"/>
                      <w:bCs w:val="0"/>
                      <w:color w:val="auto"/>
                      <w:sz w:val="21"/>
                      <w:szCs w:val="21"/>
                      <w:highlight w:val="none"/>
                      <w:lang w:val="en-US" w:eastAsia="zh-CN"/>
                    </w:rPr>
                    <w:t>燃气</w:t>
                  </w:r>
                  <w:r>
                    <w:rPr>
                      <w:rFonts w:hint="eastAsia" w:ascii="Times New Roman" w:hAnsi="Times New Roman" w:cs="Times New Roman" w:eastAsiaTheme="minorEastAsia"/>
                      <w:color w:val="auto"/>
                      <w:szCs w:val="21"/>
                      <w:highlight w:val="none"/>
                      <w:lang w:val="en-US" w:eastAsia="zh-CN"/>
                    </w:rPr>
                    <w:t>回火炉</w:t>
                  </w:r>
                  <w:r>
                    <w:rPr>
                      <w:rFonts w:hint="eastAsia" w:cs="Times New Roman" w:eastAsiaTheme="minorEastAsia"/>
                      <w:color w:val="auto"/>
                      <w:szCs w:val="21"/>
                      <w:highlight w:val="none"/>
                      <w:lang w:val="en-US" w:eastAsia="zh-CN"/>
                    </w:rPr>
                    <w:t>1#</w:t>
                  </w:r>
                </w:p>
              </w:tc>
              <w:tc>
                <w:tcPr>
                  <w:tcW w:w="814" w:type="pct"/>
                  <w:vMerge w:val="restart"/>
                  <w:shd w:val="clear" w:color="auto" w:fill="auto"/>
                  <w:vAlign w:val="center"/>
                </w:tcPr>
                <w:p w14:paraId="3C3F9AA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84.48</w:t>
                  </w:r>
                </w:p>
              </w:tc>
              <w:tc>
                <w:tcPr>
                  <w:tcW w:w="800" w:type="pct"/>
                  <w:shd w:val="clear" w:color="auto" w:fill="auto"/>
                  <w:vAlign w:val="center"/>
                </w:tcPr>
                <w:p w14:paraId="2CFF81FD">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823" w:type="pct"/>
                  <w:shd w:val="clear" w:color="auto" w:fill="auto"/>
                  <w:vAlign w:val="center"/>
                </w:tcPr>
                <w:p w14:paraId="195CB9C4">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1.7</w:t>
                  </w:r>
                </w:p>
              </w:tc>
              <w:tc>
                <w:tcPr>
                  <w:tcW w:w="687" w:type="pct"/>
                  <w:shd w:val="clear" w:color="auto" w:fill="auto"/>
                  <w:vAlign w:val="center"/>
                </w:tcPr>
                <w:p w14:paraId="293B744D">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0.046</w:t>
                  </w:r>
                </w:p>
              </w:tc>
              <w:tc>
                <w:tcPr>
                  <w:tcW w:w="957" w:type="pct"/>
                  <w:shd w:val="clear" w:color="auto" w:fill="auto"/>
                  <w:vAlign w:val="center"/>
                </w:tcPr>
                <w:p w14:paraId="1D8751DC">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0.242</w:t>
                  </w:r>
                </w:p>
              </w:tc>
            </w:tr>
            <w:tr w14:paraId="7079A7F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916" w:type="pct"/>
                  <w:vMerge w:val="continue"/>
                  <w:shd w:val="clear" w:color="auto" w:fill="auto"/>
                  <w:vAlign w:val="center"/>
                </w:tcPr>
                <w:p w14:paraId="619BD319">
                  <w:pPr>
                    <w:jc w:val="center"/>
                    <w:rPr>
                      <w:rFonts w:hint="default" w:ascii="Times New Roman" w:hAnsi="Times New Roman" w:eastAsia="宋体" w:cs="Times New Roman"/>
                      <w:i w:val="0"/>
                      <w:iCs w:val="0"/>
                      <w:color w:val="auto"/>
                      <w:sz w:val="21"/>
                      <w:szCs w:val="21"/>
                      <w:highlight w:val="none"/>
                      <w:u w:val="none"/>
                    </w:rPr>
                  </w:pPr>
                </w:p>
              </w:tc>
              <w:tc>
                <w:tcPr>
                  <w:tcW w:w="814" w:type="pct"/>
                  <w:vMerge w:val="continue"/>
                  <w:shd w:val="clear" w:color="auto" w:fill="auto"/>
                  <w:vAlign w:val="center"/>
                </w:tcPr>
                <w:p w14:paraId="1117118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p>
              </w:tc>
              <w:tc>
                <w:tcPr>
                  <w:tcW w:w="800" w:type="pct"/>
                  <w:shd w:val="clear" w:color="auto" w:fill="auto"/>
                  <w:vAlign w:val="center"/>
                </w:tcPr>
                <w:p w14:paraId="06E62063">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SO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p>
              </w:tc>
              <w:tc>
                <w:tcPr>
                  <w:tcW w:w="823" w:type="pct"/>
                  <w:shd w:val="clear" w:color="auto" w:fill="auto"/>
                  <w:vAlign w:val="center"/>
                </w:tcPr>
                <w:p w14:paraId="13A6B6C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0.2</w:t>
                  </w:r>
                </w:p>
              </w:tc>
              <w:tc>
                <w:tcPr>
                  <w:tcW w:w="687" w:type="pct"/>
                  <w:shd w:val="clear" w:color="auto" w:fill="auto"/>
                  <w:vAlign w:val="center"/>
                </w:tcPr>
                <w:p w14:paraId="6E2604EF">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0.006</w:t>
                  </w:r>
                </w:p>
              </w:tc>
              <w:tc>
                <w:tcPr>
                  <w:tcW w:w="957" w:type="pct"/>
                  <w:shd w:val="clear" w:color="auto" w:fill="auto"/>
                  <w:vAlign w:val="center"/>
                </w:tcPr>
                <w:p w14:paraId="3622A690">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0.034</w:t>
                  </w:r>
                </w:p>
              </w:tc>
            </w:tr>
            <w:tr w14:paraId="365668F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916" w:type="pct"/>
                  <w:vMerge w:val="continue"/>
                  <w:shd w:val="clear" w:color="auto" w:fill="auto"/>
                  <w:vAlign w:val="center"/>
                </w:tcPr>
                <w:p w14:paraId="049B4397">
                  <w:pPr>
                    <w:jc w:val="center"/>
                    <w:rPr>
                      <w:rFonts w:hint="default" w:ascii="Times New Roman" w:hAnsi="Times New Roman" w:eastAsia="宋体" w:cs="Times New Roman"/>
                      <w:i w:val="0"/>
                      <w:iCs w:val="0"/>
                      <w:color w:val="auto"/>
                      <w:sz w:val="21"/>
                      <w:szCs w:val="21"/>
                      <w:highlight w:val="none"/>
                      <w:u w:val="none"/>
                    </w:rPr>
                  </w:pPr>
                </w:p>
              </w:tc>
              <w:tc>
                <w:tcPr>
                  <w:tcW w:w="814" w:type="pct"/>
                  <w:vMerge w:val="continue"/>
                  <w:shd w:val="clear" w:color="auto" w:fill="auto"/>
                  <w:vAlign w:val="center"/>
                </w:tcPr>
                <w:p w14:paraId="230DE83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p>
              </w:tc>
              <w:tc>
                <w:tcPr>
                  <w:tcW w:w="800" w:type="pct"/>
                  <w:shd w:val="clear" w:color="auto" w:fill="auto"/>
                  <w:vAlign w:val="center"/>
                </w:tcPr>
                <w:p w14:paraId="57627A89">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NOx</w:t>
                  </w:r>
                </w:p>
              </w:tc>
              <w:tc>
                <w:tcPr>
                  <w:tcW w:w="823" w:type="pct"/>
                  <w:shd w:val="clear" w:color="auto" w:fill="auto"/>
                  <w:vAlign w:val="center"/>
                </w:tcPr>
                <w:p w14:paraId="478A7953">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11.3</w:t>
                  </w:r>
                </w:p>
              </w:tc>
              <w:tc>
                <w:tcPr>
                  <w:tcW w:w="687" w:type="pct"/>
                  <w:shd w:val="clear" w:color="auto" w:fill="auto"/>
                  <w:vAlign w:val="center"/>
                </w:tcPr>
                <w:p w14:paraId="6619BC0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0.299</w:t>
                  </w:r>
                </w:p>
              </w:tc>
              <w:tc>
                <w:tcPr>
                  <w:tcW w:w="957" w:type="pct"/>
                  <w:shd w:val="clear" w:color="auto" w:fill="auto"/>
                  <w:vAlign w:val="center"/>
                </w:tcPr>
                <w:p w14:paraId="5D3B2ACD">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1.580</w:t>
                  </w:r>
                </w:p>
              </w:tc>
            </w:tr>
            <w:tr w14:paraId="1939C83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916" w:type="pct"/>
                  <w:vMerge w:val="restart"/>
                  <w:shd w:val="clear" w:color="auto" w:fill="auto"/>
                  <w:vAlign w:val="center"/>
                </w:tcPr>
                <w:p w14:paraId="4A5BECCF">
                  <w:pPr>
                    <w:jc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cs="Times New Roman" w:eastAsiaTheme="minorEastAsia"/>
                      <w:color w:val="auto"/>
                      <w:sz w:val="21"/>
                      <w:szCs w:val="21"/>
                      <w:highlight w:val="none"/>
                      <w:lang w:val="en-US" w:eastAsia="zh-CN"/>
                    </w:rPr>
                    <w:t>锻球</w:t>
                  </w:r>
                  <w:r>
                    <w:rPr>
                      <w:rFonts w:hint="eastAsia" w:ascii="Times New Roman" w:hAnsi="Times New Roman" w:cs="Times New Roman" w:eastAsiaTheme="minorEastAsia"/>
                      <w:b w:val="0"/>
                      <w:bCs w:val="0"/>
                      <w:color w:val="auto"/>
                      <w:sz w:val="21"/>
                      <w:szCs w:val="21"/>
                      <w:highlight w:val="none"/>
                      <w:lang w:val="en-US" w:eastAsia="zh-CN"/>
                    </w:rPr>
                    <w:t>燃气</w:t>
                  </w:r>
                  <w:r>
                    <w:rPr>
                      <w:rFonts w:hint="eastAsia" w:ascii="Times New Roman" w:hAnsi="Times New Roman" w:cs="Times New Roman" w:eastAsiaTheme="minorEastAsia"/>
                      <w:color w:val="auto"/>
                      <w:sz w:val="21"/>
                      <w:szCs w:val="21"/>
                      <w:highlight w:val="none"/>
                      <w:lang w:val="en-US" w:eastAsia="zh-CN"/>
                    </w:rPr>
                    <w:t>环形炉</w:t>
                  </w:r>
                </w:p>
              </w:tc>
              <w:tc>
                <w:tcPr>
                  <w:tcW w:w="814" w:type="pct"/>
                  <w:vMerge w:val="restart"/>
                  <w:shd w:val="clear" w:color="auto" w:fill="auto"/>
                  <w:vAlign w:val="center"/>
                </w:tcPr>
                <w:p w14:paraId="22246909">
                  <w:pPr>
                    <w:jc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cs="Times New Roman" w:eastAsiaTheme="minorEastAsia"/>
                      <w:color w:val="auto"/>
                      <w:sz w:val="21"/>
                      <w:szCs w:val="21"/>
                      <w:highlight w:val="none"/>
                      <w:lang w:val="en-US" w:eastAsia="zh-CN"/>
                    </w:rPr>
                    <w:t>95.04</w:t>
                  </w:r>
                </w:p>
              </w:tc>
              <w:tc>
                <w:tcPr>
                  <w:tcW w:w="800" w:type="pct"/>
                  <w:shd w:val="clear" w:color="auto" w:fill="auto"/>
                  <w:vAlign w:val="center"/>
                </w:tcPr>
                <w:p w14:paraId="28F5E0FF">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823" w:type="pct"/>
                  <w:shd w:val="clear" w:color="auto" w:fill="auto"/>
                  <w:vAlign w:val="center"/>
                </w:tcPr>
                <w:p w14:paraId="1EA4DF7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1.6</w:t>
                  </w:r>
                </w:p>
              </w:tc>
              <w:tc>
                <w:tcPr>
                  <w:tcW w:w="687" w:type="pct"/>
                  <w:shd w:val="clear" w:color="auto" w:fill="auto"/>
                  <w:vAlign w:val="center"/>
                </w:tcPr>
                <w:p w14:paraId="5873700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0.051</w:t>
                  </w:r>
                </w:p>
              </w:tc>
              <w:tc>
                <w:tcPr>
                  <w:tcW w:w="957" w:type="pct"/>
                  <w:shd w:val="clear" w:color="auto" w:fill="auto"/>
                  <w:vAlign w:val="center"/>
                </w:tcPr>
                <w:p w14:paraId="7C7F728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0.272</w:t>
                  </w:r>
                </w:p>
              </w:tc>
            </w:tr>
            <w:tr w14:paraId="148C3B1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916" w:type="pct"/>
                  <w:vMerge w:val="continue"/>
                  <w:shd w:val="clear" w:color="auto" w:fill="auto"/>
                  <w:vAlign w:val="center"/>
                </w:tcPr>
                <w:p w14:paraId="799A4C96">
                  <w:pPr>
                    <w:jc w:val="center"/>
                    <w:rPr>
                      <w:rFonts w:hint="default" w:ascii="Times New Roman" w:hAnsi="Times New Roman" w:eastAsia="宋体" w:cs="Times New Roman"/>
                      <w:i w:val="0"/>
                      <w:iCs w:val="0"/>
                      <w:color w:val="auto"/>
                      <w:sz w:val="21"/>
                      <w:szCs w:val="21"/>
                      <w:highlight w:val="none"/>
                      <w:u w:val="none"/>
                    </w:rPr>
                  </w:pPr>
                </w:p>
              </w:tc>
              <w:tc>
                <w:tcPr>
                  <w:tcW w:w="814" w:type="pct"/>
                  <w:vMerge w:val="continue"/>
                  <w:shd w:val="clear" w:color="auto" w:fill="auto"/>
                  <w:vAlign w:val="center"/>
                </w:tcPr>
                <w:p w14:paraId="04AED2B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p>
              </w:tc>
              <w:tc>
                <w:tcPr>
                  <w:tcW w:w="800" w:type="pct"/>
                  <w:shd w:val="clear" w:color="auto" w:fill="auto"/>
                  <w:vAlign w:val="center"/>
                </w:tcPr>
                <w:p w14:paraId="0C5CC760">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SO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p>
              </w:tc>
              <w:tc>
                <w:tcPr>
                  <w:tcW w:w="823" w:type="pct"/>
                  <w:shd w:val="clear" w:color="auto" w:fill="auto"/>
                  <w:vAlign w:val="center"/>
                </w:tcPr>
                <w:p w14:paraId="2A9466B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0.2</w:t>
                  </w:r>
                </w:p>
              </w:tc>
              <w:tc>
                <w:tcPr>
                  <w:tcW w:w="687" w:type="pct"/>
                  <w:shd w:val="clear" w:color="auto" w:fill="auto"/>
                  <w:vAlign w:val="center"/>
                </w:tcPr>
                <w:p w14:paraId="4D6E160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0.007</w:t>
                  </w:r>
                </w:p>
              </w:tc>
              <w:tc>
                <w:tcPr>
                  <w:tcW w:w="957" w:type="pct"/>
                  <w:shd w:val="clear" w:color="auto" w:fill="auto"/>
                  <w:vAlign w:val="center"/>
                </w:tcPr>
                <w:p w14:paraId="4A84FBC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0.038</w:t>
                  </w:r>
                </w:p>
              </w:tc>
            </w:tr>
            <w:tr w14:paraId="08BF8A7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916" w:type="pct"/>
                  <w:vMerge w:val="continue"/>
                  <w:shd w:val="clear" w:color="auto" w:fill="auto"/>
                  <w:vAlign w:val="center"/>
                </w:tcPr>
                <w:p w14:paraId="0DA87B82">
                  <w:pPr>
                    <w:jc w:val="center"/>
                    <w:rPr>
                      <w:rFonts w:hint="default" w:ascii="Times New Roman" w:hAnsi="Times New Roman" w:eastAsia="宋体" w:cs="Times New Roman"/>
                      <w:i w:val="0"/>
                      <w:iCs w:val="0"/>
                      <w:color w:val="auto"/>
                      <w:sz w:val="21"/>
                      <w:szCs w:val="21"/>
                      <w:highlight w:val="none"/>
                      <w:u w:val="none"/>
                    </w:rPr>
                  </w:pPr>
                </w:p>
              </w:tc>
              <w:tc>
                <w:tcPr>
                  <w:tcW w:w="814" w:type="pct"/>
                  <w:vMerge w:val="continue"/>
                  <w:shd w:val="clear" w:color="auto" w:fill="auto"/>
                  <w:vAlign w:val="center"/>
                </w:tcPr>
                <w:p w14:paraId="69E822B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p>
              </w:tc>
              <w:tc>
                <w:tcPr>
                  <w:tcW w:w="800" w:type="pct"/>
                  <w:shd w:val="clear" w:color="auto" w:fill="auto"/>
                  <w:vAlign w:val="center"/>
                </w:tcPr>
                <w:p w14:paraId="105416F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NOx</w:t>
                  </w:r>
                </w:p>
              </w:tc>
              <w:tc>
                <w:tcPr>
                  <w:tcW w:w="823" w:type="pct"/>
                  <w:shd w:val="clear" w:color="auto" w:fill="auto"/>
                  <w:vAlign w:val="center"/>
                </w:tcPr>
                <w:p w14:paraId="3F070AD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10.5</w:t>
                  </w:r>
                </w:p>
              </w:tc>
              <w:tc>
                <w:tcPr>
                  <w:tcW w:w="687" w:type="pct"/>
                  <w:shd w:val="clear" w:color="auto" w:fill="auto"/>
                  <w:vAlign w:val="center"/>
                </w:tcPr>
                <w:p w14:paraId="0072FE6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0.337</w:t>
                  </w:r>
                </w:p>
              </w:tc>
              <w:tc>
                <w:tcPr>
                  <w:tcW w:w="957" w:type="pct"/>
                  <w:shd w:val="clear" w:color="auto" w:fill="auto"/>
                  <w:vAlign w:val="center"/>
                </w:tcPr>
                <w:p w14:paraId="412CAF6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1.777</w:t>
                  </w:r>
                </w:p>
              </w:tc>
            </w:tr>
            <w:tr w14:paraId="5EFFF64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916" w:type="pct"/>
                  <w:vMerge w:val="restart"/>
                  <w:shd w:val="clear" w:color="auto" w:fill="auto"/>
                  <w:vAlign w:val="center"/>
                </w:tcPr>
                <w:p w14:paraId="3A2D804A">
                  <w:pPr>
                    <w:jc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cs="Times New Roman" w:eastAsiaTheme="minorEastAsia"/>
                      <w:color w:val="auto"/>
                      <w:sz w:val="21"/>
                      <w:szCs w:val="21"/>
                      <w:highlight w:val="none"/>
                      <w:lang w:val="en-US" w:eastAsia="zh-CN"/>
                    </w:rPr>
                    <w:t>锻球</w:t>
                  </w:r>
                  <w:r>
                    <w:rPr>
                      <w:rFonts w:hint="eastAsia" w:ascii="Times New Roman" w:hAnsi="Times New Roman" w:cs="Times New Roman" w:eastAsiaTheme="minorEastAsia"/>
                      <w:b w:val="0"/>
                      <w:bCs w:val="0"/>
                      <w:color w:val="auto"/>
                      <w:sz w:val="21"/>
                      <w:szCs w:val="21"/>
                      <w:highlight w:val="none"/>
                      <w:lang w:val="en-US" w:eastAsia="zh-CN"/>
                    </w:rPr>
                    <w:t>燃气</w:t>
                  </w:r>
                  <w:r>
                    <w:rPr>
                      <w:rFonts w:hint="eastAsia" w:ascii="Times New Roman" w:hAnsi="Times New Roman" w:cs="Times New Roman" w:eastAsiaTheme="minorEastAsia"/>
                      <w:color w:val="auto"/>
                      <w:szCs w:val="21"/>
                      <w:highlight w:val="none"/>
                      <w:lang w:val="en-US" w:eastAsia="zh-CN"/>
                    </w:rPr>
                    <w:t>回火炉</w:t>
                  </w:r>
                  <w:r>
                    <w:rPr>
                      <w:rFonts w:hint="eastAsia" w:cs="Times New Roman" w:eastAsiaTheme="minorEastAsia"/>
                      <w:color w:val="auto"/>
                      <w:szCs w:val="21"/>
                      <w:highlight w:val="none"/>
                      <w:lang w:val="en-US" w:eastAsia="zh-CN"/>
                    </w:rPr>
                    <w:t>2#</w:t>
                  </w:r>
                </w:p>
              </w:tc>
              <w:tc>
                <w:tcPr>
                  <w:tcW w:w="814" w:type="pct"/>
                  <w:vMerge w:val="restart"/>
                  <w:shd w:val="clear" w:color="auto" w:fill="auto"/>
                  <w:noWrap/>
                  <w:vAlign w:val="center"/>
                </w:tcPr>
                <w:p w14:paraId="32E8B6C0">
                  <w:pPr>
                    <w:jc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cs="Times New Roman" w:eastAsiaTheme="minorEastAsia"/>
                      <w:color w:val="auto"/>
                      <w:sz w:val="21"/>
                      <w:szCs w:val="21"/>
                      <w:highlight w:val="none"/>
                      <w:lang w:val="en-US" w:eastAsia="zh-CN"/>
                    </w:rPr>
                    <w:t>21.12</w:t>
                  </w:r>
                </w:p>
              </w:tc>
              <w:tc>
                <w:tcPr>
                  <w:tcW w:w="800" w:type="pct"/>
                  <w:shd w:val="clear" w:color="auto" w:fill="auto"/>
                  <w:vAlign w:val="center"/>
                </w:tcPr>
                <w:p w14:paraId="607FE86A">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823" w:type="pct"/>
                  <w:shd w:val="clear" w:color="auto" w:fill="auto"/>
                  <w:vAlign w:val="center"/>
                </w:tcPr>
                <w:p w14:paraId="135573A5">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0.2</w:t>
                  </w:r>
                </w:p>
              </w:tc>
              <w:tc>
                <w:tcPr>
                  <w:tcW w:w="687" w:type="pct"/>
                  <w:shd w:val="clear" w:color="auto" w:fill="auto"/>
                  <w:noWrap/>
                  <w:vAlign w:val="center"/>
                </w:tcPr>
                <w:p w14:paraId="1C29AFF8">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0.011</w:t>
                  </w:r>
                </w:p>
              </w:tc>
              <w:tc>
                <w:tcPr>
                  <w:tcW w:w="957" w:type="pct"/>
                  <w:shd w:val="clear" w:color="auto" w:fill="auto"/>
                  <w:vAlign w:val="center"/>
                </w:tcPr>
                <w:p w14:paraId="47044FAD">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0.060</w:t>
                  </w:r>
                </w:p>
              </w:tc>
            </w:tr>
            <w:tr w14:paraId="1E71ED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916" w:type="pct"/>
                  <w:vMerge w:val="continue"/>
                  <w:shd w:val="clear" w:color="auto" w:fill="auto"/>
                  <w:vAlign w:val="center"/>
                </w:tcPr>
                <w:p w14:paraId="1DA82D81">
                  <w:pPr>
                    <w:jc w:val="center"/>
                    <w:rPr>
                      <w:rFonts w:hint="default" w:ascii="Times New Roman" w:hAnsi="Times New Roman" w:eastAsia="宋体" w:cs="Times New Roman"/>
                      <w:i w:val="0"/>
                      <w:iCs w:val="0"/>
                      <w:color w:val="auto"/>
                      <w:sz w:val="21"/>
                      <w:szCs w:val="21"/>
                      <w:highlight w:val="none"/>
                      <w:u w:val="none"/>
                    </w:rPr>
                  </w:pPr>
                </w:p>
              </w:tc>
              <w:tc>
                <w:tcPr>
                  <w:tcW w:w="814" w:type="pct"/>
                  <w:vMerge w:val="continue"/>
                  <w:shd w:val="clear" w:color="auto" w:fill="auto"/>
                  <w:noWrap/>
                  <w:vAlign w:val="center"/>
                </w:tcPr>
                <w:p w14:paraId="43743FD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p>
              </w:tc>
              <w:tc>
                <w:tcPr>
                  <w:tcW w:w="800" w:type="pct"/>
                  <w:shd w:val="clear" w:color="auto" w:fill="auto"/>
                  <w:vAlign w:val="center"/>
                </w:tcPr>
                <w:p w14:paraId="798B2F3A">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SO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p>
              </w:tc>
              <w:tc>
                <w:tcPr>
                  <w:tcW w:w="823" w:type="pct"/>
                  <w:shd w:val="clear" w:color="auto" w:fill="auto"/>
                  <w:vAlign w:val="center"/>
                </w:tcPr>
                <w:p w14:paraId="56158F39">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0.03</w:t>
                  </w:r>
                </w:p>
              </w:tc>
              <w:tc>
                <w:tcPr>
                  <w:tcW w:w="687" w:type="pct"/>
                  <w:shd w:val="clear" w:color="auto" w:fill="auto"/>
                  <w:vAlign w:val="center"/>
                </w:tcPr>
                <w:p w14:paraId="155B2D54">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0.002</w:t>
                  </w:r>
                </w:p>
              </w:tc>
              <w:tc>
                <w:tcPr>
                  <w:tcW w:w="957" w:type="pct"/>
                  <w:shd w:val="clear" w:color="auto" w:fill="auto"/>
                  <w:vAlign w:val="center"/>
                </w:tcPr>
                <w:p w14:paraId="67FE253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0.008</w:t>
                  </w:r>
                </w:p>
              </w:tc>
            </w:tr>
            <w:tr w14:paraId="15908A0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8" w:hRule="atLeast"/>
                <w:jc w:val="center"/>
              </w:trPr>
              <w:tc>
                <w:tcPr>
                  <w:tcW w:w="916" w:type="pct"/>
                  <w:vMerge w:val="continue"/>
                  <w:shd w:val="clear" w:color="auto" w:fill="auto"/>
                  <w:vAlign w:val="center"/>
                </w:tcPr>
                <w:p w14:paraId="024A4B7E">
                  <w:pPr>
                    <w:jc w:val="center"/>
                    <w:rPr>
                      <w:rFonts w:hint="default" w:ascii="Times New Roman" w:hAnsi="Times New Roman" w:eastAsia="宋体" w:cs="Times New Roman"/>
                      <w:i w:val="0"/>
                      <w:iCs w:val="0"/>
                      <w:color w:val="auto"/>
                      <w:sz w:val="21"/>
                      <w:szCs w:val="21"/>
                      <w:highlight w:val="none"/>
                      <w:u w:val="none"/>
                    </w:rPr>
                  </w:pPr>
                </w:p>
              </w:tc>
              <w:tc>
                <w:tcPr>
                  <w:tcW w:w="814" w:type="pct"/>
                  <w:vMerge w:val="continue"/>
                  <w:shd w:val="clear" w:color="auto" w:fill="auto"/>
                  <w:noWrap/>
                  <w:vAlign w:val="center"/>
                </w:tcPr>
                <w:p w14:paraId="7500A38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p>
              </w:tc>
              <w:tc>
                <w:tcPr>
                  <w:tcW w:w="800" w:type="pct"/>
                  <w:shd w:val="clear" w:color="auto" w:fill="auto"/>
                  <w:vAlign w:val="center"/>
                </w:tcPr>
                <w:p w14:paraId="74B55C5C">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NOx</w:t>
                  </w:r>
                </w:p>
              </w:tc>
              <w:tc>
                <w:tcPr>
                  <w:tcW w:w="823" w:type="pct"/>
                  <w:shd w:val="clear" w:color="auto" w:fill="auto"/>
                  <w:vAlign w:val="center"/>
                </w:tcPr>
                <w:p w14:paraId="2647E428">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1.6</w:t>
                  </w:r>
                </w:p>
              </w:tc>
              <w:tc>
                <w:tcPr>
                  <w:tcW w:w="687" w:type="pct"/>
                  <w:shd w:val="clear" w:color="auto" w:fill="auto"/>
                  <w:vAlign w:val="center"/>
                </w:tcPr>
                <w:p w14:paraId="2DAFFA78">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0.075</w:t>
                  </w:r>
                </w:p>
              </w:tc>
              <w:tc>
                <w:tcPr>
                  <w:tcW w:w="957" w:type="pct"/>
                  <w:shd w:val="clear" w:color="auto" w:fill="auto"/>
                  <w:vAlign w:val="center"/>
                </w:tcPr>
                <w:p w14:paraId="6AD651EB">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0.395</w:t>
                  </w:r>
                </w:p>
              </w:tc>
            </w:tr>
            <w:tr w14:paraId="30BB96F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916" w:type="pct"/>
                  <w:vMerge w:val="restart"/>
                  <w:shd w:val="clear" w:color="auto" w:fill="auto"/>
                  <w:vAlign w:val="center"/>
                </w:tcPr>
                <w:p w14:paraId="639BE11C">
                  <w:pPr>
                    <w:snapToGrid w:val="0"/>
                    <w:jc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cs="Times New Roman" w:eastAsiaTheme="minorEastAsia"/>
                      <w:b w:val="0"/>
                      <w:bCs w:val="0"/>
                      <w:color w:val="auto"/>
                      <w:sz w:val="21"/>
                      <w:szCs w:val="21"/>
                      <w:highlight w:val="none"/>
                      <w:lang w:val="en-US" w:eastAsia="zh-CN"/>
                    </w:rPr>
                    <w:t>燃气</w:t>
                  </w:r>
                  <w:r>
                    <w:rPr>
                      <w:rFonts w:hint="eastAsia" w:cs="Times New Roman" w:eastAsiaTheme="minorEastAsia"/>
                      <w:b w:val="0"/>
                      <w:bCs w:val="0"/>
                      <w:color w:val="auto"/>
                      <w:sz w:val="21"/>
                      <w:szCs w:val="21"/>
                      <w:highlight w:val="none"/>
                      <w:lang w:val="en-US" w:eastAsia="zh-CN"/>
                    </w:rPr>
                    <w:t>加热</w:t>
                  </w:r>
                  <w:r>
                    <w:rPr>
                      <w:rFonts w:hint="eastAsia" w:ascii="Times New Roman" w:hAnsi="Times New Roman" w:cs="Times New Roman" w:eastAsiaTheme="minorEastAsia"/>
                      <w:b w:val="0"/>
                      <w:bCs w:val="0"/>
                      <w:color w:val="auto"/>
                      <w:sz w:val="21"/>
                      <w:szCs w:val="21"/>
                      <w:highlight w:val="none"/>
                      <w:lang w:val="en-US" w:eastAsia="zh-CN"/>
                    </w:rPr>
                    <w:t>炉</w:t>
                  </w:r>
                  <w:r>
                    <w:rPr>
                      <w:rFonts w:hint="eastAsia" w:cs="Times New Roman" w:eastAsiaTheme="minorEastAsia"/>
                      <w:b w:val="0"/>
                      <w:bCs w:val="0"/>
                      <w:color w:val="auto"/>
                      <w:szCs w:val="21"/>
                      <w:highlight w:val="none"/>
                      <w:lang w:val="en-US" w:eastAsia="zh-CN"/>
                    </w:rPr>
                    <w:t>1#</w:t>
                  </w:r>
                </w:p>
              </w:tc>
              <w:tc>
                <w:tcPr>
                  <w:tcW w:w="1313" w:type="dxa"/>
                  <w:vMerge w:val="restart"/>
                  <w:shd w:val="clear" w:color="auto" w:fill="auto"/>
                  <w:noWrap/>
                  <w:vAlign w:val="center"/>
                </w:tcPr>
                <w:p w14:paraId="35E44CA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yellow"/>
                      <w:u w:val="none"/>
                    </w:rPr>
                  </w:pPr>
                  <w:r>
                    <w:rPr>
                      <w:rFonts w:hint="default" w:ascii="Times New Roman" w:hAnsi="Times New Roman" w:eastAsia="宋体" w:cs="Times New Roman"/>
                      <w:i w:val="0"/>
                      <w:iCs w:val="0"/>
                      <w:color w:val="auto"/>
                      <w:kern w:val="0"/>
                      <w:sz w:val="21"/>
                      <w:szCs w:val="21"/>
                      <w:u w:val="none"/>
                      <w:lang w:val="en-US" w:eastAsia="zh-CN" w:bidi="ar"/>
                    </w:rPr>
                    <w:t>48.84</w:t>
                  </w:r>
                </w:p>
              </w:tc>
              <w:tc>
                <w:tcPr>
                  <w:tcW w:w="800" w:type="pct"/>
                  <w:shd w:val="clear" w:color="auto" w:fill="auto"/>
                  <w:vAlign w:val="center"/>
                </w:tcPr>
                <w:p w14:paraId="301690F2">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1327" w:type="dxa"/>
                  <w:shd w:val="clear" w:color="auto" w:fill="auto"/>
                  <w:vAlign w:val="center"/>
                </w:tcPr>
                <w:p w14:paraId="42997358">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10.2</w:t>
                  </w:r>
                </w:p>
              </w:tc>
              <w:tc>
                <w:tcPr>
                  <w:tcW w:w="1109" w:type="dxa"/>
                  <w:shd w:val="clear" w:color="auto" w:fill="auto"/>
                  <w:noWrap/>
                  <w:vAlign w:val="center"/>
                </w:tcPr>
                <w:p w14:paraId="2AB0F989">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0.053</w:t>
                  </w:r>
                </w:p>
              </w:tc>
              <w:tc>
                <w:tcPr>
                  <w:tcW w:w="1544" w:type="dxa"/>
                  <w:shd w:val="clear" w:color="auto" w:fill="auto"/>
                  <w:vAlign w:val="center"/>
                </w:tcPr>
                <w:p w14:paraId="308E9690">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0.140</w:t>
                  </w:r>
                </w:p>
              </w:tc>
            </w:tr>
            <w:tr w14:paraId="2DFBFE5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916" w:type="pct"/>
                  <w:vMerge w:val="continue"/>
                  <w:shd w:val="clear" w:color="auto" w:fill="auto"/>
                  <w:vAlign w:val="center"/>
                </w:tcPr>
                <w:p w14:paraId="382E2C73">
                  <w:pPr>
                    <w:jc w:val="center"/>
                    <w:rPr>
                      <w:rFonts w:hint="default" w:ascii="Times New Roman" w:hAnsi="Times New Roman" w:eastAsia="宋体" w:cs="Times New Roman"/>
                      <w:i w:val="0"/>
                      <w:iCs w:val="0"/>
                      <w:color w:val="auto"/>
                      <w:sz w:val="21"/>
                      <w:szCs w:val="21"/>
                      <w:highlight w:val="none"/>
                      <w:u w:val="none"/>
                    </w:rPr>
                  </w:pPr>
                </w:p>
              </w:tc>
              <w:tc>
                <w:tcPr>
                  <w:tcW w:w="814" w:type="pct"/>
                  <w:vMerge w:val="continue"/>
                  <w:shd w:val="clear" w:color="auto" w:fill="auto"/>
                  <w:noWrap/>
                  <w:vAlign w:val="center"/>
                </w:tcPr>
                <w:p w14:paraId="4113660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yellow"/>
                      <w:u w:val="none"/>
                    </w:rPr>
                  </w:pPr>
                </w:p>
              </w:tc>
              <w:tc>
                <w:tcPr>
                  <w:tcW w:w="800" w:type="pct"/>
                  <w:shd w:val="clear" w:color="auto" w:fill="auto"/>
                  <w:vAlign w:val="center"/>
                </w:tcPr>
                <w:p w14:paraId="76587DC6">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SO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p>
              </w:tc>
              <w:tc>
                <w:tcPr>
                  <w:tcW w:w="1327" w:type="dxa"/>
                  <w:shd w:val="clear" w:color="auto" w:fill="auto"/>
                  <w:vAlign w:val="center"/>
                </w:tcPr>
                <w:p w14:paraId="08DCC59B">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1109" w:type="dxa"/>
                  <w:shd w:val="clear" w:color="auto" w:fill="auto"/>
                  <w:vAlign w:val="center"/>
                </w:tcPr>
                <w:p w14:paraId="586A0313">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0.007</w:t>
                  </w:r>
                </w:p>
              </w:tc>
              <w:tc>
                <w:tcPr>
                  <w:tcW w:w="1544" w:type="dxa"/>
                  <w:shd w:val="clear" w:color="auto" w:fill="auto"/>
                  <w:vAlign w:val="center"/>
                </w:tcPr>
                <w:p w14:paraId="6B82100A">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0.020</w:t>
                  </w:r>
                </w:p>
              </w:tc>
            </w:tr>
            <w:tr w14:paraId="0948ECA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916" w:type="pct"/>
                  <w:vMerge w:val="continue"/>
                  <w:shd w:val="clear" w:color="auto" w:fill="auto"/>
                  <w:vAlign w:val="center"/>
                </w:tcPr>
                <w:p w14:paraId="26C32AD2">
                  <w:pPr>
                    <w:jc w:val="center"/>
                    <w:rPr>
                      <w:rFonts w:hint="default" w:ascii="Times New Roman" w:hAnsi="Times New Roman" w:eastAsia="宋体" w:cs="Times New Roman"/>
                      <w:i w:val="0"/>
                      <w:iCs w:val="0"/>
                      <w:color w:val="auto"/>
                      <w:sz w:val="21"/>
                      <w:szCs w:val="21"/>
                      <w:highlight w:val="none"/>
                      <w:u w:val="none"/>
                    </w:rPr>
                  </w:pPr>
                </w:p>
              </w:tc>
              <w:tc>
                <w:tcPr>
                  <w:tcW w:w="814" w:type="pct"/>
                  <w:vMerge w:val="continue"/>
                  <w:shd w:val="clear" w:color="auto" w:fill="auto"/>
                  <w:noWrap/>
                  <w:vAlign w:val="center"/>
                </w:tcPr>
                <w:p w14:paraId="042556B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yellow"/>
                      <w:u w:val="none"/>
                    </w:rPr>
                  </w:pPr>
                </w:p>
              </w:tc>
              <w:tc>
                <w:tcPr>
                  <w:tcW w:w="800" w:type="pct"/>
                  <w:shd w:val="clear" w:color="auto" w:fill="auto"/>
                  <w:vAlign w:val="center"/>
                </w:tcPr>
                <w:p w14:paraId="222C53A3">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NOx</w:t>
                  </w:r>
                </w:p>
              </w:tc>
              <w:tc>
                <w:tcPr>
                  <w:tcW w:w="1327" w:type="dxa"/>
                  <w:shd w:val="clear" w:color="auto" w:fill="auto"/>
                  <w:vAlign w:val="center"/>
                </w:tcPr>
                <w:p w14:paraId="123D0EC3">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66.5</w:t>
                  </w:r>
                </w:p>
              </w:tc>
              <w:tc>
                <w:tcPr>
                  <w:tcW w:w="1109" w:type="dxa"/>
                  <w:shd w:val="clear" w:color="auto" w:fill="auto"/>
                  <w:vAlign w:val="center"/>
                </w:tcPr>
                <w:p w14:paraId="019E52A2">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0.346</w:t>
                  </w:r>
                </w:p>
              </w:tc>
              <w:tc>
                <w:tcPr>
                  <w:tcW w:w="1544" w:type="dxa"/>
                  <w:shd w:val="clear" w:color="auto" w:fill="auto"/>
                  <w:vAlign w:val="center"/>
                </w:tcPr>
                <w:p w14:paraId="2CADCD5D">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0.913</w:t>
                  </w:r>
                </w:p>
              </w:tc>
            </w:tr>
            <w:tr w14:paraId="1D82D2B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916" w:type="pct"/>
                  <w:vMerge w:val="restart"/>
                  <w:shd w:val="clear" w:color="auto" w:fill="auto"/>
                  <w:vAlign w:val="center"/>
                </w:tcPr>
                <w:p w14:paraId="7C9EC021">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cs="Times New Roman" w:eastAsiaTheme="minorEastAsia"/>
                      <w:b w:val="0"/>
                      <w:bCs w:val="0"/>
                      <w:color w:val="auto"/>
                      <w:sz w:val="21"/>
                      <w:szCs w:val="21"/>
                      <w:highlight w:val="none"/>
                      <w:lang w:val="en-US" w:eastAsia="zh-CN"/>
                    </w:rPr>
                    <w:t>燃气</w:t>
                  </w:r>
                  <w:r>
                    <w:rPr>
                      <w:rFonts w:hint="eastAsia" w:cs="Times New Roman" w:eastAsiaTheme="minorEastAsia"/>
                      <w:b w:val="0"/>
                      <w:bCs w:val="0"/>
                      <w:color w:val="auto"/>
                      <w:sz w:val="21"/>
                      <w:szCs w:val="21"/>
                      <w:highlight w:val="none"/>
                      <w:lang w:val="en-US" w:eastAsia="zh-CN"/>
                    </w:rPr>
                    <w:t>加热</w:t>
                  </w:r>
                  <w:r>
                    <w:rPr>
                      <w:rFonts w:hint="eastAsia" w:ascii="Times New Roman" w:hAnsi="Times New Roman" w:cs="Times New Roman" w:eastAsiaTheme="minorEastAsia"/>
                      <w:b w:val="0"/>
                      <w:bCs w:val="0"/>
                      <w:color w:val="auto"/>
                      <w:sz w:val="21"/>
                      <w:szCs w:val="21"/>
                      <w:highlight w:val="none"/>
                      <w:lang w:val="en-US" w:eastAsia="zh-CN"/>
                    </w:rPr>
                    <w:t>炉</w:t>
                  </w:r>
                  <w:r>
                    <w:rPr>
                      <w:rFonts w:hint="eastAsia" w:cs="Times New Roman" w:eastAsiaTheme="minorEastAsia"/>
                      <w:b w:val="0"/>
                      <w:bCs w:val="0"/>
                      <w:color w:val="auto"/>
                      <w:szCs w:val="21"/>
                      <w:highlight w:val="none"/>
                      <w:lang w:val="en-US" w:eastAsia="zh-CN"/>
                    </w:rPr>
                    <w:t>2#</w:t>
                  </w:r>
                </w:p>
              </w:tc>
              <w:tc>
                <w:tcPr>
                  <w:tcW w:w="1313" w:type="dxa"/>
                  <w:vMerge w:val="restart"/>
                  <w:shd w:val="clear" w:color="auto" w:fill="auto"/>
                  <w:noWrap/>
                  <w:vAlign w:val="center"/>
                </w:tcPr>
                <w:p w14:paraId="60C0F23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yellow"/>
                      <w:u w:val="none"/>
                    </w:rPr>
                  </w:pPr>
                  <w:r>
                    <w:rPr>
                      <w:rFonts w:hint="default" w:ascii="Times New Roman" w:hAnsi="Times New Roman" w:eastAsia="宋体" w:cs="Times New Roman"/>
                      <w:i w:val="0"/>
                      <w:iCs w:val="0"/>
                      <w:color w:val="auto"/>
                      <w:kern w:val="0"/>
                      <w:sz w:val="21"/>
                      <w:szCs w:val="21"/>
                      <w:u w:val="none"/>
                      <w:lang w:val="en-US" w:eastAsia="zh-CN" w:bidi="ar"/>
                    </w:rPr>
                    <w:t>48.84</w:t>
                  </w:r>
                </w:p>
              </w:tc>
              <w:tc>
                <w:tcPr>
                  <w:tcW w:w="800" w:type="pct"/>
                  <w:shd w:val="clear" w:color="auto" w:fill="auto"/>
                  <w:vAlign w:val="center"/>
                </w:tcPr>
                <w:p w14:paraId="278F6020">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1327" w:type="dxa"/>
                  <w:shd w:val="clear" w:color="auto" w:fill="auto"/>
                  <w:vAlign w:val="center"/>
                </w:tcPr>
                <w:p w14:paraId="660357F2">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10.2</w:t>
                  </w:r>
                </w:p>
              </w:tc>
              <w:tc>
                <w:tcPr>
                  <w:tcW w:w="1109" w:type="dxa"/>
                  <w:shd w:val="clear" w:color="auto" w:fill="auto"/>
                  <w:vAlign w:val="center"/>
                </w:tcPr>
                <w:p w14:paraId="5079C509">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0.053</w:t>
                  </w:r>
                </w:p>
              </w:tc>
              <w:tc>
                <w:tcPr>
                  <w:tcW w:w="1544" w:type="dxa"/>
                  <w:shd w:val="clear" w:color="auto" w:fill="auto"/>
                  <w:vAlign w:val="center"/>
                </w:tcPr>
                <w:p w14:paraId="7ACEA6A7">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0.140</w:t>
                  </w:r>
                </w:p>
              </w:tc>
            </w:tr>
            <w:tr w14:paraId="340FD16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916" w:type="pct"/>
                  <w:vMerge w:val="continue"/>
                  <w:shd w:val="clear" w:color="auto" w:fill="auto"/>
                  <w:vAlign w:val="center"/>
                </w:tcPr>
                <w:p w14:paraId="5B65EE80">
                  <w:pPr>
                    <w:jc w:val="center"/>
                    <w:rPr>
                      <w:rFonts w:hint="default" w:ascii="Times New Roman" w:hAnsi="Times New Roman" w:eastAsia="宋体" w:cs="Times New Roman"/>
                      <w:i w:val="0"/>
                      <w:iCs w:val="0"/>
                      <w:color w:val="auto"/>
                      <w:sz w:val="21"/>
                      <w:szCs w:val="21"/>
                      <w:highlight w:val="none"/>
                      <w:u w:val="none"/>
                    </w:rPr>
                  </w:pPr>
                </w:p>
              </w:tc>
              <w:tc>
                <w:tcPr>
                  <w:tcW w:w="814" w:type="pct"/>
                  <w:vMerge w:val="continue"/>
                  <w:shd w:val="clear" w:color="auto" w:fill="auto"/>
                  <w:noWrap/>
                  <w:vAlign w:val="center"/>
                </w:tcPr>
                <w:p w14:paraId="13C1705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yellow"/>
                      <w:u w:val="none"/>
                    </w:rPr>
                  </w:pPr>
                </w:p>
              </w:tc>
              <w:tc>
                <w:tcPr>
                  <w:tcW w:w="800" w:type="pct"/>
                  <w:shd w:val="clear" w:color="auto" w:fill="auto"/>
                  <w:vAlign w:val="center"/>
                </w:tcPr>
                <w:p w14:paraId="0120BA63">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SO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p>
              </w:tc>
              <w:tc>
                <w:tcPr>
                  <w:tcW w:w="1327" w:type="dxa"/>
                  <w:shd w:val="clear" w:color="auto" w:fill="auto"/>
                  <w:vAlign w:val="center"/>
                </w:tcPr>
                <w:p w14:paraId="47BABD85">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1109" w:type="dxa"/>
                  <w:shd w:val="clear" w:color="auto" w:fill="auto"/>
                  <w:vAlign w:val="center"/>
                </w:tcPr>
                <w:p w14:paraId="24D99772">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0.007</w:t>
                  </w:r>
                </w:p>
              </w:tc>
              <w:tc>
                <w:tcPr>
                  <w:tcW w:w="1544" w:type="dxa"/>
                  <w:shd w:val="clear" w:color="auto" w:fill="auto"/>
                  <w:vAlign w:val="center"/>
                </w:tcPr>
                <w:p w14:paraId="28E1216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0.020</w:t>
                  </w:r>
                </w:p>
              </w:tc>
            </w:tr>
            <w:tr w14:paraId="7B96899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916" w:type="pct"/>
                  <w:vMerge w:val="continue"/>
                  <w:shd w:val="clear" w:color="auto" w:fill="auto"/>
                  <w:vAlign w:val="center"/>
                </w:tcPr>
                <w:p w14:paraId="3299D215">
                  <w:pPr>
                    <w:jc w:val="center"/>
                    <w:rPr>
                      <w:rFonts w:hint="default" w:ascii="Times New Roman" w:hAnsi="Times New Roman" w:eastAsia="宋体" w:cs="Times New Roman"/>
                      <w:i w:val="0"/>
                      <w:iCs w:val="0"/>
                      <w:color w:val="auto"/>
                      <w:sz w:val="21"/>
                      <w:szCs w:val="21"/>
                      <w:highlight w:val="none"/>
                      <w:u w:val="none"/>
                    </w:rPr>
                  </w:pPr>
                </w:p>
              </w:tc>
              <w:tc>
                <w:tcPr>
                  <w:tcW w:w="814" w:type="pct"/>
                  <w:vMerge w:val="continue"/>
                  <w:shd w:val="clear" w:color="auto" w:fill="auto"/>
                  <w:noWrap/>
                  <w:vAlign w:val="center"/>
                </w:tcPr>
                <w:p w14:paraId="7425C06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yellow"/>
                      <w:u w:val="none"/>
                    </w:rPr>
                  </w:pPr>
                </w:p>
              </w:tc>
              <w:tc>
                <w:tcPr>
                  <w:tcW w:w="800" w:type="pct"/>
                  <w:shd w:val="clear" w:color="auto" w:fill="auto"/>
                  <w:vAlign w:val="center"/>
                </w:tcPr>
                <w:p w14:paraId="0F8E01CC">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NOx</w:t>
                  </w:r>
                </w:p>
              </w:tc>
              <w:tc>
                <w:tcPr>
                  <w:tcW w:w="1327" w:type="dxa"/>
                  <w:shd w:val="clear" w:color="auto" w:fill="auto"/>
                  <w:vAlign w:val="center"/>
                </w:tcPr>
                <w:p w14:paraId="2646D39D">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66.5</w:t>
                  </w:r>
                </w:p>
              </w:tc>
              <w:tc>
                <w:tcPr>
                  <w:tcW w:w="1109" w:type="dxa"/>
                  <w:shd w:val="clear" w:color="auto" w:fill="auto"/>
                  <w:vAlign w:val="center"/>
                </w:tcPr>
                <w:p w14:paraId="194ABF34">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0.346</w:t>
                  </w:r>
                </w:p>
              </w:tc>
              <w:tc>
                <w:tcPr>
                  <w:tcW w:w="1544" w:type="dxa"/>
                  <w:shd w:val="clear" w:color="auto" w:fill="auto"/>
                  <w:vAlign w:val="center"/>
                </w:tcPr>
                <w:p w14:paraId="5106082F">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0.913</w:t>
                  </w:r>
                </w:p>
              </w:tc>
            </w:tr>
            <w:tr w14:paraId="350FB39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916" w:type="pct"/>
                  <w:vMerge w:val="restart"/>
                  <w:shd w:val="clear" w:color="auto" w:fill="auto"/>
                  <w:noWrap/>
                  <w:vAlign w:val="center"/>
                </w:tcPr>
                <w:p w14:paraId="657D8E93">
                  <w:pPr>
                    <w:snapToGrid w:val="0"/>
                    <w:jc w:val="center"/>
                    <w:rPr>
                      <w:rFonts w:hint="eastAsia" w:cs="Times New Roman"/>
                      <w:b w:val="0"/>
                      <w:bCs w:val="0"/>
                      <w:color w:val="auto"/>
                      <w:sz w:val="21"/>
                      <w:szCs w:val="21"/>
                      <w:highlight w:val="none"/>
                      <w:lang w:val="en-US" w:eastAsia="zh-CN"/>
                    </w:rPr>
                  </w:pPr>
                  <w:r>
                    <w:rPr>
                      <w:rFonts w:hint="eastAsia" w:ascii="Times New Roman" w:hAnsi="Times New Roman" w:cs="Times New Roman" w:eastAsiaTheme="minorEastAsia"/>
                      <w:b w:val="0"/>
                      <w:bCs w:val="0"/>
                      <w:color w:val="auto"/>
                      <w:sz w:val="21"/>
                      <w:szCs w:val="21"/>
                      <w:highlight w:val="none"/>
                      <w:lang w:val="en-US" w:eastAsia="zh-CN"/>
                    </w:rPr>
                    <w:t>燃气</w:t>
                  </w:r>
                  <w:r>
                    <w:rPr>
                      <w:rFonts w:hint="eastAsia" w:cs="Times New Roman" w:eastAsiaTheme="minorEastAsia"/>
                      <w:b w:val="0"/>
                      <w:bCs w:val="0"/>
                      <w:color w:val="auto"/>
                      <w:sz w:val="21"/>
                      <w:szCs w:val="21"/>
                      <w:highlight w:val="none"/>
                      <w:lang w:val="en-US" w:eastAsia="zh-CN"/>
                    </w:rPr>
                    <w:t>加热</w:t>
                  </w:r>
                  <w:r>
                    <w:rPr>
                      <w:rFonts w:hint="eastAsia" w:ascii="Times New Roman" w:hAnsi="Times New Roman" w:cs="Times New Roman" w:eastAsiaTheme="minorEastAsia"/>
                      <w:b w:val="0"/>
                      <w:bCs w:val="0"/>
                      <w:color w:val="auto"/>
                      <w:sz w:val="21"/>
                      <w:szCs w:val="21"/>
                      <w:highlight w:val="none"/>
                      <w:lang w:val="en-US" w:eastAsia="zh-CN"/>
                    </w:rPr>
                    <w:t>炉</w:t>
                  </w:r>
                  <w:r>
                    <w:rPr>
                      <w:rFonts w:hint="eastAsia" w:cs="Times New Roman" w:eastAsiaTheme="minorEastAsia"/>
                      <w:b w:val="0"/>
                      <w:bCs w:val="0"/>
                      <w:color w:val="auto"/>
                      <w:szCs w:val="21"/>
                      <w:highlight w:val="none"/>
                      <w:lang w:val="en-US" w:eastAsia="zh-CN"/>
                    </w:rPr>
                    <w:t>3#</w:t>
                  </w:r>
                </w:p>
              </w:tc>
              <w:tc>
                <w:tcPr>
                  <w:tcW w:w="1313" w:type="dxa"/>
                  <w:vMerge w:val="restart"/>
                  <w:shd w:val="clear" w:color="auto" w:fill="auto"/>
                  <w:noWrap/>
                  <w:vAlign w:val="center"/>
                </w:tcPr>
                <w:p w14:paraId="3BC65EFF">
                  <w:pPr>
                    <w:keepNext w:val="0"/>
                    <w:keepLines w:val="0"/>
                    <w:widowControl/>
                    <w:suppressLineNumbers w:val="0"/>
                    <w:jc w:val="center"/>
                    <w:textAlignment w:val="center"/>
                    <w:rPr>
                      <w:rFonts w:hint="eastAsia" w:cs="Times New Roman" w:eastAsiaTheme="minorEastAsia"/>
                      <w:color w:val="auto"/>
                      <w:spacing w:val="5"/>
                      <w:sz w:val="21"/>
                      <w:szCs w:val="21"/>
                      <w:highlight w:val="yellow"/>
                      <w:lang w:val="en-US" w:eastAsia="zh-CN"/>
                    </w:rPr>
                  </w:pPr>
                  <w:r>
                    <w:rPr>
                      <w:rFonts w:hint="default" w:ascii="Times New Roman" w:hAnsi="Times New Roman" w:eastAsia="宋体" w:cs="Times New Roman"/>
                      <w:i w:val="0"/>
                      <w:iCs w:val="0"/>
                      <w:color w:val="auto"/>
                      <w:kern w:val="0"/>
                      <w:sz w:val="21"/>
                      <w:szCs w:val="21"/>
                      <w:u w:val="none"/>
                      <w:lang w:val="en-US" w:eastAsia="zh-CN" w:bidi="ar"/>
                    </w:rPr>
                    <w:t>68.64</w:t>
                  </w:r>
                </w:p>
              </w:tc>
              <w:tc>
                <w:tcPr>
                  <w:tcW w:w="800" w:type="pct"/>
                  <w:shd w:val="clear" w:color="auto" w:fill="auto"/>
                  <w:vAlign w:val="center"/>
                </w:tcPr>
                <w:p w14:paraId="1716D5C4">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1327" w:type="dxa"/>
                  <w:shd w:val="clear" w:color="auto" w:fill="auto"/>
                  <w:vAlign w:val="center"/>
                </w:tcPr>
                <w:p w14:paraId="54DF8F8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yellow"/>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10.3</w:t>
                  </w:r>
                </w:p>
              </w:tc>
              <w:tc>
                <w:tcPr>
                  <w:tcW w:w="1109" w:type="dxa"/>
                  <w:shd w:val="clear" w:color="auto" w:fill="auto"/>
                  <w:noWrap/>
                  <w:vAlign w:val="center"/>
                </w:tcPr>
                <w:p w14:paraId="5DEDFBC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yellow"/>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0.074</w:t>
                  </w:r>
                </w:p>
              </w:tc>
              <w:tc>
                <w:tcPr>
                  <w:tcW w:w="1544" w:type="dxa"/>
                  <w:shd w:val="clear" w:color="auto" w:fill="auto"/>
                  <w:vAlign w:val="center"/>
                </w:tcPr>
                <w:p w14:paraId="4E23C01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yellow"/>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0.196</w:t>
                  </w:r>
                </w:p>
              </w:tc>
            </w:tr>
            <w:tr w14:paraId="56C456E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916" w:type="pct"/>
                  <w:vMerge w:val="continue"/>
                  <w:shd w:val="clear" w:color="auto" w:fill="auto"/>
                  <w:noWrap/>
                  <w:vAlign w:val="center"/>
                </w:tcPr>
                <w:p w14:paraId="32BFCA00">
                  <w:pPr>
                    <w:snapToGrid w:val="0"/>
                    <w:jc w:val="center"/>
                    <w:rPr>
                      <w:rFonts w:hint="eastAsia" w:cs="Times New Roman"/>
                      <w:b w:val="0"/>
                      <w:bCs w:val="0"/>
                      <w:color w:val="auto"/>
                      <w:sz w:val="21"/>
                      <w:szCs w:val="21"/>
                      <w:highlight w:val="none"/>
                      <w:lang w:val="en-US" w:eastAsia="zh-CN"/>
                    </w:rPr>
                  </w:pPr>
                </w:p>
              </w:tc>
              <w:tc>
                <w:tcPr>
                  <w:tcW w:w="814" w:type="pct"/>
                  <w:vMerge w:val="continue"/>
                  <w:shd w:val="clear" w:color="auto" w:fill="auto"/>
                  <w:noWrap/>
                  <w:vAlign w:val="center"/>
                </w:tcPr>
                <w:p w14:paraId="5A1678C3">
                  <w:pPr>
                    <w:keepNext w:val="0"/>
                    <w:keepLines w:val="0"/>
                    <w:widowControl/>
                    <w:suppressLineNumbers w:val="0"/>
                    <w:jc w:val="center"/>
                    <w:rPr>
                      <w:rFonts w:hint="eastAsia" w:cs="Times New Roman" w:eastAsiaTheme="minorEastAsia"/>
                      <w:color w:val="auto"/>
                      <w:spacing w:val="5"/>
                      <w:sz w:val="21"/>
                      <w:szCs w:val="21"/>
                      <w:highlight w:val="yellow"/>
                      <w:lang w:val="en-US" w:eastAsia="zh-CN"/>
                    </w:rPr>
                  </w:pPr>
                </w:p>
              </w:tc>
              <w:tc>
                <w:tcPr>
                  <w:tcW w:w="800" w:type="pct"/>
                  <w:shd w:val="clear" w:color="auto" w:fill="auto"/>
                  <w:vAlign w:val="center"/>
                </w:tcPr>
                <w:p w14:paraId="74DC844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SO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p>
              </w:tc>
              <w:tc>
                <w:tcPr>
                  <w:tcW w:w="1327" w:type="dxa"/>
                  <w:shd w:val="clear" w:color="auto" w:fill="auto"/>
                  <w:vAlign w:val="center"/>
                </w:tcPr>
                <w:p w14:paraId="71F0085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yellow"/>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1109" w:type="dxa"/>
                  <w:shd w:val="clear" w:color="auto" w:fill="auto"/>
                  <w:noWrap/>
                  <w:vAlign w:val="center"/>
                </w:tcPr>
                <w:p w14:paraId="310E5EF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yellow"/>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0.010</w:t>
                  </w:r>
                </w:p>
              </w:tc>
              <w:tc>
                <w:tcPr>
                  <w:tcW w:w="1544" w:type="dxa"/>
                  <w:shd w:val="clear" w:color="auto" w:fill="auto"/>
                  <w:vAlign w:val="center"/>
                </w:tcPr>
                <w:p w14:paraId="6784675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yellow"/>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0.027</w:t>
                  </w:r>
                </w:p>
              </w:tc>
            </w:tr>
            <w:tr w14:paraId="1078E5C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916" w:type="pct"/>
                  <w:vMerge w:val="continue"/>
                  <w:shd w:val="clear" w:color="auto" w:fill="auto"/>
                  <w:noWrap/>
                  <w:vAlign w:val="center"/>
                </w:tcPr>
                <w:p w14:paraId="131370A6">
                  <w:pPr>
                    <w:snapToGrid w:val="0"/>
                    <w:jc w:val="center"/>
                    <w:rPr>
                      <w:rFonts w:hint="eastAsia" w:cs="Times New Roman"/>
                      <w:b w:val="0"/>
                      <w:bCs w:val="0"/>
                      <w:color w:val="auto"/>
                      <w:sz w:val="21"/>
                      <w:szCs w:val="21"/>
                      <w:highlight w:val="none"/>
                      <w:lang w:val="en-US" w:eastAsia="zh-CN"/>
                    </w:rPr>
                  </w:pPr>
                </w:p>
              </w:tc>
              <w:tc>
                <w:tcPr>
                  <w:tcW w:w="814" w:type="pct"/>
                  <w:vMerge w:val="continue"/>
                  <w:shd w:val="clear" w:color="auto" w:fill="auto"/>
                  <w:noWrap/>
                  <w:vAlign w:val="center"/>
                </w:tcPr>
                <w:p w14:paraId="3C1AA2F0">
                  <w:pPr>
                    <w:keepNext w:val="0"/>
                    <w:keepLines w:val="0"/>
                    <w:widowControl/>
                    <w:suppressLineNumbers w:val="0"/>
                    <w:jc w:val="center"/>
                    <w:rPr>
                      <w:rFonts w:hint="eastAsia" w:cs="Times New Roman" w:eastAsiaTheme="minorEastAsia"/>
                      <w:color w:val="auto"/>
                      <w:spacing w:val="5"/>
                      <w:sz w:val="21"/>
                      <w:szCs w:val="21"/>
                      <w:highlight w:val="yellow"/>
                      <w:lang w:val="en-US" w:eastAsia="zh-CN"/>
                    </w:rPr>
                  </w:pPr>
                </w:p>
              </w:tc>
              <w:tc>
                <w:tcPr>
                  <w:tcW w:w="800" w:type="pct"/>
                  <w:shd w:val="clear" w:color="auto" w:fill="auto"/>
                  <w:vAlign w:val="center"/>
                </w:tcPr>
                <w:p w14:paraId="3B9F4999">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NOx</w:t>
                  </w:r>
                </w:p>
              </w:tc>
              <w:tc>
                <w:tcPr>
                  <w:tcW w:w="1327" w:type="dxa"/>
                  <w:shd w:val="clear" w:color="auto" w:fill="auto"/>
                  <w:vAlign w:val="center"/>
                </w:tcPr>
                <w:p w14:paraId="1B38F28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yellow"/>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67.5</w:t>
                  </w:r>
                </w:p>
              </w:tc>
              <w:tc>
                <w:tcPr>
                  <w:tcW w:w="1109" w:type="dxa"/>
                  <w:shd w:val="clear" w:color="auto" w:fill="auto"/>
                  <w:noWrap/>
                  <w:vAlign w:val="center"/>
                </w:tcPr>
                <w:p w14:paraId="1482F27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yellow"/>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0.486</w:t>
                  </w:r>
                </w:p>
              </w:tc>
              <w:tc>
                <w:tcPr>
                  <w:tcW w:w="1544" w:type="dxa"/>
                  <w:shd w:val="clear" w:color="auto" w:fill="auto"/>
                  <w:vAlign w:val="center"/>
                </w:tcPr>
                <w:p w14:paraId="65439EC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yellow"/>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1.284</w:t>
                  </w:r>
                </w:p>
              </w:tc>
            </w:tr>
            <w:tr w14:paraId="5411574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916" w:type="pct"/>
                  <w:vMerge w:val="restart"/>
                  <w:shd w:val="clear" w:color="auto" w:fill="auto"/>
                  <w:noWrap/>
                  <w:vAlign w:val="center"/>
                </w:tcPr>
                <w:p w14:paraId="60E5410A">
                  <w:pPr>
                    <w:snapToGrid w:val="0"/>
                    <w:jc w:val="center"/>
                    <w:rPr>
                      <w:rFonts w:hint="default" w:ascii="Times New Roman" w:hAnsi="Times New Roman" w:eastAsia="宋体" w:cs="Times New Roman"/>
                      <w:i w:val="0"/>
                      <w:iCs w:val="0"/>
                      <w:color w:val="auto"/>
                      <w:sz w:val="21"/>
                      <w:szCs w:val="21"/>
                      <w:highlight w:val="none"/>
                      <w:u w:val="none"/>
                      <w:lang w:val="en-US"/>
                    </w:rPr>
                  </w:pPr>
                  <w:r>
                    <w:rPr>
                      <w:rFonts w:hint="eastAsia" w:cs="Times New Roman"/>
                      <w:b w:val="0"/>
                      <w:bCs w:val="0"/>
                      <w:color w:val="auto"/>
                      <w:sz w:val="21"/>
                      <w:szCs w:val="21"/>
                      <w:highlight w:val="none"/>
                      <w:lang w:val="en-US" w:eastAsia="zh-CN"/>
                    </w:rPr>
                    <w:t>自由锻</w:t>
                  </w:r>
                  <w:r>
                    <w:rPr>
                      <w:rFonts w:hint="eastAsia" w:ascii="Times New Roman" w:hAnsi="Times New Roman" w:cs="Times New Roman" w:eastAsiaTheme="minorEastAsia"/>
                      <w:b w:val="0"/>
                      <w:bCs w:val="0"/>
                      <w:color w:val="auto"/>
                      <w:sz w:val="21"/>
                      <w:szCs w:val="21"/>
                      <w:highlight w:val="none"/>
                      <w:lang w:val="en-US" w:eastAsia="zh-CN"/>
                    </w:rPr>
                    <w:t>燃气</w:t>
                  </w:r>
                  <w:r>
                    <w:rPr>
                      <w:rFonts w:hint="default" w:ascii="Times New Roman" w:hAnsi="Times New Roman" w:cs="Times New Roman"/>
                      <w:b w:val="0"/>
                      <w:bCs w:val="0"/>
                      <w:color w:val="auto"/>
                      <w:sz w:val="21"/>
                      <w:szCs w:val="21"/>
                      <w:highlight w:val="none"/>
                      <w:lang w:eastAsia="zh-CN"/>
                    </w:rPr>
                    <w:t>回火炉</w:t>
                  </w:r>
                  <w:r>
                    <w:rPr>
                      <w:rFonts w:hint="eastAsia" w:cs="Times New Roman"/>
                      <w:b w:val="0"/>
                      <w:bCs w:val="0"/>
                      <w:color w:val="auto"/>
                      <w:sz w:val="21"/>
                      <w:szCs w:val="21"/>
                      <w:highlight w:val="none"/>
                      <w:lang w:val="en-US" w:eastAsia="zh-CN"/>
                    </w:rPr>
                    <w:t>3#</w:t>
                  </w:r>
                </w:p>
              </w:tc>
              <w:tc>
                <w:tcPr>
                  <w:tcW w:w="1313" w:type="dxa"/>
                  <w:vMerge w:val="restart"/>
                  <w:shd w:val="clear" w:color="auto" w:fill="auto"/>
                  <w:noWrap/>
                  <w:vAlign w:val="center"/>
                </w:tcPr>
                <w:p w14:paraId="47DF962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yellow"/>
                      <w:u w:val="none"/>
                    </w:rPr>
                  </w:pPr>
                  <w:r>
                    <w:rPr>
                      <w:rFonts w:hint="default" w:ascii="Times New Roman" w:hAnsi="Times New Roman" w:eastAsia="宋体" w:cs="Times New Roman"/>
                      <w:i w:val="0"/>
                      <w:iCs w:val="0"/>
                      <w:color w:val="auto"/>
                      <w:kern w:val="0"/>
                      <w:sz w:val="21"/>
                      <w:szCs w:val="21"/>
                      <w:u w:val="none"/>
                      <w:lang w:val="en-US" w:eastAsia="zh-CN" w:bidi="ar"/>
                    </w:rPr>
                    <w:t>68.64</w:t>
                  </w:r>
                </w:p>
              </w:tc>
              <w:tc>
                <w:tcPr>
                  <w:tcW w:w="800" w:type="pct"/>
                  <w:shd w:val="clear" w:color="auto" w:fill="auto"/>
                  <w:vAlign w:val="center"/>
                </w:tcPr>
                <w:p w14:paraId="3CC19A0C">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1327" w:type="dxa"/>
                  <w:shd w:val="clear" w:color="auto" w:fill="auto"/>
                  <w:vAlign w:val="center"/>
                </w:tcPr>
                <w:p w14:paraId="0B08D7DC">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10.3</w:t>
                  </w:r>
                </w:p>
              </w:tc>
              <w:tc>
                <w:tcPr>
                  <w:tcW w:w="1109" w:type="dxa"/>
                  <w:shd w:val="clear" w:color="auto" w:fill="auto"/>
                  <w:noWrap/>
                  <w:vAlign w:val="center"/>
                </w:tcPr>
                <w:p w14:paraId="553444F2">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0.074</w:t>
                  </w:r>
                </w:p>
              </w:tc>
              <w:tc>
                <w:tcPr>
                  <w:tcW w:w="1544" w:type="dxa"/>
                  <w:shd w:val="clear" w:color="auto" w:fill="auto"/>
                  <w:vAlign w:val="center"/>
                </w:tcPr>
                <w:p w14:paraId="54C675F8">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0.196</w:t>
                  </w:r>
                </w:p>
              </w:tc>
            </w:tr>
            <w:tr w14:paraId="261FD89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916" w:type="pct"/>
                  <w:vMerge w:val="continue"/>
                  <w:shd w:val="clear" w:color="auto" w:fill="auto"/>
                  <w:noWrap/>
                  <w:vAlign w:val="center"/>
                </w:tcPr>
                <w:p w14:paraId="2A5ADD7A">
                  <w:pPr>
                    <w:jc w:val="center"/>
                    <w:rPr>
                      <w:rFonts w:hint="default" w:ascii="Times New Roman" w:hAnsi="Times New Roman" w:eastAsia="宋体" w:cs="Times New Roman"/>
                      <w:i w:val="0"/>
                      <w:iCs w:val="0"/>
                      <w:color w:val="auto"/>
                      <w:sz w:val="21"/>
                      <w:szCs w:val="21"/>
                      <w:highlight w:val="none"/>
                      <w:u w:val="none"/>
                    </w:rPr>
                  </w:pPr>
                </w:p>
              </w:tc>
              <w:tc>
                <w:tcPr>
                  <w:tcW w:w="814" w:type="pct"/>
                  <w:vMerge w:val="continue"/>
                  <w:shd w:val="clear" w:color="auto" w:fill="auto"/>
                  <w:noWrap/>
                  <w:vAlign w:val="center"/>
                </w:tcPr>
                <w:p w14:paraId="17755D8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p>
              </w:tc>
              <w:tc>
                <w:tcPr>
                  <w:tcW w:w="800" w:type="pct"/>
                  <w:shd w:val="clear" w:color="auto" w:fill="auto"/>
                  <w:vAlign w:val="center"/>
                </w:tcPr>
                <w:p w14:paraId="7BC431AB">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SO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p>
              </w:tc>
              <w:tc>
                <w:tcPr>
                  <w:tcW w:w="1327" w:type="dxa"/>
                  <w:shd w:val="clear" w:color="auto" w:fill="auto"/>
                  <w:vAlign w:val="center"/>
                </w:tcPr>
                <w:p w14:paraId="4166686C">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1109" w:type="dxa"/>
                  <w:shd w:val="clear" w:color="auto" w:fill="auto"/>
                  <w:vAlign w:val="center"/>
                </w:tcPr>
                <w:p w14:paraId="71C8436F">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0.010</w:t>
                  </w:r>
                </w:p>
              </w:tc>
              <w:tc>
                <w:tcPr>
                  <w:tcW w:w="1544" w:type="dxa"/>
                  <w:shd w:val="clear" w:color="auto" w:fill="auto"/>
                  <w:vAlign w:val="center"/>
                </w:tcPr>
                <w:p w14:paraId="7A6FEC74">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0.027</w:t>
                  </w:r>
                </w:p>
              </w:tc>
            </w:tr>
            <w:tr w14:paraId="772D299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8" w:hRule="atLeast"/>
                <w:jc w:val="center"/>
              </w:trPr>
              <w:tc>
                <w:tcPr>
                  <w:tcW w:w="916" w:type="pct"/>
                  <w:vMerge w:val="continue"/>
                  <w:shd w:val="clear" w:color="auto" w:fill="auto"/>
                  <w:noWrap/>
                  <w:vAlign w:val="center"/>
                </w:tcPr>
                <w:p w14:paraId="69D7210D">
                  <w:pPr>
                    <w:jc w:val="center"/>
                    <w:rPr>
                      <w:rFonts w:hint="default" w:ascii="Times New Roman" w:hAnsi="Times New Roman" w:eastAsia="宋体" w:cs="Times New Roman"/>
                      <w:i w:val="0"/>
                      <w:iCs w:val="0"/>
                      <w:color w:val="auto"/>
                      <w:sz w:val="21"/>
                      <w:szCs w:val="21"/>
                      <w:highlight w:val="none"/>
                      <w:u w:val="none"/>
                    </w:rPr>
                  </w:pPr>
                </w:p>
              </w:tc>
              <w:tc>
                <w:tcPr>
                  <w:tcW w:w="814" w:type="pct"/>
                  <w:vMerge w:val="continue"/>
                  <w:shd w:val="clear" w:color="auto" w:fill="auto"/>
                  <w:noWrap/>
                  <w:vAlign w:val="center"/>
                </w:tcPr>
                <w:p w14:paraId="18A1C6E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p>
              </w:tc>
              <w:tc>
                <w:tcPr>
                  <w:tcW w:w="800" w:type="pct"/>
                  <w:shd w:val="clear" w:color="auto" w:fill="auto"/>
                  <w:vAlign w:val="center"/>
                </w:tcPr>
                <w:p w14:paraId="6382E016">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NOx</w:t>
                  </w:r>
                </w:p>
              </w:tc>
              <w:tc>
                <w:tcPr>
                  <w:tcW w:w="1327" w:type="dxa"/>
                  <w:shd w:val="clear" w:color="auto" w:fill="auto"/>
                  <w:vAlign w:val="center"/>
                </w:tcPr>
                <w:p w14:paraId="667AD5ED">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67.5</w:t>
                  </w:r>
                </w:p>
              </w:tc>
              <w:tc>
                <w:tcPr>
                  <w:tcW w:w="1109" w:type="dxa"/>
                  <w:shd w:val="clear" w:color="auto" w:fill="auto"/>
                  <w:vAlign w:val="center"/>
                </w:tcPr>
                <w:p w14:paraId="51998F75">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0.486</w:t>
                  </w:r>
                </w:p>
              </w:tc>
              <w:tc>
                <w:tcPr>
                  <w:tcW w:w="1544" w:type="dxa"/>
                  <w:shd w:val="clear" w:color="auto" w:fill="auto"/>
                  <w:vAlign w:val="center"/>
                </w:tcPr>
                <w:p w14:paraId="77BED332">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1.284</w:t>
                  </w:r>
                </w:p>
              </w:tc>
            </w:tr>
          </w:tbl>
          <w:p w14:paraId="0C0DE568">
            <w:pPr>
              <w:pStyle w:val="15"/>
              <w:ind w:left="0" w:leftChars="0" w:firstLine="0" w:firstLineChars="0"/>
              <w:jc w:val="center"/>
              <w:rPr>
                <w:rFonts w:hint="default" w:ascii="Times New Roman" w:hAnsi="Times New Roman" w:cs="Times New Roman"/>
                <w:color w:val="auto"/>
                <w:sz w:val="21"/>
                <w:szCs w:val="21"/>
                <w:highlight w:val="none"/>
                <w:lang w:val="en-US" w:eastAsia="zh-CN"/>
              </w:rPr>
            </w:pPr>
          </w:p>
          <w:p w14:paraId="29E49403">
            <w:pPr>
              <w:pStyle w:val="15"/>
              <w:ind w:left="0" w:lef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object>
                <v:shape id="_x0000_i1031" o:spt="75" type="#_x0000_t75" style="height:194.1pt;width:401.3pt;" o:ole="t" filled="f" o:preferrelative="t" stroked="f" coordsize="21600,21600">
                  <v:path/>
                  <v:fill on="f" focussize="0,0"/>
                  <v:stroke on="f"/>
                  <v:imagedata r:id="rId24" o:title=""/>
                  <o:lock v:ext="edit" aspectratio="f"/>
                  <w10:wrap type="none"/>
                  <w10:anchorlock/>
                </v:shape>
                <o:OLEObject Type="Embed" ProgID="Visio.Drawing.11" ShapeID="_x0000_i1031" DrawAspect="Content" ObjectID="_1468075731" r:id="rId23">
                  <o:LockedField>false</o:LockedField>
                </o:OLEObject>
              </w:object>
            </w:r>
            <w:r>
              <w:rPr>
                <w:rFonts w:hint="default" w:ascii="Times New Roman" w:hAnsi="Times New Roman" w:cs="Times New Roman"/>
                <w:color w:val="auto"/>
                <w:sz w:val="21"/>
                <w:szCs w:val="21"/>
                <w:highlight w:val="none"/>
                <w:lang w:val="en-US" w:eastAsia="zh-CN"/>
              </w:rPr>
              <w:t xml:space="preserve">图4-1  </w:t>
            </w:r>
            <w:r>
              <w:rPr>
                <w:rFonts w:hint="eastAsia" w:ascii="Times New Roman" w:hAnsi="Times New Roman" w:cs="Times New Roman"/>
                <w:color w:val="auto"/>
                <w:sz w:val="21"/>
                <w:szCs w:val="21"/>
                <w:highlight w:val="none"/>
                <w:lang w:val="en-US" w:eastAsia="zh-CN"/>
              </w:rPr>
              <w:t>燃烧设备废气走向</w:t>
            </w:r>
            <w:r>
              <w:rPr>
                <w:rFonts w:hint="default" w:ascii="Times New Roman" w:hAnsi="Times New Roman" w:cs="Times New Roman"/>
                <w:color w:val="auto"/>
                <w:sz w:val="21"/>
                <w:szCs w:val="21"/>
                <w:highlight w:val="none"/>
                <w:lang w:val="en-US" w:eastAsia="zh-CN"/>
              </w:rPr>
              <w:t>图</w:t>
            </w:r>
          </w:p>
          <w:p w14:paraId="13EB5C61">
            <w:pPr>
              <w:pStyle w:val="116"/>
              <w:ind w:firstLine="420"/>
              <w:rPr>
                <w:rFonts w:hint="eastAsia"/>
                <w:color w:val="auto"/>
              </w:rPr>
            </w:pPr>
            <w:r>
              <w:rPr>
                <w:rFonts w:hint="eastAsia"/>
                <w:color w:val="auto"/>
              </w:rPr>
              <w:t>（</w:t>
            </w:r>
            <w:r>
              <w:rPr>
                <w:rFonts w:hint="eastAsia"/>
                <w:color w:val="auto"/>
                <w:lang w:val="en-US" w:eastAsia="zh-CN"/>
              </w:rPr>
              <w:t>2</w:t>
            </w:r>
            <w:r>
              <w:rPr>
                <w:rFonts w:hint="eastAsia"/>
                <w:color w:val="auto"/>
              </w:rPr>
              <w:t>）抛丸工序废气</w:t>
            </w:r>
          </w:p>
          <w:p w14:paraId="33CADD46">
            <w:pPr>
              <w:pStyle w:val="116"/>
              <w:ind w:firstLine="420"/>
              <w:jc w:val="both"/>
              <w:rPr>
                <w:color w:val="auto"/>
              </w:rPr>
            </w:pPr>
            <w:r>
              <w:rPr>
                <w:rFonts w:hint="eastAsia"/>
                <w:color w:val="auto"/>
                <w:highlight w:val="none"/>
              </w:rPr>
              <w:t>根据企业提供的资料，</w:t>
            </w:r>
            <w:r>
              <w:rPr>
                <w:rFonts w:hint="eastAsia"/>
                <w:color w:val="auto"/>
                <w:highlight w:val="none"/>
                <w:lang w:val="en-US" w:eastAsia="zh-CN"/>
              </w:rPr>
              <w:t>本项目自由锻生产线抛丸工序利用</w:t>
            </w:r>
            <w:r>
              <w:rPr>
                <w:rFonts w:hint="eastAsia"/>
                <w:color w:val="auto"/>
                <w:highlight w:val="none"/>
              </w:rPr>
              <w:t>现有工程重型</w:t>
            </w:r>
            <w:r>
              <w:rPr>
                <w:rFonts w:hint="eastAsia"/>
                <w:color w:val="auto"/>
                <w:highlight w:val="none"/>
                <w:lang w:val="en-US" w:eastAsia="zh-CN"/>
              </w:rPr>
              <w:t>车间</w:t>
            </w:r>
            <w:r>
              <w:rPr>
                <w:rFonts w:hint="eastAsia"/>
                <w:color w:val="auto"/>
                <w:highlight w:val="none"/>
              </w:rPr>
              <w:t>抛丸</w:t>
            </w:r>
            <w:r>
              <w:rPr>
                <w:rFonts w:hint="eastAsia"/>
                <w:color w:val="auto"/>
                <w:highlight w:val="none"/>
                <w:lang w:val="en-US" w:eastAsia="zh-CN"/>
              </w:rPr>
              <w:t>设备，现有工程抛丸工序生产时间</w:t>
            </w:r>
            <w:r>
              <w:rPr>
                <w:rFonts w:hint="eastAsia"/>
                <w:color w:val="auto"/>
                <w:highlight w:val="none"/>
              </w:rPr>
              <w:t>约</w:t>
            </w:r>
            <w:r>
              <w:rPr>
                <w:rFonts w:hint="eastAsia"/>
                <w:color w:val="auto"/>
                <w:highlight w:val="none"/>
                <w:lang w:val="en-US" w:eastAsia="zh-CN"/>
              </w:rPr>
              <w:t>为</w:t>
            </w:r>
            <w:r>
              <w:rPr>
                <w:rFonts w:hint="eastAsia"/>
                <w:color w:val="auto"/>
                <w:highlight w:val="none"/>
              </w:rPr>
              <w:t>222h/a</w:t>
            </w:r>
            <w:r>
              <w:rPr>
                <w:rFonts w:hint="eastAsia"/>
                <w:color w:val="auto"/>
                <w:highlight w:val="none"/>
                <w:lang w:eastAsia="zh-CN"/>
              </w:rPr>
              <w:t>，</w:t>
            </w:r>
            <w:r>
              <w:rPr>
                <w:rFonts w:hint="eastAsia"/>
                <w:color w:val="auto"/>
                <w:highlight w:val="none"/>
                <w:lang w:val="en-US" w:eastAsia="zh-CN"/>
              </w:rPr>
              <w:t>本项目自由锻生产线生产时间为</w:t>
            </w:r>
            <w:r>
              <w:rPr>
                <w:rFonts w:hint="eastAsia"/>
                <w:color w:val="auto"/>
                <w:highlight w:val="none"/>
              </w:rPr>
              <w:t>2640h/a</w:t>
            </w:r>
            <w:r>
              <w:rPr>
                <w:rFonts w:hint="eastAsia"/>
                <w:color w:val="auto"/>
                <w:highlight w:val="none"/>
                <w:lang w:eastAsia="zh-CN"/>
              </w:rPr>
              <w:t>，</w:t>
            </w:r>
            <w:r>
              <w:rPr>
                <w:rFonts w:hint="eastAsia"/>
                <w:color w:val="auto"/>
                <w:highlight w:val="none"/>
                <w:lang w:val="en-US" w:eastAsia="zh-CN"/>
              </w:rPr>
              <w:t>其中抛丸工序生产时间</w:t>
            </w:r>
            <w:r>
              <w:rPr>
                <w:rFonts w:hint="eastAsia"/>
                <w:color w:val="auto"/>
                <w:highlight w:val="none"/>
              </w:rPr>
              <w:t>约</w:t>
            </w:r>
            <w:r>
              <w:rPr>
                <w:rFonts w:hint="eastAsia"/>
                <w:color w:val="auto"/>
                <w:highlight w:val="none"/>
                <w:lang w:val="en-US" w:eastAsia="zh-CN"/>
              </w:rPr>
              <w:t>为900</w:t>
            </w:r>
            <w:r>
              <w:rPr>
                <w:rFonts w:hint="eastAsia"/>
                <w:color w:val="auto"/>
                <w:highlight w:val="none"/>
              </w:rPr>
              <w:t>h/a</w:t>
            </w:r>
            <w:r>
              <w:rPr>
                <w:rFonts w:hint="eastAsia"/>
                <w:color w:val="auto"/>
                <w:highlight w:val="none"/>
                <w:lang w:eastAsia="zh-CN"/>
              </w:rPr>
              <w:t>，</w:t>
            </w:r>
            <w:r>
              <w:rPr>
                <w:rFonts w:hint="eastAsia"/>
                <w:color w:val="auto"/>
                <w:highlight w:val="none"/>
                <w:lang w:val="en-US" w:eastAsia="zh-CN"/>
              </w:rPr>
              <w:t>生产时间上依托可行</w:t>
            </w:r>
            <w:r>
              <w:rPr>
                <w:rFonts w:hint="eastAsia"/>
                <w:color w:val="auto"/>
                <w:highlight w:val="none"/>
              </w:rPr>
              <w:t>。</w:t>
            </w:r>
            <w:r>
              <w:rPr>
                <w:rFonts w:hint="eastAsia"/>
                <w:color w:val="auto"/>
              </w:rPr>
              <w:t>抛丸过程中产生一定量的粉尘，主要成分为金属氧化物，以颗粒物计，本项目通过式抛丸机入料口与出料口两侧均设置挡条，有效防止了粉尘的外逸，抛丸废气的收集效率按98%计，抛丸机自带滤筒除尘装置处理废气，废气经净化处理后</w:t>
            </w:r>
            <w:r>
              <w:rPr>
                <w:rFonts w:hint="eastAsia"/>
                <w:color w:val="auto"/>
                <w:lang w:eastAsia="zh-CN"/>
              </w:rPr>
              <w:t>通过1根25m高排气筒（DA004）排放</w:t>
            </w:r>
            <w:r>
              <w:rPr>
                <w:rFonts w:hint="eastAsia"/>
                <w:color w:val="auto"/>
              </w:rPr>
              <w:t>，二级滤筒除尘器的除尘效率按99.8%计。</w:t>
            </w:r>
          </w:p>
          <w:p w14:paraId="62E70345">
            <w:pPr>
              <w:pStyle w:val="116"/>
              <w:ind w:firstLine="420"/>
              <w:rPr>
                <w:color w:val="auto"/>
              </w:rPr>
            </w:pPr>
            <w:r>
              <w:rPr>
                <w:rFonts w:hint="eastAsia"/>
                <w:color w:val="auto"/>
              </w:rPr>
              <w:t>根据《排放源统计调查产排污核算方法和系数手册—工业源产排污核算方法和系数手册》“33-37机械行业系数手册”“06预处理—干式预处理—抛丸、喷砂、打磨、滚筒”中的数据，可知抛丸工序颗粒物的产污系数为2.19kg/t-原料，</w:t>
            </w:r>
            <w:r>
              <w:rPr>
                <w:color w:val="auto"/>
              </w:rPr>
              <w:t>则本项目</w:t>
            </w:r>
            <w:r>
              <w:rPr>
                <w:rFonts w:hint="eastAsia"/>
                <w:color w:val="auto"/>
                <w:highlight w:val="none"/>
                <w:lang w:val="en-US" w:eastAsia="zh-CN"/>
              </w:rPr>
              <w:t>自由锻生产线</w:t>
            </w:r>
            <w:r>
              <w:rPr>
                <w:color w:val="auto"/>
              </w:rPr>
              <w:t>抛丸工序</w:t>
            </w:r>
            <w:r>
              <w:rPr>
                <w:rFonts w:hint="eastAsia"/>
                <w:color w:val="auto"/>
                <w:lang w:val="en-US" w:eastAsia="zh-CN"/>
              </w:rPr>
              <w:t>原料约为</w:t>
            </w:r>
            <w:r>
              <w:rPr>
                <w:rFonts w:hint="eastAsia"/>
                <w:color w:val="auto"/>
                <w:highlight w:val="none"/>
                <w:lang w:val="en-US" w:eastAsia="zh-CN"/>
              </w:rPr>
              <w:t>8300</w:t>
            </w:r>
            <w:r>
              <w:rPr>
                <w:rFonts w:hint="eastAsia"/>
                <w:color w:val="auto"/>
                <w:highlight w:val="none"/>
              </w:rPr>
              <w:t>t/a</w:t>
            </w:r>
            <w:r>
              <w:rPr>
                <w:rFonts w:hint="eastAsia"/>
                <w:color w:val="auto"/>
                <w:highlight w:val="none"/>
                <w:lang w:val="en-US" w:eastAsia="zh-CN"/>
              </w:rPr>
              <w:t>，</w:t>
            </w:r>
            <w:r>
              <w:rPr>
                <w:color w:val="auto"/>
                <w:highlight w:val="none"/>
              </w:rPr>
              <w:t>抛丸工序颗粒物的产生量为</w:t>
            </w:r>
            <w:r>
              <w:rPr>
                <w:rFonts w:hint="eastAsia"/>
                <w:color w:val="auto"/>
                <w:highlight w:val="none"/>
                <w:lang w:val="en-US" w:eastAsia="zh-CN"/>
              </w:rPr>
              <w:t>18.177</w:t>
            </w:r>
            <w:r>
              <w:rPr>
                <w:rFonts w:hint="eastAsia"/>
                <w:color w:val="auto"/>
                <w:highlight w:val="none"/>
              </w:rPr>
              <w:t>t/a，</w:t>
            </w:r>
            <w:r>
              <w:rPr>
                <w:rFonts w:hint="eastAsia"/>
                <w:color w:val="auto"/>
              </w:rPr>
              <w:t>本项目抛丸机自带除尘器风机风量为24000m</w:t>
            </w:r>
            <w:r>
              <w:rPr>
                <w:rFonts w:hint="eastAsia"/>
                <w:color w:val="auto"/>
                <w:vertAlign w:val="superscript"/>
              </w:rPr>
              <w:t>3</w:t>
            </w:r>
            <w:r>
              <w:rPr>
                <w:rFonts w:hint="eastAsia"/>
                <w:color w:val="auto"/>
              </w:rPr>
              <w:t>/h，则本项目抛丸工序有组织颗粒物产生与排放情况见</w:t>
            </w:r>
            <w:r>
              <w:rPr>
                <w:rFonts w:hint="eastAsia"/>
                <w:color w:val="auto"/>
                <w:lang w:val="en-US" w:eastAsia="zh-CN"/>
              </w:rPr>
              <w:t>下</w:t>
            </w:r>
            <w:r>
              <w:rPr>
                <w:color w:val="auto"/>
              </w:rPr>
              <w:fldChar w:fldCharType="begin"/>
            </w:r>
            <w:r>
              <w:rPr>
                <w:color w:val="auto"/>
              </w:rPr>
              <w:instrText xml:space="preserve"> REF _Ref142471759 \h  \* MERGEFORMAT </w:instrText>
            </w:r>
            <w:r>
              <w:rPr>
                <w:color w:val="auto"/>
              </w:rPr>
              <w:fldChar w:fldCharType="separate"/>
            </w:r>
            <w:r>
              <w:rPr>
                <w:rFonts w:hint="eastAsia"/>
                <w:color w:val="auto"/>
              </w:rPr>
              <w:t>表</w:t>
            </w:r>
            <w:r>
              <w:rPr>
                <w:color w:val="auto"/>
              </w:rPr>
              <w:fldChar w:fldCharType="end"/>
            </w:r>
            <w:r>
              <w:rPr>
                <w:rFonts w:hint="eastAsia"/>
                <w:color w:val="auto"/>
              </w:rPr>
              <w:t>。</w:t>
            </w:r>
          </w:p>
          <w:p w14:paraId="4E61E9E8">
            <w:pPr>
              <w:pStyle w:val="10"/>
              <w:rPr>
                <w:color w:val="auto"/>
              </w:rPr>
            </w:pPr>
            <w:bookmarkStart w:id="25" w:name="_Ref142471759"/>
            <w:r>
              <w:rPr>
                <w:rFonts w:hint="eastAsia"/>
                <w:color w:val="auto"/>
              </w:rPr>
              <w:t>表4</w:t>
            </w:r>
            <w:r>
              <w:rPr>
                <w:rFonts w:hint="eastAsia"/>
                <w:color w:val="auto"/>
                <w:lang w:eastAsia="zh-CN"/>
              </w:rPr>
              <w:t>-</w:t>
            </w:r>
            <w:bookmarkEnd w:id="25"/>
            <w:r>
              <w:rPr>
                <w:rFonts w:hint="eastAsia"/>
                <w:color w:val="auto"/>
                <w:lang w:val="en-US" w:eastAsia="zh-CN"/>
              </w:rPr>
              <w:t>7</w:t>
            </w:r>
            <w:r>
              <w:rPr>
                <w:rFonts w:hint="eastAsia"/>
                <w:color w:val="auto"/>
              </w:rPr>
              <w:t>本项目重型车间抛丸工序有组织颗粒物产生与排放情况一览表</w:t>
            </w:r>
          </w:p>
          <w:tbl>
            <w:tblPr>
              <w:tblStyle w:val="33"/>
              <w:tblW w:w="4996"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923"/>
              <w:gridCol w:w="376"/>
              <w:gridCol w:w="581"/>
              <w:gridCol w:w="737"/>
              <w:gridCol w:w="318"/>
              <w:gridCol w:w="770"/>
              <w:gridCol w:w="573"/>
              <w:gridCol w:w="483"/>
              <w:gridCol w:w="509"/>
              <w:gridCol w:w="875"/>
              <w:gridCol w:w="719"/>
              <w:gridCol w:w="581"/>
              <w:gridCol w:w="577"/>
            </w:tblGrid>
            <w:tr w14:paraId="0B4780F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03" w:hRule="atLeast"/>
                <w:jc w:val="center"/>
              </w:trPr>
              <w:tc>
                <w:tcPr>
                  <w:tcW w:w="575" w:type="pct"/>
                  <w:vMerge w:val="restart"/>
                  <w:vAlign w:val="center"/>
                </w:tcPr>
                <w:p w14:paraId="2739E152">
                  <w:pPr>
                    <w:adjustRightInd w:val="0"/>
                    <w:snapToGrid w:val="0"/>
                    <w:jc w:val="center"/>
                    <w:rPr>
                      <w:rFonts w:hAnsi="宋体" w:cs="宋体"/>
                      <w:bCs/>
                      <w:color w:val="auto"/>
                      <w:sz w:val="18"/>
                      <w:szCs w:val="18"/>
                    </w:rPr>
                  </w:pPr>
                  <w:r>
                    <w:rPr>
                      <w:rFonts w:hint="eastAsia" w:hAnsi="宋体" w:cs="宋体"/>
                      <w:bCs/>
                      <w:color w:val="auto"/>
                      <w:sz w:val="18"/>
                      <w:szCs w:val="18"/>
                    </w:rPr>
                    <w:t>污染源</w:t>
                  </w:r>
                </w:p>
              </w:tc>
              <w:tc>
                <w:tcPr>
                  <w:tcW w:w="234" w:type="pct"/>
                  <w:vMerge w:val="restart"/>
                  <w:vAlign w:val="center"/>
                </w:tcPr>
                <w:p w14:paraId="4CC503F3">
                  <w:pPr>
                    <w:adjustRightInd w:val="0"/>
                    <w:snapToGrid w:val="0"/>
                    <w:jc w:val="center"/>
                    <w:rPr>
                      <w:rFonts w:hAnsi="宋体" w:cs="宋体"/>
                      <w:bCs/>
                      <w:color w:val="auto"/>
                      <w:sz w:val="18"/>
                      <w:szCs w:val="18"/>
                    </w:rPr>
                  </w:pPr>
                  <w:r>
                    <w:rPr>
                      <w:rFonts w:hint="eastAsia" w:hAnsi="宋体" w:cs="宋体"/>
                      <w:bCs/>
                      <w:color w:val="auto"/>
                      <w:sz w:val="18"/>
                      <w:szCs w:val="18"/>
                    </w:rPr>
                    <w:t>收集效率</w:t>
                  </w:r>
                </w:p>
              </w:tc>
              <w:tc>
                <w:tcPr>
                  <w:tcW w:w="362" w:type="pct"/>
                  <w:vMerge w:val="restart"/>
                  <w:vAlign w:val="center"/>
                </w:tcPr>
                <w:p w14:paraId="11731561">
                  <w:pPr>
                    <w:adjustRightInd w:val="0"/>
                    <w:snapToGrid w:val="0"/>
                    <w:jc w:val="center"/>
                    <w:rPr>
                      <w:rFonts w:hAnsi="宋体" w:cs="宋体"/>
                      <w:bCs/>
                      <w:color w:val="auto"/>
                      <w:sz w:val="18"/>
                      <w:szCs w:val="18"/>
                    </w:rPr>
                  </w:pPr>
                  <w:r>
                    <w:rPr>
                      <w:rFonts w:hint="eastAsia" w:hAnsi="宋体" w:cs="宋体"/>
                      <w:bCs/>
                      <w:color w:val="auto"/>
                      <w:sz w:val="18"/>
                      <w:szCs w:val="18"/>
                    </w:rPr>
                    <w:t>收集量/（t/a）</w:t>
                  </w:r>
                </w:p>
              </w:tc>
              <w:tc>
                <w:tcPr>
                  <w:tcW w:w="459" w:type="pct"/>
                  <w:vMerge w:val="restart"/>
                  <w:vAlign w:val="center"/>
                </w:tcPr>
                <w:p w14:paraId="56C8A84C">
                  <w:pPr>
                    <w:adjustRightInd w:val="0"/>
                    <w:snapToGrid w:val="0"/>
                    <w:jc w:val="center"/>
                    <w:rPr>
                      <w:rFonts w:hAnsi="宋体" w:cs="宋体"/>
                      <w:bCs/>
                      <w:color w:val="auto"/>
                      <w:sz w:val="18"/>
                      <w:szCs w:val="18"/>
                    </w:rPr>
                  </w:pPr>
                  <w:r>
                    <w:rPr>
                      <w:rFonts w:hint="eastAsia" w:hAnsi="宋体" w:cs="宋体"/>
                      <w:bCs/>
                      <w:color w:val="auto"/>
                      <w:sz w:val="18"/>
                      <w:szCs w:val="18"/>
                    </w:rPr>
                    <w:t>排风量/（m</w:t>
                  </w:r>
                  <w:r>
                    <w:rPr>
                      <w:rFonts w:hint="eastAsia" w:hAnsi="宋体" w:cs="宋体"/>
                      <w:bCs/>
                      <w:color w:val="auto"/>
                      <w:sz w:val="18"/>
                      <w:szCs w:val="18"/>
                      <w:vertAlign w:val="superscript"/>
                    </w:rPr>
                    <w:t>3</w:t>
                  </w:r>
                  <w:r>
                    <w:rPr>
                      <w:rFonts w:hint="eastAsia" w:hAnsi="宋体" w:cs="宋体"/>
                      <w:bCs/>
                      <w:color w:val="auto"/>
                      <w:sz w:val="18"/>
                      <w:szCs w:val="18"/>
                    </w:rPr>
                    <w:t>/h）</w:t>
                  </w:r>
                </w:p>
              </w:tc>
              <w:tc>
                <w:tcPr>
                  <w:tcW w:w="198" w:type="pct"/>
                  <w:vMerge w:val="restart"/>
                  <w:vAlign w:val="center"/>
                </w:tcPr>
                <w:p w14:paraId="6CF82581">
                  <w:pPr>
                    <w:adjustRightInd w:val="0"/>
                    <w:snapToGrid w:val="0"/>
                    <w:jc w:val="center"/>
                    <w:rPr>
                      <w:rFonts w:hAnsi="宋体" w:cs="宋体"/>
                      <w:bCs/>
                      <w:color w:val="auto"/>
                      <w:sz w:val="18"/>
                      <w:szCs w:val="18"/>
                    </w:rPr>
                  </w:pPr>
                  <w:r>
                    <w:rPr>
                      <w:rFonts w:hint="eastAsia" w:hAnsi="宋体" w:cs="宋体"/>
                      <w:bCs/>
                      <w:color w:val="auto"/>
                      <w:sz w:val="18"/>
                      <w:szCs w:val="18"/>
                    </w:rPr>
                    <w:t>年运行时间/h</w:t>
                  </w:r>
                </w:p>
              </w:tc>
              <w:tc>
                <w:tcPr>
                  <w:tcW w:w="837" w:type="pct"/>
                  <w:gridSpan w:val="2"/>
                  <w:vAlign w:val="center"/>
                </w:tcPr>
                <w:p w14:paraId="163B8395">
                  <w:pPr>
                    <w:adjustRightInd w:val="0"/>
                    <w:snapToGrid w:val="0"/>
                    <w:jc w:val="center"/>
                    <w:rPr>
                      <w:rFonts w:hAnsi="宋体" w:cs="宋体"/>
                      <w:bCs/>
                      <w:color w:val="auto"/>
                      <w:sz w:val="18"/>
                      <w:szCs w:val="18"/>
                    </w:rPr>
                  </w:pPr>
                  <w:r>
                    <w:rPr>
                      <w:rFonts w:hint="eastAsia" w:hAnsi="宋体" w:cs="宋体"/>
                      <w:bCs/>
                      <w:color w:val="auto"/>
                      <w:sz w:val="18"/>
                      <w:szCs w:val="18"/>
                    </w:rPr>
                    <w:t>净化设施进口情况</w:t>
                  </w:r>
                </w:p>
              </w:tc>
              <w:tc>
                <w:tcPr>
                  <w:tcW w:w="618" w:type="pct"/>
                  <w:gridSpan w:val="2"/>
                  <w:vAlign w:val="center"/>
                </w:tcPr>
                <w:p w14:paraId="482AB400">
                  <w:pPr>
                    <w:adjustRightInd w:val="0"/>
                    <w:snapToGrid w:val="0"/>
                    <w:jc w:val="center"/>
                    <w:rPr>
                      <w:rFonts w:hAnsi="宋体" w:cs="宋体"/>
                      <w:bCs/>
                      <w:color w:val="auto"/>
                      <w:sz w:val="18"/>
                      <w:szCs w:val="18"/>
                    </w:rPr>
                  </w:pPr>
                  <w:r>
                    <w:rPr>
                      <w:rFonts w:hint="eastAsia" w:hAnsi="宋体" w:cs="宋体"/>
                      <w:bCs/>
                      <w:color w:val="auto"/>
                      <w:sz w:val="18"/>
                      <w:szCs w:val="18"/>
                    </w:rPr>
                    <w:t>净化设施情况</w:t>
                  </w:r>
                </w:p>
              </w:tc>
              <w:tc>
                <w:tcPr>
                  <w:tcW w:w="1715" w:type="pct"/>
                  <w:gridSpan w:val="4"/>
                  <w:vAlign w:val="center"/>
                </w:tcPr>
                <w:p w14:paraId="5A7B2941">
                  <w:pPr>
                    <w:adjustRightInd w:val="0"/>
                    <w:snapToGrid w:val="0"/>
                    <w:jc w:val="center"/>
                    <w:rPr>
                      <w:rFonts w:hAnsi="宋体" w:cs="宋体"/>
                      <w:bCs/>
                      <w:color w:val="auto"/>
                      <w:sz w:val="18"/>
                      <w:szCs w:val="18"/>
                    </w:rPr>
                  </w:pPr>
                  <w:r>
                    <w:rPr>
                      <w:rFonts w:hint="eastAsia" w:hAnsi="宋体" w:cs="宋体"/>
                      <w:bCs/>
                      <w:color w:val="auto"/>
                      <w:sz w:val="18"/>
                      <w:szCs w:val="18"/>
                    </w:rPr>
                    <w:t>排放情况</w:t>
                  </w:r>
                </w:p>
              </w:tc>
            </w:tr>
            <w:tr w14:paraId="173E3A1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75" w:type="pct"/>
                  <w:vMerge w:val="continue"/>
                  <w:vAlign w:val="center"/>
                </w:tcPr>
                <w:p w14:paraId="6C416527">
                  <w:pPr>
                    <w:adjustRightInd w:val="0"/>
                    <w:snapToGrid w:val="0"/>
                    <w:jc w:val="center"/>
                    <w:rPr>
                      <w:rFonts w:hAnsi="宋体" w:cs="宋体"/>
                      <w:bCs/>
                      <w:color w:val="auto"/>
                      <w:sz w:val="18"/>
                      <w:szCs w:val="18"/>
                    </w:rPr>
                  </w:pPr>
                </w:p>
              </w:tc>
              <w:tc>
                <w:tcPr>
                  <w:tcW w:w="234" w:type="pct"/>
                  <w:vMerge w:val="continue"/>
                  <w:vAlign w:val="center"/>
                </w:tcPr>
                <w:p w14:paraId="58694D5A">
                  <w:pPr>
                    <w:adjustRightInd w:val="0"/>
                    <w:snapToGrid w:val="0"/>
                    <w:jc w:val="center"/>
                    <w:rPr>
                      <w:rFonts w:hAnsi="宋体" w:cs="宋体"/>
                      <w:bCs/>
                      <w:color w:val="auto"/>
                      <w:sz w:val="18"/>
                      <w:szCs w:val="18"/>
                    </w:rPr>
                  </w:pPr>
                </w:p>
              </w:tc>
              <w:tc>
                <w:tcPr>
                  <w:tcW w:w="362" w:type="pct"/>
                  <w:vMerge w:val="continue"/>
                  <w:vAlign w:val="center"/>
                </w:tcPr>
                <w:p w14:paraId="494E14FB">
                  <w:pPr>
                    <w:adjustRightInd w:val="0"/>
                    <w:snapToGrid w:val="0"/>
                    <w:jc w:val="center"/>
                    <w:rPr>
                      <w:rFonts w:hAnsi="宋体" w:cs="宋体"/>
                      <w:bCs/>
                      <w:color w:val="auto"/>
                      <w:sz w:val="18"/>
                      <w:szCs w:val="18"/>
                    </w:rPr>
                  </w:pPr>
                </w:p>
              </w:tc>
              <w:tc>
                <w:tcPr>
                  <w:tcW w:w="459" w:type="pct"/>
                  <w:vMerge w:val="continue"/>
                  <w:vAlign w:val="center"/>
                </w:tcPr>
                <w:p w14:paraId="5A2BB85D">
                  <w:pPr>
                    <w:adjustRightInd w:val="0"/>
                    <w:snapToGrid w:val="0"/>
                    <w:jc w:val="center"/>
                    <w:rPr>
                      <w:rFonts w:hAnsi="宋体" w:cs="宋体"/>
                      <w:bCs/>
                      <w:color w:val="auto"/>
                      <w:sz w:val="18"/>
                      <w:szCs w:val="18"/>
                    </w:rPr>
                  </w:pPr>
                </w:p>
              </w:tc>
              <w:tc>
                <w:tcPr>
                  <w:tcW w:w="198" w:type="pct"/>
                  <w:vMerge w:val="continue"/>
                  <w:vAlign w:val="center"/>
                </w:tcPr>
                <w:p w14:paraId="3562B6E2">
                  <w:pPr>
                    <w:adjustRightInd w:val="0"/>
                    <w:snapToGrid w:val="0"/>
                    <w:jc w:val="center"/>
                    <w:rPr>
                      <w:rFonts w:hAnsi="宋体" w:cs="宋体"/>
                      <w:bCs/>
                      <w:color w:val="auto"/>
                      <w:sz w:val="18"/>
                      <w:szCs w:val="18"/>
                    </w:rPr>
                  </w:pPr>
                </w:p>
              </w:tc>
              <w:tc>
                <w:tcPr>
                  <w:tcW w:w="479" w:type="pct"/>
                  <w:vAlign w:val="center"/>
                </w:tcPr>
                <w:p w14:paraId="4474CDCA">
                  <w:pPr>
                    <w:adjustRightInd w:val="0"/>
                    <w:snapToGrid w:val="0"/>
                    <w:jc w:val="center"/>
                    <w:rPr>
                      <w:rFonts w:hAnsi="宋体" w:cs="宋体"/>
                      <w:bCs/>
                      <w:color w:val="auto"/>
                      <w:sz w:val="18"/>
                      <w:szCs w:val="18"/>
                    </w:rPr>
                  </w:pPr>
                  <w:r>
                    <w:rPr>
                      <w:rFonts w:hint="eastAsia" w:hAnsi="宋体" w:cs="宋体"/>
                      <w:bCs/>
                      <w:color w:val="auto"/>
                      <w:sz w:val="18"/>
                      <w:szCs w:val="18"/>
                    </w:rPr>
                    <w:t>浓度/（mg/m</w:t>
                  </w:r>
                  <w:r>
                    <w:rPr>
                      <w:rFonts w:hint="eastAsia" w:hAnsi="宋体" w:cs="宋体"/>
                      <w:bCs/>
                      <w:color w:val="auto"/>
                      <w:sz w:val="18"/>
                      <w:szCs w:val="18"/>
                      <w:vertAlign w:val="superscript"/>
                    </w:rPr>
                    <w:t>3</w:t>
                  </w:r>
                  <w:r>
                    <w:rPr>
                      <w:rFonts w:hint="eastAsia" w:hAnsi="宋体" w:cs="宋体"/>
                      <w:bCs/>
                      <w:color w:val="auto"/>
                      <w:sz w:val="18"/>
                      <w:szCs w:val="18"/>
                    </w:rPr>
                    <w:t>）</w:t>
                  </w:r>
                </w:p>
              </w:tc>
              <w:tc>
                <w:tcPr>
                  <w:tcW w:w="357" w:type="pct"/>
                  <w:vAlign w:val="center"/>
                </w:tcPr>
                <w:p w14:paraId="2EFBD2B7">
                  <w:pPr>
                    <w:adjustRightInd w:val="0"/>
                    <w:snapToGrid w:val="0"/>
                    <w:jc w:val="center"/>
                    <w:rPr>
                      <w:rFonts w:hAnsi="宋体" w:cs="宋体"/>
                      <w:bCs/>
                      <w:color w:val="auto"/>
                      <w:sz w:val="18"/>
                      <w:szCs w:val="18"/>
                    </w:rPr>
                  </w:pPr>
                  <w:r>
                    <w:rPr>
                      <w:rFonts w:hint="eastAsia" w:hAnsi="宋体" w:cs="宋体"/>
                      <w:bCs/>
                      <w:color w:val="auto"/>
                      <w:sz w:val="18"/>
                      <w:szCs w:val="18"/>
                    </w:rPr>
                    <w:t>速率/（kg/h）</w:t>
                  </w:r>
                </w:p>
              </w:tc>
              <w:tc>
                <w:tcPr>
                  <w:tcW w:w="301" w:type="pct"/>
                  <w:vAlign w:val="center"/>
                </w:tcPr>
                <w:p w14:paraId="1D65EEE4">
                  <w:pPr>
                    <w:adjustRightInd w:val="0"/>
                    <w:snapToGrid w:val="0"/>
                    <w:jc w:val="center"/>
                    <w:rPr>
                      <w:rFonts w:hAnsi="宋体" w:cs="宋体"/>
                      <w:bCs/>
                      <w:color w:val="auto"/>
                      <w:sz w:val="18"/>
                      <w:szCs w:val="18"/>
                    </w:rPr>
                  </w:pPr>
                  <w:r>
                    <w:rPr>
                      <w:rFonts w:hint="eastAsia" w:hAnsi="宋体" w:cs="宋体"/>
                      <w:bCs/>
                      <w:color w:val="auto"/>
                      <w:sz w:val="18"/>
                      <w:szCs w:val="18"/>
                    </w:rPr>
                    <w:t>净化设施</w:t>
                  </w:r>
                </w:p>
              </w:tc>
              <w:tc>
                <w:tcPr>
                  <w:tcW w:w="317" w:type="pct"/>
                  <w:vAlign w:val="center"/>
                </w:tcPr>
                <w:p w14:paraId="18B634EB">
                  <w:pPr>
                    <w:adjustRightInd w:val="0"/>
                    <w:snapToGrid w:val="0"/>
                    <w:jc w:val="center"/>
                    <w:rPr>
                      <w:rFonts w:hAnsi="宋体" w:cs="宋体"/>
                      <w:bCs/>
                      <w:color w:val="auto"/>
                      <w:sz w:val="18"/>
                      <w:szCs w:val="18"/>
                    </w:rPr>
                  </w:pPr>
                  <w:r>
                    <w:rPr>
                      <w:rFonts w:hint="eastAsia" w:hAnsi="宋体" w:cs="宋体"/>
                      <w:bCs/>
                      <w:color w:val="auto"/>
                      <w:sz w:val="18"/>
                      <w:szCs w:val="18"/>
                    </w:rPr>
                    <w:t>去除效率</w:t>
                  </w:r>
                </w:p>
              </w:tc>
              <w:tc>
                <w:tcPr>
                  <w:tcW w:w="545" w:type="pct"/>
                  <w:vAlign w:val="center"/>
                </w:tcPr>
                <w:p w14:paraId="2207FD2E">
                  <w:pPr>
                    <w:adjustRightInd w:val="0"/>
                    <w:snapToGrid w:val="0"/>
                    <w:jc w:val="center"/>
                    <w:rPr>
                      <w:rFonts w:hAnsi="宋体" w:cs="宋体"/>
                      <w:bCs/>
                      <w:color w:val="auto"/>
                      <w:sz w:val="18"/>
                      <w:szCs w:val="18"/>
                    </w:rPr>
                  </w:pPr>
                  <w:r>
                    <w:rPr>
                      <w:rFonts w:hint="eastAsia" w:hAnsi="宋体" w:cs="宋体"/>
                      <w:bCs/>
                      <w:color w:val="auto"/>
                      <w:sz w:val="18"/>
                      <w:szCs w:val="18"/>
                    </w:rPr>
                    <w:t>浓度/（mg/m</w:t>
                  </w:r>
                  <w:r>
                    <w:rPr>
                      <w:rFonts w:hint="eastAsia" w:hAnsi="宋体" w:cs="宋体"/>
                      <w:bCs/>
                      <w:color w:val="auto"/>
                      <w:sz w:val="18"/>
                      <w:szCs w:val="18"/>
                      <w:vertAlign w:val="superscript"/>
                    </w:rPr>
                    <w:t>3</w:t>
                  </w:r>
                  <w:r>
                    <w:rPr>
                      <w:rFonts w:hint="eastAsia" w:hAnsi="宋体" w:cs="宋体"/>
                      <w:bCs/>
                      <w:color w:val="auto"/>
                      <w:sz w:val="18"/>
                      <w:szCs w:val="18"/>
                    </w:rPr>
                    <w:t>）</w:t>
                  </w:r>
                </w:p>
              </w:tc>
              <w:tc>
                <w:tcPr>
                  <w:tcW w:w="448" w:type="pct"/>
                  <w:vAlign w:val="center"/>
                </w:tcPr>
                <w:p w14:paraId="6AA710CC">
                  <w:pPr>
                    <w:adjustRightInd w:val="0"/>
                    <w:snapToGrid w:val="0"/>
                    <w:jc w:val="center"/>
                    <w:rPr>
                      <w:rFonts w:hAnsi="宋体" w:cs="宋体"/>
                      <w:bCs/>
                      <w:color w:val="auto"/>
                      <w:sz w:val="18"/>
                      <w:szCs w:val="18"/>
                    </w:rPr>
                  </w:pPr>
                  <w:r>
                    <w:rPr>
                      <w:rFonts w:hint="eastAsia" w:hAnsi="宋体" w:cs="宋体"/>
                      <w:bCs/>
                      <w:color w:val="auto"/>
                      <w:sz w:val="18"/>
                      <w:szCs w:val="18"/>
                    </w:rPr>
                    <w:t>速率/（kg/h）</w:t>
                  </w:r>
                </w:p>
              </w:tc>
              <w:tc>
                <w:tcPr>
                  <w:tcW w:w="362" w:type="pct"/>
                  <w:vAlign w:val="center"/>
                </w:tcPr>
                <w:p w14:paraId="376BA316">
                  <w:pPr>
                    <w:adjustRightInd w:val="0"/>
                    <w:snapToGrid w:val="0"/>
                    <w:jc w:val="center"/>
                    <w:rPr>
                      <w:rFonts w:hAnsi="宋体" w:cs="宋体"/>
                      <w:bCs/>
                      <w:color w:val="auto"/>
                      <w:sz w:val="18"/>
                      <w:szCs w:val="18"/>
                    </w:rPr>
                  </w:pPr>
                  <w:r>
                    <w:rPr>
                      <w:rFonts w:hint="eastAsia" w:hAnsi="宋体" w:cs="宋体"/>
                      <w:bCs/>
                      <w:color w:val="auto"/>
                      <w:sz w:val="18"/>
                      <w:szCs w:val="18"/>
                    </w:rPr>
                    <w:t>排放量/（t/a）</w:t>
                  </w:r>
                </w:p>
              </w:tc>
              <w:tc>
                <w:tcPr>
                  <w:tcW w:w="359" w:type="pct"/>
                  <w:vAlign w:val="center"/>
                </w:tcPr>
                <w:p w14:paraId="4232E039">
                  <w:pPr>
                    <w:adjustRightInd w:val="0"/>
                    <w:snapToGrid w:val="0"/>
                    <w:jc w:val="center"/>
                    <w:rPr>
                      <w:rFonts w:hAnsi="宋体" w:cs="宋体"/>
                      <w:bCs/>
                      <w:color w:val="auto"/>
                      <w:sz w:val="18"/>
                      <w:szCs w:val="18"/>
                    </w:rPr>
                  </w:pPr>
                  <w:r>
                    <w:rPr>
                      <w:rFonts w:hint="eastAsia" w:hAnsi="宋体" w:cs="宋体"/>
                      <w:bCs/>
                      <w:color w:val="auto"/>
                      <w:sz w:val="18"/>
                      <w:szCs w:val="18"/>
                    </w:rPr>
                    <w:t>排气筒编号</w:t>
                  </w:r>
                </w:p>
              </w:tc>
            </w:tr>
            <w:tr w14:paraId="0C035D4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75" w:type="pct"/>
                  <w:vAlign w:val="center"/>
                </w:tcPr>
                <w:p w14:paraId="5652009C">
                  <w:pPr>
                    <w:adjustRightInd w:val="0"/>
                    <w:snapToGrid w:val="0"/>
                    <w:jc w:val="center"/>
                    <w:rPr>
                      <w:rFonts w:hAnsi="宋体" w:cs="宋体"/>
                      <w:bCs/>
                      <w:color w:val="auto"/>
                      <w:sz w:val="18"/>
                      <w:szCs w:val="18"/>
                      <w:highlight w:val="none"/>
                    </w:rPr>
                  </w:pPr>
                  <w:r>
                    <w:rPr>
                      <w:rFonts w:hint="eastAsia" w:hAnsi="宋体" w:cs="宋体"/>
                      <w:bCs/>
                      <w:color w:val="auto"/>
                      <w:sz w:val="18"/>
                      <w:szCs w:val="18"/>
                      <w:highlight w:val="none"/>
                    </w:rPr>
                    <w:t>抛丸工序（DA004）</w:t>
                  </w:r>
                </w:p>
              </w:tc>
              <w:tc>
                <w:tcPr>
                  <w:tcW w:w="234" w:type="pct"/>
                  <w:vAlign w:val="center"/>
                </w:tcPr>
                <w:p w14:paraId="6F2B949C">
                  <w:pPr>
                    <w:adjustRightInd w:val="0"/>
                    <w:snapToGrid w:val="0"/>
                    <w:jc w:val="center"/>
                    <w:rPr>
                      <w:rFonts w:hAnsi="宋体" w:cs="宋体"/>
                      <w:bCs/>
                      <w:color w:val="auto"/>
                      <w:sz w:val="18"/>
                      <w:szCs w:val="18"/>
                      <w:highlight w:val="none"/>
                    </w:rPr>
                  </w:pPr>
                  <w:r>
                    <w:rPr>
                      <w:rFonts w:hint="eastAsia" w:hAnsi="宋体" w:cs="宋体"/>
                      <w:bCs/>
                      <w:color w:val="auto"/>
                      <w:sz w:val="18"/>
                      <w:szCs w:val="18"/>
                      <w:highlight w:val="none"/>
                    </w:rPr>
                    <w:t>98%</w:t>
                  </w:r>
                </w:p>
              </w:tc>
              <w:tc>
                <w:tcPr>
                  <w:tcW w:w="362" w:type="pct"/>
                  <w:vAlign w:val="center"/>
                </w:tcPr>
                <w:p w14:paraId="15EDC967">
                  <w:pPr>
                    <w:adjustRightInd w:val="0"/>
                    <w:snapToGrid w:val="0"/>
                    <w:jc w:val="center"/>
                    <w:rPr>
                      <w:rFonts w:hint="default" w:hAnsi="宋体" w:eastAsia="宋体" w:cs="宋体"/>
                      <w:bCs/>
                      <w:color w:val="auto"/>
                      <w:sz w:val="18"/>
                      <w:szCs w:val="18"/>
                      <w:highlight w:val="none"/>
                      <w:lang w:val="en-US" w:eastAsia="zh-CN"/>
                    </w:rPr>
                  </w:pPr>
                  <w:r>
                    <w:rPr>
                      <w:rFonts w:hint="eastAsia" w:hAnsi="宋体" w:cs="宋体"/>
                      <w:bCs/>
                      <w:color w:val="auto"/>
                      <w:sz w:val="18"/>
                      <w:szCs w:val="18"/>
                      <w:highlight w:val="none"/>
                      <w:lang w:val="en-US" w:eastAsia="zh-CN"/>
                    </w:rPr>
                    <w:t>17.813</w:t>
                  </w:r>
                </w:p>
              </w:tc>
              <w:tc>
                <w:tcPr>
                  <w:tcW w:w="459" w:type="pct"/>
                  <w:vAlign w:val="center"/>
                </w:tcPr>
                <w:p w14:paraId="5833A7A4">
                  <w:pPr>
                    <w:adjustRightInd w:val="0"/>
                    <w:snapToGrid w:val="0"/>
                    <w:jc w:val="center"/>
                    <w:rPr>
                      <w:rFonts w:hAnsi="宋体" w:cs="宋体"/>
                      <w:bCs/>
                      <w:color w:val="auto"/>
                      <w:sz w:val="18"/>
                      <w:szCs w:val="18"/>
                      <w:highlight w:val="none"/>
                    </w:rPr>
                  </w:pPr>
                  <w:r>
                    <w:rPr>
                      <w:rFonts w:hint="eastAsia" w:hAnsi="宋体" w:cs="宋体"/>
                      <w:bCs/>
                      <w:color w:val="auto"/>
                      <w:sz w:val="18"/>
                      <w:szCs w:val="18"/>
                      <w:highlight w:val="none"/>
                    </w:rPr>
                    <w:t>24000</w:t>
                  </w:r>
                </w:p>
              </w:tc>
              <w:tc>
                <w:tcPr>
                  <w:tcW w:w="198" w:type="pct"/>
                  <w:vAlign w:val="center"/>
                </w:tcPr>
                <w:p w14:paraId="5C6933C5">
                  <w:pPr>
                    <w:adjustRightInd w:val="0"/>
                    <w:snapToGrid w:val="0"/>
                    <w:jc w:val="center"/>
                    <w:rPr>
                      <w:rFonts w:hint="default" w:hAnsi="宋体" w:eastAsia="宋体" w:cs="宋体"/>
                      <w:bCs/>
                      <w:color w:val="auto"/>
                      <w:sz w:val="18"/>
                      <w:szCs w:val="18"/>
                      <w:highlight w:val="none"/>
                      <w:lang w:val="en-US" w:eastAsia="zh-CN"/>
                    </w:rPr>
                  </w:pPr>
                  <w:r>
                    <w:rPr>
                      <w:rFonts w:hint="eastAsia" w:hAnsi="宋体" w:cs="宋体"/>
                      <w:bCs/>
                      <w:color w:val="auto"/>
                      <w:sz w:val="18"/>
                      <w:szCs w:val="18"/>
                      <w:highlight w:val="none"/>
                      <w:lang w:val="en-US" w:eastAsia="zh-CN"/>
                    </w:rPr>
                    <w:t>900</w:t>
                  </w:r>
                </w:p>
              </w:tc>
              <w:tc>
                <w:tcPr>
                  <w:tcW w:w="479" w:type="pct"/>
                  <w:vAlign w:val="center"/>
                </w:tcPr>
                <w:p w14:paraId="4B703FDE">
                  <w:pPr>
                    <w:keepNext w:val="0"/>
                    <w:keepLines w:val="0"/>
                    <w:widowControl/>
                    <w:suppressLineNumbers w:val="0"/>
                    <w:jc w:val="center"/>
                    <w:textAlignment w:val="center"/>
                    <w:rPr>
                      <w:rFonts w:hAnsi="宋体" w:cs="宋体"/>
                      <w:bCs/>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825</w:t>
                  </w:r>
                </w:p>
              </w:tc>
              <w:tc>
                <w:tcPr>
                  <w:tcW w:w="357" w:type="pct"/>
                  <w:vAlign w:val="center"/>
                </w:tcPr>
                <w:p w14:paraId="437FDB9A">
                  <w:pPr>
                    <w:keepNext w:val="0"/>
                    <w:keepLines w:val="0"/>
                    <w:widowControl/>
                    <w:suppressLineNumbers w:val="0"/>
                    <w:jc w:val="center"/>
                    <w:textAlignment w:val="center"/>
                    <w:rPr>
                      <w:rFonts w:hAnsi="宋体" w:cs="宋体"/>
                      <w:bCs/>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19.79</w:t>
                  </w:r>
                </w:p>
              </w:tc>
              <w:tc>
                <w:tcPr>
                  <w:tcW w:w="301" w:type="pct"/>
                  <w:vAlign w:val="center"/>
                </w:tcPr>
                <w:p w14:paraId="78D3CA3F">
                  <w:pPr>
                    <w:adjustRightInd w:val="0"/>
                    <w:snapToGrid w:val="0"/>
                    <w:jc w:val="center"/>
                    <w:rPr>
                      <w:rFonts w:hAnsi="宋体" w:cs="宋体"/>
                      <w:bCs/>
                      <w:color w:val="auto"/>
                      <w:sz w:val="18"/>
                      <w:szCs w:val="18"/>
                      <w:highlight w:val="none"/>
                    </w:rPr>
                  </w:pPr>
                  <w:r>
                    <w:rPr>
                      <w:rFonts w:hint="eastAsia" w:hAnsi="宋体" w:cs="宋体"/>
                      <w:bCs/>
                      <w:color w:val="auto"/>
                      <w:sz w:val="18"/>
                      <w:szCs w:val="18"/>
                      <w:highlight w:val="none"/>
                    </w:rPr>
                    <w:t>二级滤筒除尘器</w:t>
                  </w:r>
                </w:p>
              </w:tc>
              <w:tc>
                <w:tcPr>
                  <w:tcW w:w="317" w:type="pct"/>
                  <w:vAlign w:val="center"/>
                </w:tcPr>
                <w:p w14:paraId="1929845F">
                  <w:pPr>
                    <w:adjustRightInd w:val="0"/>
                    <w:snapToGrid w:val="0"/>
                    <w:jc w:val="center"/>
                    <w:rPr>
                      <w:rFonts w:hAnsi="宋体" w:cs="宋体"/>
                      <w:bCs/>
                      <w:color w:val="auto"/>
                      <w:sz w:val="18"/>
                      <w:szCs w:val="18"/>
                      <w:highlight w:val="none"/>
                    </w:rPr>
                  </w:pPr>
                  <w:r>
                    <w:rPr>
                      <w:rFonts w:hint="eastAsia" w:hAnsi="宋体" w:cs="宋体"/>
                      <w:bCs/>
                      <w:color w:val="auto"/>
                      <w:sz w:val="18"/>
                      <w:szCs w:val="18"/>
                      <w:highlight w:val="none"/>
                    </w:rPr>
                    <w:t>99.8%</w:t>
                  </w:r>
                </w:p>
              </w:tc>
              <w:tc>
                <w:tcPr>
                  <w:tcW w:w="545" w:type="pct"/>
                  <w:vAlign w:val="center"/>
                </w:tcPr>
                <w:p w14:paraId="08887ECD">
                  <w:pPr>
                    <w:keepNext w:val="0"/>
                    <w:keepLines w:val="0"/>
                    <w:widowControl/>
                    <w:suppressLineNumbers w:val="0"/>
                    <w:jc w:val="center"/>
                    <w:textAlignment w:val="center"/>
                    <w:rPr>
                      <w:rFonts w:hAnsi="宋体" w:cs="宋体"/>
                      <w:bCs/>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1.6</w:t>
                  </w:r>
                </w:p>
              </w:tc>
              <w:tc>
                <w:tcPr>
                  <w:tcW w:w="448" w:type="pct"/>
                  <w:vAlign w:val="center"/>
                </w:tcPr>
                <w:p w14:paraId="77F975A1">
                  <w:pPr>
                    <w:keepNext w:val="0"/>
                    <w:keepLines w:val="0"/>
                    <w:widowControl/>
                    <w:suppressLineNumbers w:val="0"/>
                    <w:jc w:val="center"/>
                    <w:textAlignment w:val="center"/>
                    <w:rPr>
                      <w:rFonts w:hAnsi="宋体" w:cs="宋体"/>
                      <w:bCs/>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0.040</w:t>
                  </w:r>
                </w:p>
              </w:tc>
              <w:tc>
                <w:tcPr>
                  <w:tcW w:w="362" w:type="pct"/>
                  <w:vAlign w:val="center"/>
                </w:tcPr>
                <w:p w14:paraId="59BA897C">
                  <w:pPr>
                    <w:keepNext w:val="0"/>
                    <w:keepLines w:val="0"/>
                    <w:widowControl/>
                    <w:suppressLineNumbers w:val="0"/>
                    <w:jc w:val="center"/>
                    <w:textAlignment w:val="center"/>
                    <w:rPr>
                      <w:rFonts w:hAnsi="宋体" w:cs="宋体"/>
                      <w:bCs/>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0.036</w:t>
                  </w:r>
                </w:p>
              </w:tc>
              <w:tc>
                <w:tcPr>
                  <w:tcW w:w="359" w:type="pct"/>
                  <w:vAlign w:val="center"/>
                </w:tcPr>
                <w:p w14:paraId="6D33D4D6">
                  <w:pPr>
                    <w:adjustRightInd w:val="0"/>
                    <w:snapToGrid w:val="0"/>
                    <w:jc w:val="center"/>
                    <w:rPr>
                      <w:rFonts w:hAnsi="宋体" w:cs="宋体"/>
                      <w:bCs/>
                      <w:color w:val="auto"/>
                      <w:sz w:val="18"/>
                      <w:szCs w:val="18"/>
                      <w:highlight w:val="none"/>
                    </w:rPr>
                  </w:pPr>
                  <w:r>
                    <w:rPr>
                      <w:rFonts w:hint="eastAsia" w:hAnsi="宋体" w:cs="宋体"/>
                      <w:bCs/>
                      <w:color w:val="auto"/>
                      <w:sz w:val="18"/>
                      <w:szCs w:val="18"/>
                      <w:highlight w:val="none"/>
                    </w:rPr>
                    <w:t>DA004</w:t>
                  </w:r>
                </w:p>
              </w:tc>
            </w:tr>
          </w:tbl>
          <w:p w14:paraId="64900B3B">
            <w:pPr>
              <w:pStyle w:val="119"/>
              <w:rPr>
                <w:rFonts w:hint="eastAsia" w:eastAsia="宋体"/>
                <w:color w:val="auto"/>
                <w:highlight w:val="none"/>
                <w:lang w:val="en-US" w:eastAsia="zh-CN"/>
              </w:rPr>
            </w:pPr>
            <w:r>
              <w:rPr>
                <w:rFonts w:hint="eastAsia"/>
                <w:color w:val="auto"/>
                <w:highlight w:val="none"/>
              </w:rPr>
              <w:t>1.4.2无组织</w:t>
            </w:r>
            <w:r>
              <w:rPr>
                <w:rFonts w:hint="eastAsia"/>
                <w:color w:val="auto"/>
                <w:highlight w:val="none"/>
                <w:lang w:val="en-US" w:eastAsia="zh-CN"/>
              </w:rPr>
              <w:t>废气</w:t>
            </w:r>
          </w:p>
          <w:p w14:paraId="09ABE34E">
            <w:pPr>
              <w:pStyle w:val="116"/>
              <w:ind w:firstLine="420"/>
              <w:rPr>
                <w:color w:val="auto"/>
                <w:highlight w:val="none"/>
              </w:rPr>
            </w:pPr>
            <w:r>
              <w:rPr>
                <w:rFonts w:hint="eastAsia"/>
                <w:color w:val="auto"/>
                <w:highlight w:val="none"/>
              </w:rPr>
              <w:t>未被收集的颗粒物以无组织形式排放，排放量为0.</w:t>
            </w:r>
            <w:r>
              <w:rPr>
                <w:rFonts w:hint="eastAsia"/>
                <w:color w:val="auto"/>
                <w:highlight w:val="none"/>
                <w:lang w:val="en-US" w:eastAsia="zh-CN"/>
              </w:rPr>
              <w:t>364</w:t>
            </w:r>
            <w:r>
              <w:rPr>
                <w:rFonts w:hint="eastAsia"/>
                <w:color w:val="auto"/>
                <w:highlight w:val="none"/>
              </w:rPr>
              <w:t>t/a，排放速率为0.</w:t>
            </w:r>
            <w:r>
              <w:rPr>
                <w:rFonts w:hint="eastAsia"/>
                <w:color w:val="auto"/>
                <w:highlight w:val="none"/>
                <w:lang w:val="en-US" w:eastAsia="zh-CN"/>
              </w:rPr>
              <w:t>404</w:t>
            </w:r>
            <w:r>
              <w:rPr>
                <w:rFonts w:hint="eastAsia"/>
                <w:color w:val="auto"/>
                <w:highlight w:val="none"/>
              </w:rPr>
              <w:t>kg/h。</w:t>
            </w:r>
          </w:p>
          <w:p w14:paraId="0B30A25A">
            <w:pPr>
              <w:pStyle w:val="119"/>
              <w:rPr>
                <w:color w:val="auto"/>
                <w:highlight w:val="none"/>
              </w:rPr>
            </w:pPr>
            <w:r>
              <w:rPr>
                <w:rFonts w:hint="eastAsia"/>
                <w:color w:val="auto"/>
                <w:highlight w:val="none"/>
              </w:rPr>
              <w:t>1.4.</w:t>
            </w:r>
            <w:r>
              <w:rPr>
                <w:rFonts w:hint="eastAsia"/>
                <w:color w:val="auto"/>
                <w:highlight w:val="none"/>
                <w:lang w:val="en-US" w:eastAsia="zh-CN"/>
              </w:rPr>
              <w:t>3</w:t>
            </w:r>
            <w:r>
              <w:rPr>
                <w:rFonts w:hint="eastAsia"/>
                <w:color w:val="auto"/>
                <w:highlight w:val="none"/>
              </w:rPr>
              <w:t>废气达标排放情况</w:t>
            </w:r>
          </w:p>
          <w:p w14:paraId="3BDCAC19">
            <w:pPr>
              <w:keepNext w:val="0"/>
              <w:keepLines w:val="0"/>
              <w:pageBreakBefore w:val="0"/>
              <w:widowControl/>
              <w:kinsoku/>
              <w:wordWrap/>
              <w:overflowPunct/>
              <w:topLinePunct w:val="0"/>
              <w:autoSpaceDE/>
              <w:autoSpaceDN/>
              <w:bidi w:val="0"/>
              <w:adjustRightInd/>
              <w:snapToGrid/>
              <w:spacing w:line="360" w:lineRule="auto"/>
              <w:ind w:right="0" w:firstLine="408" w:firstLineChars="200"/>
              <w:jc w:val="both"/>
              <w:textAlignment w:val="auto"/>
              <w:outlineLvl w:val="9"/>
              <w:rPr>
                <w:rFonts w:hint="default" w:ascii="Times New Roman" w:hAnsi="Times New Roman" w:eastAsia="宋体" w:cs="Times New Roman"/>
                <w:color w:val="auto"/>
                <w:spacing w:val="-2"/>
                <w:sz w:val="21"/>
                <w:szCs w:val="21"/>
                <w:highlight w:val="none"/>
                <w:lang w:val="en-US" w:eastAsia="zh-CN"/>
              </w:rPr>
            </w:pPr>
            <w:r>
              <w:rPr>
                <w:rFonts w:hint="eastAsia" w:cs="Times New Roman"/>
                <w:color w:val="auto"/>
                <w:spacing w:val="-3"/>
                <w:sz w:val="21"/>
                <w:szCs w:val="21"/>
                <w:highlight w:val="none"/>
                <w:lang w:val="en-US" w:eastAsia="zh-CN"/>
              </w:rPr>
              <w:t>综上所述，</w:t>
            </w:r>
            <w:r>
              <w:rPr>
                <w:rFonts w:hint="eastAsia"/>
                <w:color w:val="auto"/>
                <w:highlight w:val="none"/>
              </w:rPr>
              <w:t>本项目</w:t>
            </w:r>
            <w:r>
              <w:rPr>
                <w:rFonts w:hint="eastAsia" w:ascii="Times New Roman" w:hAnsi="Times New Roman" w:eastAsia="宋体" w:cs="Times New Roman"/>
                <w:color w:val="auto"/>
                <w:spacing w:val="-3"/>
                <w:sz w:val="21"/>
                <w:szCs w:val="21"/>
                <w:highlight w:val="none"/>
                <w:lang w:val="en-US" w:eastAsia="zh-CN"/>
              </w:rPr>
              <w:t>燃气炉</w:t>
            </w:r>
            <w:r>
              <w:rPr>
                <w:rFonts w:hint="eastAsia" w:cs="Times New Roman"/>
                <w:color w:val="auto"/>
                <w:spacing w:val="-3"/>
                <w:sz w:val="21"/>
                <w:szCs w:val="21"/>
                <w:highlight w:val="none"/>
                <w:lang w:val="en-US" w:eastAsia="zh-CN"/>
              </w:rPr>
              <w:t>产生的污染物</w:t>
            </w:r>
            <w:r>
              <w:rPr>
                <w:rFonts w:hint="default" w:ascii="Times New Roman" w:hAnsi="Times New Roman" w:eastAsia="宋体" w:cs="Times New Roman"/>
                <w:color w:val="auto"/>
                <w:spacing w:val="-2"/>
                <w:sz w:val="21"/>
                <w:szCs w:val="21"/>
                <w:highlight w:val="none"/>
                <w:lang w:val="en-US" w:eastAsia="zh-CN"/>
              </w:rPr>
              <w:t>颗粒物</w:t>
            </w:r>
            <w:r>
              <w:rPr>
                <w:rFonts w:hint="eastAsia" w:cs="Times New Roman"/>
                <w:color w:val="auto"/>
                <w:spacing w:val="-2"/>
                <w:sz w:val="21"/>
                <w:szCs w:val="21"/>
                <w:highlight w:val="none"/>
                <w:lang w:val="en-US" w:eastAsia="zh-CN"/>
              </w:rPr>
              <w:t>、</w:t>
            </w:r>
            <w:r>
              <w:rPr>
                <w:rFonts w:hint="default" w:ascii="Times New Roman" w:hAnsi="Times New Roman" w:eastAsia="宋体" w:cs="Times New Roman"/>
                <w:color w:val="auto"/>
                <w:spacing w:val="-2"/>
                <w:sz w:val="21"/>
                <w:szCs w:val="21"/>
                <w:highlight w:val="none"/>
                <w:lang w:val="en-US" w:eastAsia="zh-CN"/>
              </w:rPr>
              <w:t>SO</w:t>
            </w:r>
            <w:r>
              <w:rPr>
                <w:rFonts w:hint="eastAsia" w:cs="Times New Roman"/>
                <w:color w:val="auto"/>
                <w:spacing w:val="-2"/>
                <w:sz w:val="21"/>
                <w:szCs w:val="21"/>
                <w:highlight w:val="none"/>
                <w:vertAlign w:val="subscript"/>
                <w:lang w:val="en-US" w:eastAsia="zh-CN"/>
              </w:rPr>
              <w:t>2</w:t>
            </w:r>
            <w:r>
              <w:rPr>
                <w:rFonts w:hint="eastAsia" w:cs="Times New Roman"/>
                <w:color w:val="auto"/>
                <w:spacing w:val="-2"/>
                <w:sz w:val="21"/>
                <w:szCs w:val="21"/>
                <w:highlight w:val="none"/>
                <w:lang w:val="en-US" w:eastAsia="zh-CN"/>
              </w:rPr>
              <w:t>、</w:t>
            </w:r>
            <w:r>
              <w:rPr>
                <w:rFonts w:hint="default" w:ascii="Times New Roman" w:hAnsi="Times New Roman" w:eastAsia="宋体" w:cs="Times New Roman"/>
                <w:color w:val="auto"/>
                <w:spacing w:val="-2"/>
                <w:sz w:val="21"/>
                <w:szCs w:val="21"/>
                <w:highlight w:val="none"/>
                <w:lang w:val="en-US" w:eastAsia="zh-CN"/>
              </w:rPr>
              <w:t>NOx排放浓度均可满足《工业炉窑大气污染物排放标准（DB13/1640—2012）表1和表2新建炉窑标准，同时满足《工业炉窑大气污染综合治理方案》的通知（环大气[2019]56号）中对炉窑的要求</w:t>
            </w:r>
            <w:r>
              <w:rPr>
                <w:rFonts w:hint="eastAsia" w:ascii="Times New Roman" w:hAnsi="Times New Roman" w:cs="Times New Roman"/>
                <w:b w:val="0"/>
                <w:bCs w:val="0"/>
                <w:color w:val="auto"/>
                <w:spacing w:val="-4"/>
                <w:sz w:val="21"/>
                <w:szCs w:val="21"/>
                <w:highlight w:val="none"/>
                <w:lang w:val="en-US" w:eastAsia="zh-CN"/>
              </w:rPr>
              <w:t>颗粒物30</w:t>
            </w:r>
            <w:r>
              <w:rPr>
                <w:rFonts w:hint="default" w:ascii="Times New Roman" w:hAnsi="Times New Roman" w:cs="Times New Roman"/>
                <w:b w:val="0"/>
                <w:bCs w:val="0"/>
                <w:color w:val="auto"/>
                <w:spacing w:val="-4"/>
                <w:sz w:val="21"/>
                <w:szCs w:val="21"/>
                <w:highlight w:val="none"/>
              </w:rPr>
              <w:t>mg/m</w:t>
            </w:r>
            <w:r>
              <w:rPr>
                <w:rFonts w:hint="default" w:ascii="Times New Roman" w:hAnsi="Times New Roman" w:cs="Times New Roman"/>
                <w:b w:val="0"/>
                <w:bCs w:val="0"/>
                <w:color w:val="auto"/>
                <w:spacing w:val="-4"/>
                <w:sz w:val="21"/>
                <w:szCs w:val="21"/>
                <w:highlight w:val="none"/>
                <w:vertAlign w:val="superscript"/>
              </w:rPr>
              <w:t>3</w:t>
            </w:r>
            <w:r>
              <w:rPr>
                <w:rFonts w:hint="eastAsia" w:ascii="Times New Roman" w:hAnsi="Times New Roman" w:cs="Times New Roman"/>
                <w:b w:val="0"/>
                <w:bCs w:val="0"/>
                <w:color w:val="auto"/>
                <w:spacing w:val="-4"/>
                <w:sz w:val="21"/>
                <w:szCs w:val="21"/>
                <w:highlight w:val="none"/>
                <w:lang w:val="en-US" w:eastAsia="zh-CN"/>
              </w:rPr>
              <w:t>、</w:t>
            </w:r>
            <w:r>
              <w:rPr>
                <w:rFonts w:hint="default" w:ascii="Times New Roman" w:hAnsi="Times New Roman" w:cs="Times New Roman"/>
                <w:b w:val="0"/>
                <w:bCs w:val="0"/>
                <w:color w:val="auto"/>
                <w:spacing w:val="-4"/>
                <w:sz w:val="21"/>
                <w:szCs w:val="21"/>
                <w:highlight w:val="none"/>
              </w:rPr>
              <w:t>SO</w:t>
            </w:r>
            <w:r>
              <w:rPr>
                <w:rFonts w:hint="default" w:ascii="Times New Roman" w:hAnsi="Times New Roman" w:cs="Times New Roman"/>
                <w:b w:val="0"/>
                <w:bCs w:val="0"/>
                <w:color w:val="auto"/>
                <w:spacing w:val="-4"/>
                <w:sz w:val="21"/>
                <w:szCs w:val="21"/>
                <w:highlight w:val="none"/>
                <w:vertAlign w:val="subscript"/>
              </w:rPr>
              <w:t>2</w:t>
            </w:r>
            <w:r>
              <w:rPr>
                <w:rFonts w:hint="default" w:ascii="Times New Roman" w:hAnsi="Times New Roman" w:cs="Times New Roman"/>
                <w:b w:val="0"/>
                <w:bCs w:val="0"/>
                <w:color w:val="auto"/>
                <w:spacing w:val="-4"/>
                <w:sz w:val="21"/>
                <w:szCs w:val="21"/>
                <w:highlight w:val="none"/>
              </w:rPr>
              <w:t xml:space="preserve"> 200mg/m</w:t>
            </w:r>
            <w:r>
              <w:rPr>
                <w:rFonts w:hint="default" w:ascii="Times New Roman" w:hAnsi="Times New Roman" w:cs="Times New Roman"/>
                <w:b w:val="0"/>
                <w:bCs w:val="0"/>
                <w:color w:val="auto"/>
                <w:spacing w:val="-4"/>
                <w:sz w:val="21"/>
                <w:szCs w:val="21"/>
                <w:highlight w:val="none"/>
                <w:vertAlign w:val="superscript"/>
              </w:rPr>
              <w:t>3</w:t>
            </w:r>
            <w:r>
              <w:rPr>
                <w:rFonts w:hint="default" w:ascii="Times New Roman" w:hAnsi="Times New Roman" w:cs="Times New Roman"/>
                <w:b w:val="0"/>
                <w:bCs w:val="0"/>
                <w:color w:val="auto"/>
                <w:spacing w:val="-4"/>
                <w:sz w:val="21"/>
                <w:szCs w:val="21"/>
                <w:highlight w:val="none"/>
              </w:rPr>
              <w:t>、NOx 300mg/m</w:t>
            </w:r>
            <w:r>
              <w:rPr>
                <w:rFonts w:hint="default" w:ascii="Times New Roman" w:hAnsi="Times New Roman" w:cs="Times New Roman"/>
                <w:b w:val="0"/>
                <w:bCs w:val="0"/>
                <w:color w:val="auto"/>
                <w:spacing w:val="-4"/>
                <w:sz w:val="21"/>
                <w:szCs w:val="21"/>
                <w:highlight w:val="none"/>
                <w:vertAlign w:val="superscript"/>
              </w:rPr>
              <w:t>3</w:t>
            </w:r>
            <w:r>
              <w:rPr>
                <w:rFonts w:hint="default" w:ascii="Times New Roman" w:hAnsi="Times New Roman" w:cs="Times New Roman"/>
                <w:b w:val="0"/>
                <w:bCs w:val="0"/>
                <w:color w:val="auto"/>
                <w:spacing w:val="-4"/>
                <w:sz w:val="21"/>
                <w:szCs w:val="21"/>
                <w:highlight w:val="none"/>
              </w:rPr>
              <w:t>）</w:t>
            </w:r>
            <w:r>
              <w:rPr>
                <w:rFonts w:hint="default" w:ascii="Times New Roman" w:hAnsi="Times New Roman" w:eastAsia="宋体" w:cs="Times New Roman"/>
                <w:color w:val="auto"/>
                <w:spacing w:val="-2"/>
                <w:sz w:val="21"/>
                <w:szCs w:val="21"/>
                <w:highlight w:val="none"/>
                <w:lang w:val="en-US" w:eastAsia="zh-CN"/>
              </w:rPr>
              <w:t>。</w:t>
            </w:r>
          </w:p>
          <w:p w14:paraId="6B344F6B">
            <w:pPr>
              <w:pStyle w:val="116"/>
              <w:ind w:firstLine="420"/>
              <w:rPr>
                <w:color w:val="auto"/>
                <w:highlight w:val="none"/>
              </w:rPr>
            </w:pPr>
            <w:r>
              <w:rPr>
                <w:rFonts w:hint="eastAsia"/>
                <w:color w:val="auto"/>
                <w:highlight w:val="none"/>
              </w:rPr>
              <w:t>本项目抛丸工序有组织颗粒物排放浓度满足</w:t>
            </w:r>
            <w:r>
              <w:rPr>
                <w:color w:val="auto"/>
                <w:highlight w:val="none"/>
              </w:rPr>
              <w:t>《钢铁工业大气污染物超低排放标准》（DB13/2169-2018）表1轧钢</w:t>
            </w:r>
            <w:r>
              <w:rPr>
                <w:rFonts w:hint="eastAsia"/>
                <w:color w:val="auto"/>
                <w:highlight w:val="none"/>
              </w:rPr>
              <w:t>（</w:t>
            </w:r>
            <w:r>
              <w:rPr>
                <w:color w:val="auto"/>
                <w:highlight w:val="none"/>
              </w:rPr>
              <w:t>热处理炉、拉矫、精整、抛丸、修磨、焊接机及其他生产设施</w:t>
            </w:r>
            <w:r>
              <w:rPr>
                <w:rFonts w:hint="eastAsia"/>
                <w:color w:val="auto"/>
                <w:highlight w:val="none"/>
              </w:rPr>
              <w:t>）</w:t>
            </w:r>
            <w:r>
              <w:rPr>
                <w:color w:val="auto"/>
                <w:highlight w:val="none"/>
              </w:rPr>
              <w:t>颗粒物排放限值要求</w:t>
            </w:r>
            <w:r>
              <w:rPr>
                <w:rFonts w:hint="eastAsia"/>
                <w:color w:val="auto"/>
                <w:highlight w:val="none"/>
              </w:rPr>
              <w:t>，</w:t>
            </w:r>
            <w:r>
              <w:rPr>
                <w:color w:val="auto"/>
                <w:highlight w:val="none"/>
              </w:rPr>
              <w:t>即排放浓度≤10mg/m</w:t>
            </w:r>
            <w:r>
              <w:rPr>
                <w:color w:val="auto"/>
                <w:highlight w:val="none"/>
                <w:vertAlign w:val="superscript"/>
              </w:rPr>
              <w:t>3</w:t>
            </w:r>
            <w:r>
              <w:rPr>
                <w:rFonts w:hint="eastAsia"/>
                <w:color w:val="auto"/>
                <w:highlight w:val="none"/>
              </w:rPr>
              <w:t>。</w:t>
            </w:r>
          </w:p>
          <w:p w14:paraId="265FFA1F">
            <w:pPr>
              <w:pStyle w:val="116"/>
              <w:ind w:firstLine="420"/>
              <w:jc w:val="both"/>
              <w:rPr>
                <w:color w:val="auto"/>
                <w:highlight w:val="yellow"/>
              </w:rPr>
            </w:pPr>
            <w:r>
              <w:rPr>
                <w:rFonts w:hint="eastAsia"/>
                <w:color w:val="auto"/>
                <w:highlight w:val="none"/>
              </w:rPr>
              <w:t>采用</w:t>
            </w:r>
            <w:r>
              <w:rPr>
                <w:color w:val="auto"/>
                <w:highlight w:val="none"/>
              </w:rPr>
              <w:t>AERSCREEN估算模型估算重型车间无组织颗粒物最大落地浓度</w:t>
            </w:r>
            <w:r>
              <w:rPr>
                <w:rFonts w:hint="eastAsia"/>
                <w:color w:val="auto"/>
                <w:highlight w:val="none"/>
              </w:rPr>
              <w:t>，</w:t>
            </w:r>
            <w:r>
              <w:rPr>
                <w:color w:val="auto"/>
                <w:highlight w:val="none"/>
              </w:rPr>
              <w:t>为</w:t>
            </w:r>
            <w:r>
              <w:rPr>
                <w:rFonts w:hint="eastAsia"/>
                <w:color w:val="auto"/>
                <w:highlight w:val="none"/>
              </w:rPr>
              <w:t>0.0</w:t>
            </w:r>
            <w:r>
              <w:rPr>
                <w:rFonts w:hint="eastAsia"/>
                <w:color w:val="auto"/>
                <w:highlight w:val="none"/>
                <w:lang w:val="en-US" w:eastAsia="zh-CN"/>
              </w:rPr>
              <w:t>39</w:t>
            </w:r>
            <w:r>
              <w:rPr>
                <w:rFonts w:hint="eastAsia"/>
                <w:color w:val="auto"/>
                <w:highlight w:val="none"/>
              </w:rPr>
              <w:t>mg/m</w:t>
            </w:r>
            <w:r>
              <w:rPr>
                <w:rFonts w:hint="eastAsia"/>
                <w:color w:val="auto"/>
                <w:highlight w:val="none"/>
                <w:vertAlign w:val="superscript"/>
              </w:rPr>
              <w:t>3</w:t>
            </w:r>
            <w:r>
              <w:rPr>
                <w:rFonts w:hint="eastAsia"/>
                <w:color w:val="auto"/>
                <w:highlight w:val="none"/>
              </w:rPr>
              <w:t>，</w:t>
            </w:r>
            <w:r>
              <w:rPr>
                <w:rFonts w:hint="eastAsia"/>
                <w:color w:val="auto"/>
                <w:highlight w:val="none"/>
                <w:lang w:val="en-US" w:eastAsia="zh-CN"/>
              </w:rPr>
              <w:t>叠加现有工程厂界最大浓度</w:t>
            </w:r>
            <w:r>
              <w:rPr>
                <w:rFonts w:hint="eastAsia"/>
                <w:color w:val="auto"/>
                <w:sz w:val="21"/>
                <w:szCs w:val="21"/>
                <w:highlight w:val="none"/>
                <w:lang w:val="en-US" w:eastAsia="zh-CN"/>
              </w:rPr>
              <w:t>0.425</w:t>
            </w:r>
            <w:r>
              <w:rPr>
                <w:rFonts w:hint="eastAsia"/>
                <w:color w:val="auto"/>
                <w:highlight w:val="none"/>
              </w:rPr>
              <w:t>mg/m</w:t>
            </w:r>
            <w:r>
              <w:rPr>
                <w:rFonts w:hint="eastAsia"/>
                <w:color w:val="auto"/>
                <w:highlight w:val="none"/>
                <w:vertAlign w:val="superscript"/>
              </w:rPr>
              <w:t>3</w:t>
            </w:r>
            <w:r>
              <w:rPr>
                <w:rFonts w:hint="eastAsia"/>
                <w:color w:val="auto"/>
                <w:highlight w:val="none"/>
                <w:lang w:val="en-US" w:eastAsia="zh-CN"/>
              </w:rPr>
              <w:t>后浓度为0.464</w:t>
            </w:r>
            <w:r>
              <w:rPr>
                <w:rFonts w:hint="eastAsia"/>
                <w:color w:val="auto"/>
                <w:highlight w:val="none"/>
              </w:rPr>
              <w:t>mg/m</w:t>
            </w:r>
            <w:r>
              <w:rPr>
                <w:rFonts w:hint="eastAsia"/>
                <w:color w:val="auto"/>
                <w:highlight w:val="none"/>
                <w:vertAlign w:val="superscript"/>
              </w:rPr>
              <w:t>3</w:t>
            </w:r>
            <w:r>
              <w:rPr>
                <w:rFonts w:hint="eastAsia"/>
                <w:color w:val="auto"/>
                <w:highlight w:val="none"/>
                <w:lang w:val="en-US" w:eastAsia="zh-CN"/>
              </w:rPr>
              <w:t>，能够</w:t>
            </w:r>
            <w:r>
              <w:rPr>
                <w:rFonts w:hint="eastAsia"/>
                <w:color w:val="auto"/>
                <w:highlight w:val="none"/>
              </w:rPr>
              <w:t>满足</w:t>
            </w:r>
            <w:r>
              <w:rPr>
                <w:rFonts w:hint="eastAsia" w:cs="宋体"/>
                <w:color w:val="auto"/>
                <w:highlight w:val="none"/>
              </w:rPr>
              <w:t>《钢铁工业大气污染物超低排放标准》（DB13/2169-2018）中</w:t>
            </w:r>
            <w:r>
              <w:rPr>
                <w:color w:val="auto"/>
                <w:highlight w:val="none"/>
              </w:rPr>
              <w:t>的</w:t>
            </w:r>
            <w:r>
              <w:rPr>
                <w:rFonts w:hint="eastAsia"/>
                <w:color w:val="auto"/>
                <w:highlight w:val="none"/>
              </w:rPr>
              <w:t>限值要求（厂界颗粒物排放浓度≤1.0</w:t>
            </w:r>
            <w:r>
              <w:rPr>
                <w:color w:val="auto"/>
                <w:highlight w:val="none"/>
              </w:rPr>
              <w:t>mg/m</w:t>
            </w:r>
            <w:r>
              <w:rPr>
                <w:color w:val="auto"/>
                <w:highlight w:val="none"/>
                <w:vertAlign w:val="superscript"/>
              </w:rPr>
              <w:t>3</w:t>
            </w:r>
            <w:r>
              <w:rPr>
                <w:rFonts w:hint="eastAsia"/>
                <w:color w:val="auto"/>
                <w:highlight w:val="none"/>
              </w:rPr>
              <w:t>）。</w:t>
            </w:r>
          </w:p>
          <w:p w14:paraId="749DEF34">
            <w:pPr>
              <w:pStyle w:val="119"/>
              <w:rPr>
                <w:color w:val="auto"/>
                <w:highlight w:val="none"/>
              </w:rPr>
            </w:pPr>
            <w:r>
              <w:rPr>
                <w:rFonts w:hint="eastAsia"/>
                <w:color w:val="auto"/>
                <w:highlight w:val="none"/>
              </w:rPr>
              <w:t>1</w:t>
            </w:r>
            <w:r>
              <w:rPr>
                <w:color w:val="auto"/>
                <w:highlight w:val="none"/>
              </w:rPr>
              <w:t>.</w:t>
            </w:r>
            <w:r>
              <w:rPr>
                <w:rFonts w:hint="eastAsia"/>
                <w:color w:val="auto"/>
                <w:highlight w:val="none"/>
              </w:rPr>
              <w:t>5非正常排放</w:t>
            </w:r>
          </w:p>
          <w:p w14:paraId="69C23ED6">
            <w:pPr>
              <w:pStyle w:val="116"/>
              <w:ind w:firstLine="420"/>
              <w:rPr>
                <w:color w:val="auto"/>
                <w:highlight w:val="none"/>
              </w:rPr>
            </w:pPr>
            <w:r>
              <w:rPr>
                <w:rFonts w:hint="eastAsia"/>
                <w:color w:val="auto"/>
                <w:highlight w:val="none"/>
              </w:rPr>
              <w:t>非正常排放是指生产过程中开停车（工、炉）、设备检修、工艺设备运转异常等非正常工况下的污染物排放，以及污染物排放控制措施达不到应有效率等情况下的排放。</w:t>
            </w:r>
          </w:p>
          <w:p w14:paraId="13EC00A8">
            <w:pPr>
              <w:pStyle w:val="116"/>
              <w:ind w:firstLine="420"/>
              <w:rPr>
                <w:color w:val="auto"/>
                <w:highlight w:val="none"/>
              </w:rPr>
            </w:pPr>
            <w:r>
              <w:rPr>
                <w:rFonts w:hint="eastAsia"/>
                <w:color w:val="auto"/>
                <w:highlight w:val="none"/>
              </w:rPr>
              <w:t>经过对企业生产过程中的设备运行及污染治理设施的运行情况进行分析，得出本项目可能出现废气非正常排放的工况主要为抛丸工序污染治理设施出现故障，污染物去除效率达不到要求下的废气排放，本评价评价污染物去除效率降为0%下的非正常排放，建设单位制定环保设施例行巡检制度，非正常工况持续时间不超过0.5h，本项目非正常工况废气的排放情况见</w:t>
            </w:r>
            <w:r>
              <w:rPr>
                <w:rFonts w:hint="eastAsia"/>
                <w:color w:val="auto"/>
                <w:highlight w:val="none"/>
                <w:lang w:val="en-US" w:eastAsia="zh-CN"/>
              </w:rPr>
              <w:t>下</w:t>
            </w:r>
            <w:r>
              <w:rPr>
                <w:color w:val="auto"/>
                <w:highlight w:val="none"/>
              </w:rPr>
              <w:fldChar w:fldCharType="begin"/>
            </w:r>
            <w:r>
              <w:rPr>
                <w:color w:val="auto"/>
                <w:highlight w:val="none"/>
              </w:rPr>
              <w:instrText xml:space="preserve"> REF _Ref131411772 \h  \* MERGEFORMAT </w:instrText>
            </w:r>
            <w:r>
              <w:rPr>
                <w:color w:val="auto"/>
                <w:highlight w:val="none"/>
              </w:rPr>
              <w:fldChar w:fldCharType="separate"/>
            </w:r>
            <w:r>
              <w:rPr>
                <w:rFonts w:hint="eastAsia"/>
                <w:color w:val="auto"/>
                <w:highlight w:val="none"/>
              </w:rPr>
              <w:t>表</w:t>
            </w:r>
            <w:r>
              <w:rPr>
                <w:color w:val="auto"/>
                <w:highlight w:val="none"/>
              </w:rPr>
              <w:fldChar w:fldCharType="end"/>
            </w:r>
            <w:r>
              <w:rPr>
                <w:rFonts w:hint="eastAsia"/>
                <w:color w:val="auto"/>
                <w:highlight w:val="none"/>
              </w:rPr>
              <w:t>。</w:t>
            </w:r>
          </w:p>
          <w:p w14:paraId="63BF926B">
            <w:pPr>
              <w:pStyle w:val="10"/>
              <w:rPr>
                <w:bCs/>
                <w:color w:val="auto"/>
                <w:highlight w:val="none"/>
              </w:rPr>
            </w:pPr>
            <w:bookmarkStart w:id="26" w:name="_Ref131411772"/>
            <w:r>
              <w:rPr>
                <w:rFonts w:hint="eastAsia"/>
                <w:color w:val="auto"/>
                <w:highlight w:val="none"/>
              </w:rPr>
              <w:t>表4</w:t>
            </w:r>
            <w:r>
              <w:rPr>
                <w:rFonts w:hint="eastAsia"/>
                <w:color w:val="auto"/>
                <w:highlight w:val="none"/>
                <w:lang w:eastAsia="zh-CN"/>
              </w:rPr>
              <w:t>-</w:t>
            </w:r>
            <w:bookmarkEnd w:id="26"/>
            <w:r>
              <w:rPr>
                <w:rFonts w:hint="eastAsia"/>
                <w:color w:val="auto"/>
                <w:highlight w:val="none"/>
                <w:lang w:val="en-US" w:eastAsia="zh-CN"/>
              </w:rPr>
              <w:t>8</w:t>
            </w:r>
            <w:r>
              <w:rPr>
                <w:rFonts w:hint="eastAsia"/>
                <w:bCs/>
                <w:color w:val="auto"/>
                <w:highlight w:val="none"/>
              </w:rPr>
              <w:t>非正常工况下废气排放一览表</w:t>
            </w:r>
          </w:p>
          <w:tbl>
            <w:tblPr>
              <w:tblStyle w:val="33"/>
              <w:tblW w:w="8042"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16"/>
              <w:gridCol w:w="1050"/>
              <w:gridCol w:w="911"/>
              <w:gridCol w:w="1036"/>
              <w:gridCol w:w="914"/>
              <w:gridCol w:w="695"/>
              <w:gridCol w:w="900"/>
              <w:gridCol w:w="600"/>
              <w:gridCol w:w="820"/>
            </w:tblGrid>
            <w:tr w14:paraId="4174CC2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16" w:type="dxa"/>
                  <w:vAlign w:val="center"/>
                </w:tcPr>
                <w:p w14:paraId="651DFE4E">
                  <w:pPr>
                    <w:adjustRightInd w:val="0"/>
                    <w:snapToGrid w:val="0"/>
                    <w:jc w:val="center"/>
                    <w:rPr>
                      <w:rFonts w:cs="宋体"/>
                      <w:bCs/>
                      <w:color w:val="auto"/>
                      <w:spacing w:val="-10"/>
                      <w:sz w:val="21"/>
                      <w:szCs w:val="21"/>
                      <w:highlight w:val="none"/>
                    </w:rPr>
                  </w:pPr>
                  <w:r>
                    <w:rPr>
                      <w:rFonts w:hint="eastAsia" w:cs="宋体"/>
                      <w:bCs/>
                      <w:color w:val="auto"/>
                      <w:spacing w:val="-10"/>
                      <w:sz w:val="21"/>
                      <w:szCs w:val="21"/>
                      <w:highlight w:val="none"/>
                    </w:rPr>
                    <w:t>污染源</w:t>
                  </w:r>
                </w:p>
              </w:tc>
              <w:tc>
                <w:tcPr>
                  <w:tcW w:w="1050" w:type="dxa"/>
                  <w:vAlign w:val="center"/>
                </w:tcPr>
                <w:p w14:paraId="45187847">
                  <w:pPr>
                    <w:adjustRightInd w:val="0"/>
                    <w:snapToGrid w:val="0"/>
                    <w:jc w:val="center"/>
                    <w:rPr>
                      <w:rFonts w:cs="宋体"/>
                      <w:bCs/>
                      <w:color w:val="auto"/>
                      <w:spacing w:val="-10"/>
                      <w:sz w:val="21"/>
                      <w:szCs w:val="21"/>
                      <w:highlight w:val="none"/>
                    </w:rPr>
                  </w:pPr>
                  <w:r>
                    <w:rPr>
                      <w:rFonts w:hint="eastAsia" w:cs="宋体"/>
                      <w:bCs/>
                      <w:color w:val="auto"/>
                      <w:spacing w:val="-10"/>
                      <w:sz w:val="21"/>
                      <w:szCs w:val="21"/>
                      <w:highlight w:val="none"/>
                    </w:rPr>
                    <w:t>非正常排放原因</w:t>
                  </w:r>
                </w:p>
              </w:tc>
              <w:tc>
                <w:tcPr>
                  <w:tcW w:w="911" w:type="dxa"/>
                  <w:vAlign w:val="center"/>
                </w:tcPr>
                <w:p w14:paraId="1166A962">
                  <w:pPr>
                    <w:adjustRightInd w:val="0"/>
                    <w:snapToGrid w:val="0"/>
                    <w:jc w:val="center"/>
                    <w:rPr>
                      <w:rFonts w:cs="宋体"/>
                      <w:bCs/>
                      <w:color w:val="auto"/>
                      <w:spacing w:val="-10"/>
                      <w:sz w:val="21"/>
                      <w:szCs w:val="21"/>
                      <w:highlight w:val="none"/>
                    </w:rPr>
                  </w:pPr>
                  <w:r>
                    <w:rPr>
                      <w:rFonts w:hint="eastAsia" w:cs="宋体"/>
                      <w:bCs/>
                      <w:color w:val="auto"/>
                      <w:spacing w:val="-10"/>
                      <w:sz w:val="21"/>
                      <w:szCs w:val="21"/>
                      <w:highlight w:val="none"/>
                    </w:rPr>
                    <w:t>排放污染物</w:t>
                  </w:r>
                </w:p>
              </w:tc>
              <w:tc>
                <w:tcPr>
                  <w:tcW w:w="1036" w:type="dxa"/>
                  <w:vAlign w:val="center"/>
                </w:tcPr>
                <w:p w14:paraId="413E4F8A">
                  <w:pPr>
                    <w:adjustRightInd w:val="0"/>
                    <w:snapToGrid w:val="0"/>
                    <w:jc w:val="center"/>
                    <w:rPr>
                      <w:rFonts w:cs="宋体"/>
                      <w:bCs/>
                      <w:color w:val="auto"/>
                      <w:spacing w:val="-10"/>
                      <w:sz w:val="21"/>
                      <w:szCs w:val="21"/>
                      <w:highlight w:val="none"/>
                    </w:rPr>
                  </w:pPr>
                  <w:r>
                    <w:rPr>
                      <w:rFonts w:hint="eastAsia" w:cs="宋体"/>
                      <w:bCs/>
                      <w:color w:val="auto"/>
                      <w:spacing w:val="-10"/>
                      <w:sz w:val="21"/>
                      <w:szCs w:val="21"/>
                      <w:highlight w:val="none"/>
                    </w:rPr>
                    <w:t>非正常排放浓度/（mg/m</w:t>
                  </w:r>
                  <w:r>
                    <w:rPr>
                      <w:rFonts w:hint="eastAsia" w:cs="宋体"/>
                      <w:bCs/>
                      <w:color w:val="auto"/>
                      <w:spacing w:val="-10"/>
                      <w:sz w:val="21"/>
                      <w:szCs w:val="21"/>
                      <w:highlight w:val="none"/>
                      <w:vertAlign w:val="superscript"/>
                    </w:rPr>
                    <w:t>3</w:t>
                  </w:r>
                  <w:r>
                    <w:rPr>
                      <w:rFonts w:hint="eastAsia" w:cs="宋体"/>
                      <w:bCs/>
                      <w:color w:val="auto"/>
                      <w:spacing w:val="-10"/>
                      <w:sz w:val="21"/>
                      <w:szCs w:val="21"/>
                      <w:highlight w:val="none"/>
                    </w:rPr>
                    <w:t>）</w:t>
                  </w:r>
                </w:p>
              </w:tc>
              <w:tc>
                <w:tcPr>
                  <w:tcW w:w="914" w:type="dxa"/>
                  <w:vAlign w:val="center"/>
                </w:tcPr>
                <w:p w14:paraId="26B46CEE">
                  <w:pPr>
                    <w:adjustRightInd w:val="0"/>
                    <w:snapToGrid w:val="0"/>
                    <w:jc w:val="center"/>
                    <w:rPr>
                      <w:rFonts w:cs="宋体"/>
                      <w:bCs/>
                      <w:color w:val="auto"/>
                      <w:spacing w:val="-10"/>
                      <w:sz w:val="21"/>
                      <w:szCs w:val="21"/>
                      <w:highlight w:val="none"/>
                    </w:rPr>
                  </w:pPr>
                  <w:r>
                    <w:rPr>
                      <w:rFonts w:hint="eastAsia" w:cs="宋体"/>
                      <w:bCs/>
                      <w:color w:val="auto"/>
                      <w:spacing w:val="-10"/>
                      <w:sz w:val="21"/>
                      <w:szCs w:val="21"/>
                      <w:highlight w:val="none"/>
                    </w:rPr>
                    <w:t>非正常排放速率/（kg/h）</w:t>
                  </w:r>
                </w:p>
              </w:tc>
              <w:tc>
                <w:tcPr>
                  <w:tcW w:w="695" w:type="dxa"/>
                  <w:vAlign w:val="center"/>
                </w:tcPr>
                <w:p w14:paraId="29BE06CC">
                  <w:pPr>
                    <w:adjustRightInd w:val="0"/>
                    <w:snapToGrid w:val="0"/>
                    <w:jc w:val="center"/>
                    <w:rPr>
                      <w:rFonts w:cs="宋体"/>
                      <w:bCs/>
                      <w:color w:val="auto"/>
                      <w:spacing w:val="-10"/>
                      <w:sz w:val="21"/>
                      <w:szCs w:val="21"/>
                      <w:highlight w:val="none"/>
                    </w:rPr>
                  </w:pPr>
                  <w:r>
                    <w:rPr>
                      <w:rFonts w:hint="eastAsia" w:cs="宋体"/>
                      <w:bCs/>
                      <w:color w:val="auto"/>
                      <w:spacing w:val="-10"/>
                      <w:sz w:val="21"/>
                      <w:szCs w:val="21"/>
                      <w:highlight w:val="none"/>
                    </w:rPr>
                    <w:t>单次持续时间/h</w:t>
                  </w:r>
                </w:p>
              </w:tc>
              <w:tc>
                <w:tcPr>
                  <w:tcW w:w="900" w:type="dxa"/>
                  <w:vAlign w:val="center"/>
                </w:tcPr>
                <w:p w14:paraId="446A4317">
                  <w:pPr>
                    <w:adjustRightInd w:val="0"/>
                    <w:snapToGrid w:val="0"/>
                    <w:jc w:val="center"/>
                    <w:rPr>
                      <w:rFonts w:cs="宋体"/>
                      <w:bCs/>
                      <w:color w:val="auto"/>
                      <w:spacing w:val="-10"/>
                      <w:sz w:val="21"/>
                      <w:szCs w:val="21"/>
                      <w:highlight w:val="none"/>
                    </w:rPr>
                  </w:pPr>
                  <w:r>
                    <w:rPr>
                      <w:rFonts w:hint="eastAsia" w:cs="宋体"/>
                      <w:bCs/>
                      <w:color w:val="auto"/>
                      <w:spacing w:val="-10"/>
                      <w:sz w:val="21"/>
                      <w:szCs w:val="21"/>
                      <w:highlight w:val="none"/>
                    </w:rPr>
                    <w:t>排放量/（kg/a）</w:t>
                  </w:r>
                </w:p>
              </w:tc>
              <w:tc>
                <w:tcPr>
                  <w:tcW w:w="600" w:type="dxa"/>
                  <w:vAlign w:val="center"/>
                </w:tcPr>
                <w:p w14:paraId="6DE07BD1">
                  <w:pPr>
                    <w:adjustRightInd w:val="0"/>
                    <w:snapToGrid w:val="0"/>
                    <w:jc w:val="center"/>
                    <w:rPr>
                      <w:rFonts w:cs="宋体"/>
                      <w:bCs/>
                      <w:color w:val="auto"/>
                      <w:spacing w:val="-10"/>
                      <w:sz w:val="21"/>
                      <w:szCs w:val="21"/>
                      <w:highlight w:val="none"/>
                    </w:rPr>
                  </w:pPr>
                  <w:r>
                    <w:rPr>
                      <w:rFonts w:hint="eastAsia" w:cs="宋体"/>
                      <w:bCs/>
                      <w:color w:val="auto"/>
                      <w:spacing w:val="-10"/>
                      <w:sz w:val="21"/>
                      <w:szCs w:val="21"/>
                      <w:highlight w:val="none"/>
                    </w:rPr>
                    <w:t>年发生频次/次</w:t>
                  </w:r>
                </w:p>
              </w:tc>
              <w:tc>
                <w:tcPr>
                  <w:tcW w:w="820" w:type="dxa"/>
                  <w:vAlign w:val="center"/>
                </w:tcPr>
                <w:p w14:paraId="72D9222A">
                  <w:pPr>
                    <w:adjustRightInd w:val="0"/>
                    <w:snapToGrid w:val="0"/>
                    <w:jc w:val="center"/>
                    <w:rPr>
                      <w:rFonts w:cs="宋体"/>
                      <w:bCs/>
                      <w:color w:val="auto"/>
                      <w:spacing w:val="-10"/>
                      <w:sz w:val="21"/>
                      <w:szCs w:val="21"/>
                      <w:highlight w:val="none"/>
                    </w:rPr>
                  </w:pPr>
                  <w:r>
                    <w:rPr>
                      <w:rFonts w:hint="eastAsia" w:cs="宋体"/>
                      <w:bCs/>
                      <w:color w:val="auto"/>
                      <w:spacing w:val="-10"/>
                      <w:sz w:val="21"/>
                      <w:szCs w:val="21"/>
                      <w:highlight w:val="none"/>
                    </w:rPr>
                    <w:t>应对措施</w:t>
                  </w:r>
                </w:p>
              </w:tc>
            </w:tr>
            <w:tr w14:paraId="7E2DD35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16" w:type="dxa"/>
                  <w:vAlign w:val="center"/>
                </w:tcPr>
                <w:p w14:paraId="01F68C0C">
                  <w:pPr>
                    <w:adjustRightInd w:val="0"/>
                    <w:snapToGrid w:val="0"/>
                    <w:jc w:val="center"/>
                    <w:rPr>
                      <w:rFonts w:cs="宋体"/>
                      <w:bCs/>
                      <w:color w:val="auto"/>
                      <w:spacing w:val="-10"/>
                      <w:sz w:val="21"/>
                      <w:szCs w:val="21"/>
                      <w:highlight w:val="none"/>
                    </w:rPr>
                  </w:pPr>
                  <w:r>
                    <w:rPr>
                      <w:rFonts w:hint="eastAsia" w:cs="宋体"/>
                      <w:bCs/>
                      <w:color w:val="auto"/>
                      <w:spacing w:val="-10"/>
                      <w:sz w:val="21"/>
                      <w:szCs w:val="21"/>
                      <w:highlight w:val="none"/>
                    </w:rPr>
                    <w:t>重型车间抛丸工序（DA004）</w:t>
                  </w:r>
                </w:p>
              </w:tc>
              <w:tc>
                <w:tcPr>
                  <w:tcW w:w="1050" w:type="dxa"/>
                  <w:vAlign w:val="center"/>
                </w:tcPr>
                <w:p w14:paraId="0ED31A2D">
                  <w:pPr>
                    <w:adjustRightInd w:val="0"/>
                    <w:snapToGrid w:val="0"/>
                    <w:jc w:val="center"/>
                    <w:rPr>
                      <w:rFonts w:cs="宋体"/>
                      <w:bCs/>
                      <w:color w:val="auto"/>
                      <w:spacing w:val="-10"/>
                      <w:sz w:val="21"/>
                      <w:szCs w:val="21"/>
                      <w:highlight w:val="none"/>
                    </w:rPr>
                  </w:pPr>
                  <w:r>
                    <w:rPr>
                      <w:rFonts w:hint="eastAsia" w:cs="宋体"/>
                      <w:bCs/>
                      <w:color w:val="auto"/>
                      <w:spacing w:val="-10"/>
                      <w:sz w:val="21"/>
                      <w:szCs w:val="21"/>
                      <w:highlight w:val="none"/>
                    </w:rPr>
                    <w:t>滤筒除尘器故障，净化效率降为0%。</w:t>
                  </w:r>
                </w:p>
              </w:tc>
              <w:tc>
                <w:tcPr>
                  <w:tcW w:w="911" w:type="dxa"/>
                  <w:vAlign w:val="center"/>
                </w:tcPr>
                <w:p w14:paraId="529BA464">
                  <w:pPr>
                    <w:adjustRightInd w:val="0"/>
                    <w:snapToGrid w:val="0"/>
                    <w:jc w:val="center"/>
                    <w:rPr>
                      <w:rFonts w:cs="宋体"/>
                      <w:bCs/>
                      <w:color w:val="auto"/>
                      <w:spacing w:val="-10"/>
                      <w:sz w:val="21"/>
                      <w:szCs w:val="21"/>
                      <w:highlight w:val="none"/>
                    </w:rPr>
                  </w:pPr>
                  <w:r>
                    <w:rPr>
                      <w:rFonts w:hint="eastAsia" w:cs="宋体"/>
                      <w:bCs/>
                      <w:color w:val="auto"/>
                      <w:spacing w:val="-10"/>
                      <w:sz w:val="21"/>
                      <w:szCs w:val="21"/>
                      <w:highlight w:val="none"/>
                    </w:rPr>
                    <w:t>颗粒物</w:t>
                  </w:r>
                </w:p>
              </w:tc>
              <w:tc>
                <w:tcPr>
                  <w:tcW w:w="1036" w:type="dxa"/>
                  <w:shd w:val="clear" w:color="auto" w:fill="auto"/>
                  <w:vAlign w:val="center"/>
                </w:tcPr>
                <w:p w14:paraId="599E537A">
                  <w:pPr>
                    <w:keepNext w:val="0"/>
                    <w:keepLines w:val="0"/>
                    <w:widowControl/>
                    <w:suppressLineNumbers w:val="0"/>
                    <w:jc w:val="center"/>
                    <w:textAlignment w:val="center"/>
                    <w:rPr>
                      <w:rFonts w:ascii="Times New Roman" w:hAnsi="宋体" w:eastAsia="宋体" w:cs="宋体"/>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825</w:t>
                  </w:r>
                </w:p>
              </w:tc>
              <w:tc>
                <w:tcPr>
                  <w:tcW w:w="914" w:type="dxa"/>
                  <w:shd w:val="clear" w:color="auto" w:fill="auto"/>
                  <w:vAlign w:val="center"/>
                </w:tcPr>
                <w:p w14:paraId="180EC831">
                  <w:pPr>
                    <w:keepNext w:val="0"/>
                    <w:keepLines w:val="0"/>
                    <w:widowControl/>
                    <w:suppressLineNumbers w:val="0"/>
                    <w:jc w:val="center"/>
                    <w:textAlignment w:val="center"/>
                    <w:rPr>
                      <w:rFonts w:ascii="Times New Roman" w:hAnsi="宋体" w:eastAsia="宋体" w:cs="宋体"/>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19.79</w:t>
                  </w:r>
                </w:p>
              </w:tc>
              <w:tc>
                <w:tcPr>
                  <w:tcW w:w="695" w:type="dxa"/>
                  <w:vAlign w:val="center"/>
                </w:tcPr>
                <w:p w14:paraId="7E212B18">
                  <w:pPr>
                    <w:adjustRightInd w:val="0"/>
                    <w:snapToGrid w:val="0"/>
                    <w:jc w:val="center"/>
                    <w:rPr>
                      <w:rFonts w:cs="宋体"/>
                      <w:bCs/>
                      <w:color w:val="auto"/>
                      <w:spacing w:val="-10"/>
                      <w:sz w:val="21"/>
                      <w:szCs w:val="21"/>
                      <w:highlight w:val="none"/>
                    </w:rPr>
                  </w:pPr>
                  <w:r>
                    <w:rPr>
                      <w:rFonts w:hint="eastAsia" w:cs="宋体"/>
                      <w:bCs/>
                      <w:color w:val="auto"/>
                      <w:spacing w:val="-10"/>
                      <w:sz w:val="21"/>
                      <w:szCs w:val="21"/>
                      <w:highlight w:val="none"/>
                    </w:rPr>
                    <w:t>0.5</w:t>
                  </w:r>
                </w:p>
              </w:tc>
              <w:tc>
                <w:tcPr>
                  <w:tcW w:w="900" w:type="dxa"/>
                  <w:vAlign w:val="center"/>
                </w:tcPr>
                <w:p w14:paraId="672F475F">
                  <w:pPr>
                    <w:adjustRightInd w:val="0"/>
                    <w:snapToGrid w:val="0"/>
                    <w:jc w:val="center"/>
                    <w:rPr>
                      <w:rFonts w:hint="default" w:eastAsia="宋体" w:cs="宋体"/>
                      <w:bCs/>
                      <w:color w:val="auto"/>
                      <w:spacing w:val="-10"/>
                      <w:sz w:val="21"/>
                      <w:szCs w:val="21"/>
                      <w:highlight w:val="none"/>
                      <w:lang w:val="en-US" w:eastAsia="zh-CN"/>
                    </w:rPr>
                  </w:pPr>
                  <w:r>
                    <w:rPr>
                      <w:rFonts w:hint="eastAsia" w:cs="宋体"/>
                      <w:bCs/>
                      <w:color w:val="auto"/>
                      <w:spacing w:val="-10"/>
                      <w:sz w:val="21"/>
                      <w:szCs w:val="21"/>
                      <w:highlight w:val="none"/>
                      <w:lang w:val="en-US" w:eastAsia="zh-CN"/>
                    </w:rPr>
                    <w:t>9.9</w:t>
                  </w:r>
                </w:p>
              </w:tc>
              <w:tc>
                <w:tcPr>
                  <w:tcW w:w="600" w:type="dxa"/>
                  <w:vAlign w:val="center"/>
                </w:tcPr>
                <w:p w14:paraId="0D6E7827">
                  <w:pPr>
                    <w:adjustRightInd w:val="0"/>
                    <w:snapToGrid w:val="0"/>
                    <w:jc w:val="center"/>
                    <w:rPr>
                      <w:rFonts w:cs="宋体"/>
                      <w:bCs/>
                      <w:color w:val="auto"/>
                      <w:spacing w:val="-10"/>
                      <w:sz w:val="21"/>
                      <w:szCs w:val="21"/>
                      <w:highlight w:val="none"/>
                    </w:rPr>
                  </w:pPr>
                  <w:r>
                    <w:rPr>
                      <w:rFonts w:hint="eastAsia" w:cs="宋体"/>
                      <w:bCs/>
                      <w:color w:val="auto"/>
                      <w:spacing w:val="-10"/>
                      <w:sz w:val="21"/>
                      <w:szCs w:val="21"/>
                      <w:highlight w:val="none"/>
                    </w:rPr>
                    <w:t>1</w:t>
                  </w:r>
                </w:p>
              </w:tc>
              <w:tc>
                <w:tcPr>
                  <w:tcW w:w="820" w:type="dxa"/>
                  <w:vMerge w:val="restart"/>
                  <w:vAlign w:val="center"/>
                </w:tcPr>
                <w:p w14:paraId="19174CD0">
                  <w:pPr>
                    <w:adjustRightInd w:val="0"/>
                    <w:snapToGrid w:val="0"/>
                    <w:jc w:val="center"/>
                    <w:rPr>
                      <w:rFonts w:cs="宋体"/>
                      <w:bCs/>
                      <w:color w:val="auto"/>
                      <w:spacing w:val="-10"/>
                      <w:sz w:val="21"/>
                      <w:szCs w:val="21"/>
                      <w:highlight w:val="none"/>
                    </w:rPr>
                  </w:pPr>
                  <w:r>
                    <w:rPr>
                      <w:rFonts w:hint="eastAsia" w:cs="宋体"/>
                      <w:bCs/>
                      <w:color w:val="auto"/>
                      <w:spacing w:val="-10"/>
                      <w:sz w:val="21"/>
                      <w:szCs w:val="21"/>
                      <w:highlight w:val="none"/>
                    </w:rPr>
                    <w:t>加强日常巡检，发现故障及时停运生产设备</w:t>
                  </w:r>
                </w:p>
              </w:tc>
            </w:tr>
            <w:tr w14:paraId="103F8B8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116" w:type="dxa"/>
                  <w:vMerge w:val="restart"/>
                  <w:shd w:val="clear" w:color="auto" w:fill="auto"/>
                  <w:vAlign w:val="center"/>
                </w:tcPr>
                <w:p w14:paraId="3FD574F4">
                  <w:pPr>
                    <w:adjustRightInd w:val="0"/>
                    <w:snapToGrid w:val="0"/>
                    <w:jc w:val="center"/>
                    <w:rPr>
                      <w:rFonts w:hint="eastAsia" w:ascii="Times New Roman" w:hAnsi="Times New Roman" w:eastAsia="宋体" w:cs="Times New Roman"/>
                      <w:bCs/>
                      <w:color w:val="auto"/>
                      <w:spacing w:val="-10"/>
                      <w:kern w:val="2"/>
                      <w:sz w:val="21"/>
                      <w:szCs w:val="21"/>
                      <w:highlight w:val="yellow"/>
                      <w:lang w:val="en-US" w:eastAsia="zh-CN" w:bidi="ar-SA"/>
                    </w:rPr>
                  </w:pPr>
                  <w:r>
                    <w:rPr>
                      <w:rFonts w:hint="default" w:ascii="Times New Roman" w:hAnsi="Times New Roman" w:cs="Times New Roman"/>
                      <w:color w:val="auto"/>
                      <w:sz w:val="21"/>
                      <w:szCs w:val="21"/>
                      <w:highlight w:val="none"/>
                      <w:lang w:val="en-US" w:eastAsia="zh-CN"/>
                    </w:rPr>
                    <w:t>钢球生产线</w:t>
                  </w:r>
                  <w:r>
                    <w:rPr>
                      <w:rFonts w:hint="default" w:ascii="Times New Roman" w:hAnsi="Times New Roman" w:cs="Times New Roman"/>
                      <w:bCs/>
                      <w:color w:val="auto"/>
                      <w:spacing w:val="-10"/>
                      <w:sz w:val="21"/>
                      <w:szCs w:val="21"/>
                      <w:highlight w:val="none"/>
                    </w:rPr>
                    <w:t>（DA00</w:t>
                  </w:r>
                  <w:r>
                    <w:rPr>
                      <w:rFonts w:hint="default" w:ascii="Times New Roman" w:hAnsi="Times New Roman" w:cs="Times New Roman"/>
                      <w:bCs/>
                      <w:color w:val="auto"/>
                      <w:spacing w:val="-10"/>
                      <w:sz w:val="21"/>
                      <w:szCs w:val="21"/>
                      <w:highlight w:val="none"/>
                      <w:lang w:val="en-US" w:eastAsia="zh-CN"/>
                    </w:rPr>
                    <w:t>5</w:t>
                  </w:r>
                  <w:r>
                    <w:rPr>
                      <w:rFonts w:hint="default" w:ascii="Times New Roman" w:hAnsi="Times New Roman" w:cs="Times New Roman"/>
                      <w:bCs/>
                      <w:color w:val="auto"/>
                      <w:spacing w:val="-10"/>
                      <w:sz w:val="21"/>
                      <w:szCs w:val="21"/>
                      <w:highlight w:val="none"/>
                    </w:rPr>
                    <w:t>）</w:t>
                  </w:r>
                </w:p>
              </w:tc>
              <w:tc>
                <w:tcPr>
                  <w:tcW w:w="1050" w:type="dxa"/>
                  <w:vMerge w:val="restart"/>
                  <w:vAlign w:val="center"/>
                </w:tcPr>
                <w:p w14:paraId="0380036C">
                  <w:pPr>
                    <w:adjustRightInd w:val="0"/>
                    <w:snapToGrid w:val="0"/>
                    <w:jc w:val="center"/>
                    <w:rPr>
                      <w:rFonts w:hint="eastAsia" w:eastAsia="宋体" w:cs="宋体"/>
                      <w:bCs/>
                      <w:color w:val="auto"/>
                      <w:spacing w:val="-10"/>
                      <w:sz w:val="21"/>
                      <w:szCs w:val="21"/>
                      <w:highlight w:val="yellow"/>
                      <w:lang w:val="en-US" w:eastAsia="zh-CN"/>
                    </w:rPr>
                  </w:pPr>
                  <w:r>
                    <w:rPr>
                      <w:rFonts w:hint="eastAsia" w:cs="宋体"/>
                      <w:bCs/>
                      <w:color w:val="auto"/>
                      <w:spacing w:val="-10"/>
                      <w:sz w:val="21"/>
                      <w:szCs w:val="21"/>
                      <w:highlight w:val="none"/>
                      <w:lang w:val="en-US" w:eastAsia="zh-CN"/>
                    </w:rPr>
                    <w:t>低氮燃烧器</w:t>
                  </w:r>
                  <w:r>
                    <w:rPr>
                      <w:rFonts w:hint="eastAsia" w:cs="宋体"/>
                      <w:bCs/>
                      <w:color w:val="auto"/>
                      <w:spacing w:val="-10"/>
                      <w:sz w:val="21"/>
                      <w:szCs w:val="21"/>
                      <w:highlight w:val="none"/>
                    </w:rPr>
                    <w:t>故障，净化效率降为0%。</w:t>
                  </w:r>
                </w:p>
              </w:tc>
              <w:tc>
                <w:tcPr>
                  <w:tcW w:w="911" w:type="dxa"/>
                  <w:shd w:val="clear" w:color="auto" w:fill="auto"/>
                  <w:vAlign w:val="center"/>
                </w:tcPr>
                <w:p w14:paraId="30E923C5">
                  <w:pPr>
                    <w:keepNext w:val="0"/>
                    <w:keepLines w:val="0"/>
                    <w:widowControl/>
                    <w:suppressLineNumbers w:val="0"/>
                    <w:jc w:val="center"/>
                    <w:textAlignment w:val="center"/>
                    <w:rPr>
                      <w:rFonts w:hint="eastAsia" w:ascii="Times New Roman" w:hAnsi="Times New Roman" w:eastAsia="宋体" w:cs="宋体"/>
                      <w:bCs/>
                      <w:color w:val="auto"/>
                      <w:spacing w:val="-10"/>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1036" w:type="dxa"/>
                  <w:shd w:val="clear" w:color="auto" w:fill="auto"/>
                  <w:vAlign w:val="center"/>
                </w:tcPr>
                <w:p w14:paraId="2829E30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1.04</w:t>
                  </w:r>
                </w:p>
              </w:tc>
              <w:tc>
                <w:tcPr>
                  <w:tcW w:w="914" w:type="dxa"/>
                  <w:shd w:val="clear" w:color="auto" w:fill="auto"/>
                  <w:vAlign w:val="center"/>
                </w:tcPr>
                <w:p w14:paraId="124377F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0.109</w:t>
                  </w:r>
                </w:p>
              </w:tc>
              <w:tc>
                <w:tcPr>
                  <w:tcW w:w="695" w:type="dxa"/>
                  <w:vMerge w:val="restart"/>
                  <w:vAlign w:val="center"/>
                </w:tcPr>
                <w:p w14:paraId="5990B3EA">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0.5</w:t>
                  </w:r>
                </w:p>
              </w:tc>
              <w:tc>
                <w:tcPr>
                  <w:tcW w:w="900" w:type="dxa"/>
                  <w:vAlign w:val="center"/>
                </w:tcPr>
                <w:p w14:paraId="6EC185CC">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0.054</w:t>
                  </w:r>
                </w:p>
              </w:tc>
              <w:tc>
                <w:tcPr>
                  <w:tcW w:w="600" w:type="dxa"/>
                  <w:vMerge w:val="restart"/>
                  <w:vAlign w:val="center"/>
                </w:tcPr>
                <w:p w14:paraId="1A7FE674">
                  <w:pPr>
                    <w:adjustRightInd w:val="0"/>
                    <w:snapToGrid w:val="0"/>
                    <w:jc w:val="center"/>
                    <w:rPr>
                      <w:rFonts w:hint="eastAsia" w:cs="宋体"/>
                      <w:bCs/>
                      <w:color w:val="auto"/>
                      <w:spacing w:val="-10"/>
                      <w:sz w:val="21"/>
                      <w:szCs w:val="21"/>
                      <w:highlight w:val="yellow"/>
                    </w:rPr>
                  </w:pPr>
                  <w:r>
                    <w:rPr>
                      <w:rFonts w:hint="eastAsia" w:cs="宋体"/>
                      <w:bCs/>
                      <w:color w:val="auto"/>
                      <w:spacing w:val="-10"/>
                      <w:sz w:val="21"/>
                      <w:szCs w:val="21"/>
                      <w:highlight w:val="none"/>
                    </w:rPr>
                    <w:t>1</w:t>
                  </w:r>
                </w:p>
              </w:tc>
              <w:tc>
                <w:tcPr>
                  <w:tcW w:w="820" w:type="dxa"/>
                  <w:vMerge w:val="continue"/>
                  <w:vAlign w:val="center"/>
                </w:tcPr>
                <w:p w14:paraId="027531D5">
                  <w:pPr>
                    <w:adjustRightInd w:val="0"/>
                    <w:snapToGrid w:val="0"/>
                    <w:jc w:val="center"/>
                    <w:rPr>
                      <w:rFonts w:hint="eastAsia" w:cs="宋体"/>
                      <w:bCs/>
                      <w:color w:val="auto"/>
                      <w:spacing w:val="-10"/>
                      <w:sz w:val="21"/>
                      <w:szCs w:val="21"/>
                      <w:highlight w:val="yellow"/>
                    </w:rPr>
                  </w:pPr>
                </w:p>
              </w:tc>
            </w:tr>
            <w:tr w14:paraId="36C5C2E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116" w:type="dxa"/>
                  <w:vMerge w:val="continue"/>
                  <w:shd w:val="clear" w:color="auto" w:fill="auto"/>
                  <w:vAlign w:val="center"/>
                </w:tcPr>
                <w:p w14:paraId="7502A785">
                  <w:pPr>
                    <w:keepNext w:val="0"/>
                    <w:keepLines w:val="0"/>
                    <w:widowControl/>
                    <w:suppressLineNumbers w:val="0"/>
                    <w:jc w:val="center"/>
                    <w:textAlignment w:val="center"/>
                    <w:rPr>
                      <w:color w:val="auto"/>
                      <w:sz w:val="21"/>
                      <w:szCs w:val="21"/>
                    </w:rPr>
                  </w:pPr>
                </w:p>
              </w:tc>
              <w:tc>
                <w:tcPr>
                  <w:tcW w:w="1050" w:type="dxa"/>
                  <w:vMerge w:val="continue"/>
                  <w:vAlign w:val="center"/>
                </w:tcPr>
                <w:p w14:paraId="1F51A1EB">
                  <w:pPr>
                    <w:keepNext w:val="0"/>
                    <w:keepLines w:val="0"/>
                    <w:widowControl/>
                    <w:suppressLineNumbers w:val="0"/>
                    <w:jc w:val="center"/>
                    <w:textAlignment w:val="center"/>
                    <w:rPr>
                      <w:color w:val="auto"/>
                      <w:sz w:val="21"/>
                      <w:szCs w:val="21"/>
                    </w:rPr>
                  </w:pPr>
                </w:p>
              </w:tc>
              <w:tc>
                <w:tcPr>
                  <w:tcW w:w="911" w:type="dxa"/>
                  <w:shd w:val="clear" w:color="auto" w:fill="auto"/>
                  <w:vAlign w:val="center"/>
                </w:tcPr>
                <w:p w14:paraId="18EDC01B">
                  <w:pPr>
                    <w:keepNext w:val="0"/>
                    <w:keepLines w:val="0"/>
                    <w:widowControl/>
                    <w:suppressLineNumbers w:val="0"/>
                    <w:jc w:val="center"/>
                    <w:textAlignment w:val="center"/>
                    <w:rPr>
                      <w:rFonts w:hint="eastAsia" w:ascii="Times New Roman" w:hAnsi="Times New Roman" w:eastAsia="宋体" w:cs="宋体"/>
                      <w:bCs/>
                      <w:color w:val="auto"/>
                      <w:spacing w:val="-10"/>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SO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p>
              </w:tc>
              <w:tc>
                <w:tcPr>
                  <w:tcW w:w="1036" w:type="dxa"/>
                  <w:shd w:val="clear" w:color="auto" w:fill="auto"/>
                  <w:vAlign w:val="center"/>
                </w:tcPr>
                <w:p w14:paraId="733441DA">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0.15</w:t>
                  </w:r>
                </w:p>
              </w:tc>
              <w:tc>
                <w:tcPr>
                  <w:tcW w:w="914" w:type="dxa"/>
                  <w:shd w:val="clear" w:color="auto" w:fill="auto"/>
                  <w:vAlign w:val="center"/>
                </w:tcPr>
                <w:p w14:paraId="6B8F6495">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0.015</w:t>
                  </w:r>
                </w:p>
              </w:tc>
              <w:tc>
                <w:tcPr>
                  <w:tcW w:w="695" w:type="dxa"/>
                  <w:vMerge w:val="continue"/>
                  <w:vAlign w:val="center"/>
                </w:tcPr>
                <w:p w14:paraId="5A726A9A">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c>
                <w:tcPr>
                  <w:tcW w:w="900" w:type="dxa"/>
                  <w:vAlign w:val="center"/>
                </w:tcPr>
                <w:p w14:paraId="580A3887">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0.008</w:t>
                  </w:r>
                </w:p>
              </w:tc>
              <w:tc>
                <w:tcPr>
                  <w:tcW w:w="600" w:type="dxa"/>
                  <w:vMerge w:val="continue"/>
                  <w:vAlign w:val="center"/>
                </w:tcPr>
                <w:p w14:paraId="4638799E">
                  <w:pPr>
                    <w:keepNext w:val="0"/>
                    <w:keepLines w:val="0"/>
                    <w:widowControl/>
                    <w:suppressLineNumbers w:val="0"/>
                    <w:jc w:val="center"/>
                    <w:textAlignment w:val="center"/>
                    <w:rPr>
                      <w:rFonts w:hint="eastAsia" w:cs="宋体"/>
                      <w:bCs/>
                      <w:color w:val="auto"/>
                      <w:spacing w:val="-10"/>
                      <w:sz w:val="21"/>
                      <w:szCs w:val="21"/>
                      <w:highlight w:val="yellow"/>
                    </w:rPr>
                  </w:pPr>
                </w:p>
              </w:tc>
              <w:tc>
                <w:tcPr>
                  <w:tcW w:w="820" w:type="dxa"/>
                  <w:vMerge w:val="continue"/>
                  <w:vAlign w:val="center"/>
                </w:tcPr>
                <w:p w14:paraId="05AB9680">
                  <w:pPr>
                    <w:keepNext w:val="0"/>
                    <w:keepLines w:val="0"/>
                    <w:widowControl/>
                    <w:suppressLineNumbers w:val="0"/>
                    <w:jc w:val="center"/>
                    <w:textAlignment w:val="center"/>
                    <w:rPr>
                      <w:rFonts w:hint="eastAsia" w:cs="宋体"/>
                      <w:bCs/>
                      <w:color w:val="auto"/>
                      <w:spacing w:val="-10"/>
                      <w:sz w:val="21"/>
                      <w:szCs w:val="21"/>
                      <w:highlight w:val="yellow"/>
                    </w:rPr>
                  </w:pPr>
                </w:p>
              </w:tc>
            </w:tr>
            <w:tr w14:paraId="0EE2871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116" w:type="dxa"/>
                  <w:vMerge w:val="continue"/>
                  <w:shd w:val="clear" w:color="auto" w:fill="auto"/>
                  <w:vAlign w:val="center"/>
                </w:tcPr>
                <w:p w14:paraId="64DF1331">
                  <w:pPr>
                    <w:keepNext w:val="0"/>
                    <w:keepLines w:val="0"/>
                    <w:widowControl/>
                    <w:suppressLineNumbers w:val="0"/>
                    <w:jc w:val="center"/>
                    <w:textAlignment w:val="center"/>
                    <w:rPr>
                      <w:rFonts w:hint="eastAsia" w:cs="宋体"/>
                      <w:bCs/>
                      <w:color w:val="auto"/>
                      <w:spacing w:val="-10"/>
                      <w:sz w:val="21"/>
                      <w:szCs w:val="21"/>
                      <w:highlight w:val="yellow"/>
                    </w:rPr>
                  </w:pPr>
                </w:p>
              </w:tc>
              <w:tc>
                <w:tcPr>
                  <w:tcW w:w="1050" w:type="dxa"/>
                  <w:vMerge w:val="continue"/>
                  <w:vAlign w:val="center"/>
                </w:tcPr>
                <w:p w14:paraId="255970C7">
                  <w:pPr>
                    <w:keepNext w:val="0"/>
                    <w:keepLines w:val="0"/>
                    <w:widowControl/>
                    <w:suppressLineNumbers w:val="0"/>
                    <w:jc w:val="center"/>
                    <w:textAlignment w:val="center"/>
                    <w:rPr>
                      <w:rFonts w:hint="eastAsia" w:cs="宋体"/>
                      <w:bCs/>
                      <w:color w:val="auto"/>
                      <w:spacing w:val="-10"/>
                      <w:sz w:val="21"/>
                      <w:szCs w:val="21"/>
                      <w:highlight w:val="yellow"/>
                    </w:rPr>
                  </w:pPr>
                </w:p>
              </w:tc>
              <w:tc>
                <w:tcPr>
                  <w:tcW w:w="911" w:type="dxa"/>
                  <w:shd w:val="clear" w:color="auto" w:fill="auto"/>
                  <w:vAlign w:val="center"/>
                </w:tcPr>
                <w:p w14:paraId="3B7473CB">
                  <w:pPr>
                    <w:keepNext w:val="0"/>
                    <w:keepLines w:val="0"/>
                    <w:widowControl/>
                    <w:suppressLineNumbers w:val="0"/>
                    <w:jc w:val="center"/>
                    <w:textAlignment w:val="center"/>
                    <w:rPr>
                      <w:rFonts w:hint="eastAsia" w:ascii="Times New Roman" w:hAnsi="Times New Roman" w:eastAsia="宋体" w:cs="宋体"/>
                      <w:bCs/>
                      <w:color w:val="auto"/>
                      <w:spacing w:val="-10"/>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NOx</w:t>
                  </w:r>
                </w:p>
              </w:tc>
              <w:tc>
                <w:tcPr>
                  <w:tcW w:w="1036" w:type="dxa"/>
                  <w:shd w:val="clear" w:color="auto" w:fill="auto"/>
                  <w:vAlign w:val="center"/>
                </w:tcPr>
                <w:p w14:paraId="42C22DBA">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6.81</w:t>
                  </w:r>
                </w:p>
              </w:tc>
              <w:tc>
                <w:tcPr>
                  <w:tcW w:w="914" w:type="dxa"/>
                  <w:shd w:val="clear" w:color="auto" w:fill="auto"/>
                  <w:vAlign w:val="center"/>
                </w:tcPr>
                <w:p w14:paraId="0140CFDC">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0.711</w:t>
                  </w:r>
                </w:p>
              </w:tc>
              <w:tc>
                <w:tcPr>
                  <w:tcW w:w="695" w:type="dxa"/>
                  <w:vMerge w:val="continue"/>
                  <w:vAlign w:val="center"/>
                </w:tcPr>
                <w:p w14:paraId="5C63563E">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c>
                <w:tcPr>
                  <w:tcW w:w="900" w:type="dxa"/>
                  <w:vAlign w:val="center"/>
                </w:tcPr>
                <w:p w14:paraId="242DE970">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0.355</w:t>
                  </w:r>
                </w:p>
              </w:tc>
              <w:tc>
                <w:tcPr>
                  <w:tcW w:w="600" w:type="dxa"/>
                  <w:vMerge w:val="continue"/>
                  <w:vAlign w:val="center"/>
                </w:tcPr>
                <w:p w14:paraId="22E4AF5E">
                  <w:pPr>
                    <w:keepNext w:val="0"/>
                    <w:keepLines w:val="0"/>
                    <w:widowControl/>
                    <w:suppressLineNumbers w:val="0"/>
                    <w:jc w:val="center"/>
                    <w:textAlignment w:val="center"/>
                    <w:rPr>
                      <w:rFonts w:hint="eastAsia" w:cs="宋体"/>
                      <w:bCs/>
                      <w:color w:val="auto"/>
                      <w:spacing w:val="-10"/>
                      <w:sz w:val="21"/>
                      <w:szCs w:val="21"/>
                      <w:highlight w:val="yellow"/>
                    </w:rPr>
                  </w:pPr>
                </w:p>
              </w:tc>
              <w:tc>
                <w:tcPr>
                  <w:tcW w:w="820" w:type="dxa"/>
                  <w:vMerge w:val="continue"/>
                  <w:vAlign w:val="center"/>
                </w:tcPr>
                <w:p w14:paraId="0F985114">
                  <w:pPr>
                    <w:keepNext w:val="0"/>
                    <w:keepLines w:val="0"/>
                    <w:widowControl/>
                    <w:suppressLineNumbers w:val="0"/>
                    <w:jc w:val="center"/>
                    <w:textAlignment w:val="center"/>
                    <w:rPr>
                      <w:rFonts w:hint="eastAsia" w:cs="宋体"/>
                      <w:bCs/>
                      <w:color w:val="auto"/>
                      <w:spacing w:val="-10"/>
                      <w:sz w:val="21"/>
                      <w:szCs w:val="21"/>
                      <w:highlight w:val="yellow"/>
                    </w:rPr>
                  </w:pPr>
                </w:p>
              </w:tc>
            </w:tr>
            <w:tr w14:paraId="45A113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0" w:type="auto"/>
                  <w:vMerge w:val="restart"/>
                  <w:shd w:val="clear" w:color="auto" w:fill="auto"/>
                  <w:vAlign w:val="center"/>
                </w:tcPr>
                <w:p w14:paraId="1BBF50DE">
                  <w:pPr>
                    <w:snapToGrid w:val="0"/>
                    <w:jc w:val="center"/>
                    <w:rPr>
                      <w:rFonts w:hint="eastAsia" w:ascii="Times New Roman" w:hAnsi="Times New Roman" w:eastAsia="宋体" w:cs="Times New Roman"/>
                      <w:bCs/>
                      <w:color w:val="auto"/>
                      <w:spacing w:val="-10"/>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自由锻生产线</w:t>
                  </w:r>
                  <w:r>
                    <w:rPr>
                      <w:rFonts w:hint="eastAsia" w:cs="Times New Roman"/>
                      <w:color w:val="auto"/>
                      <w:sz w:val="21"/>
                      <w:szCs w:val="21"/>
                      <w:highlight w:val="none"/>
                      <w:lang w:val="en-US" w:eastAsia="zh-CN"/>
                    </w:rPr>
                    <w:t>加热炉</w:t>
                  </w:r>
                  <w:r>
                    <w:rPr>
                      <w:rFonts w:hint="default" w:ascii="Times New Roman" w:hAnsi="Times New Roman" w:cs="Times New Roman"/>
                      <w:bCs/>
                      <w:color w:val="auto"/>
                      <w:spacing w:val="-10"/>
                      <w:sz w:val="21"/>
                      <w:szCs w:val="21"/>
                      <w:highlight w:val="none"/>
                    </w:rPr>
                    <w:t>（DA00</w:t>
                  </w:r>
                  <w:r>
                    <w:rPr>
                      <w:rFonts w:hint="default" w:ascii="Times New Roman" w:hAnsi="Times New Roman" w:cs="Times New Roman"/>
                      <w:bCs/>
                      <w:color w:val="auto"/>
                      <w:spacing w:val="-10"/>
                      <w:sz w:val="21"/>
                      <w:szCs w:val="21"/>
                      <w:highlight w:val="none"/>
                      <w:lang w:val="en-US" w:eastAsia="zh-CN"/>
                    </w:rPr>
                    <w:t>6</w:t>
                  </w:r>
                  <w:r>
                    <w:rPr>
                      <w:rFonts w:hint="default" w:ascii="Times New Roman" w:hAnsi="Times New Roman" w:cs="Times New Roman"/>
                      <w:bCs/>
                      <w:color w:val="auto"/>
                      <w:spacing w:val="-10"/>
                      <w:sz w:val="21"/>
                      <w:szCs w:val="21"/>
                      <w:highlight w:val="none"/>
                    </w:rPr>
                    <w:t>）</w:t>
                  </w:r>
                </w:p>
              </w:tc>
              <w:tc>
                <w:tcPr>
                  <w:tcW w:w="1050" w:type="dxa"/>
                  <w:vMerge w:val="continue"/>
                  <w:vAlign w:val="center"/>
                </w:tcPr>
                <w:p w14:paraId="257E1FEA">
                  <w:pPr>
                    <w:adjustRightInd w:val="0"/>
                    <w:snapToGrid w:val="0"/>
                    <w:jc w:val="center"/>
                    <w:rPr>
                      <w:rFonts w:hint="eastAsia" w:eastAsia="宋体" w:cs="宋体"/>
                      <w:bCs/>
                      <w:color w:val="auto"/>
                      <w:spacing w:val="-10"/>
                      <w:sz w:val="21"/>
                      <w:szCs w:val="21"/>
                      <w:highlight w:val="none"/>
                      <w:lang w:val="en-US" w:eastAsia="zh-CN"/>
                    </w:rPr>
                  </w:pPr>
                </w:p>
              </w:tc>
              <w:tc>
                <w:tcPr>
                  <w:tcW w:w="911" w:type="dxa"/>
                  <w:shd w:val="clear" w:color="auto" w:fill="auto"/>
                  <w:vAlign w:val="center"/>
                </w:tcPr>
                <w:p w14:paraId="1F7FEB72">
                  <w:pPr>
                    <w:keepNext w:val="0"/>
                    <w:keepLines w:val="0"/>
                    <w:widowControl/>
                    <w:suppressLineNumbers w:val="0"/>
                    <w:jc w:val="center"/>
                    <w:textAlignment w:val="center"/>
                    <w:rPr>
                      <w:rFonts w:hint="eastAsia" w:ascii="Times New Roman" w:hAnsi="Times New Roman" w:eastAsia="宋体" w:cs="宋体"/>
                      <w:bCs/>
                      <w:color w:val="auto"/>
                      <w:spacing w:val="-10"/>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1036" w:type="dxa"/>
                  <w:vAlign w:val="center"/>
                </w:tcPr>
                <w:p w14:paraId="19434A8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10.24</w:t>
                  </w:r>
                </w:p>
              </w:tc>
              <w:tc>
                <w:tcPr>
                  <w:tcW w:w="914" w:type="dxa"/>
                  <w:vAlign w:val="center"/>
                </w:tcPr>
                <w:p w14:paraId="694AEA6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0.180</w:t>
                  </w:r>
                </w:p>
              </w:tc>
              <w:tc>
                <w:tcPr>
                  <w:tcW w:w="695" w:type="dxa"/>
                  <w:vMerge w:val="restart"/>
                  <w:vAlign w:val="center"/>
                </w:tcPr>
                <w:p w14:paraId="60F70C57">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0.5</w:t>
                  </w:r>
                </w:p>
              </w:tc>
              <w:tc>
                <w:tcPr>
                  <w:tcW w:w="900" w:type="dxa"/>
                  <w:vAlign w:val="center"/>
                </w:tcPr>
                <w:p w14:paraId="37AC95BB">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0.090</w:t>
                  </w:r>
                </w:p>
              </w:tc>
              <w:tc>
                <w:tcPr>
                  <w:tcW w:w="600" w:type="dxa"/>
                  <w:vMerge w:val="restart"/>
                  <w:vAlign w:val="center"/>
                </w:tcPr>
                <w:p w14:paraId="4788B9C4">
                  <w:pPr>
                    <w:adjustRightInd w:val="0"/>
                    <w:snapToGrid w:val="0"/>
                    <w:jc w:val="center"/>
                    <w:rPr>
                      <w:rFonts w:hint="eastAsia" w:cs="宋体"/>
                      <w:bCs/>
                      <w:color w:val="auto"/>
                      <w:spacing w:val="-10"/>
                      <w:sz w:val="21"/>
                      <w:szCs w:val="21"/>
                      <w:highlight w:val="none"/>
                    </w:rPr>
                  </w:pPr>
                  <w:r>
                    <w:rPr>
                      <w:rFonts w:hint="eastAsia" w:cs="宋体"/>
                      <w:bCs/>
                      <w:color w:val="auto"/>
                      <w:spacing w:val="-10"/>
                      <w:sz w:val="21"/>
                      <w:szCs w:val="21"/>
                      <w:highlight w:val="none"/>
                    </w:rPr>
                    <w:t>1</w:t>
                  </w:r>
                </w:p>
              </w:tc>
              <w:tc>
                <w:tcPr>
                  <w:tcW w:w="820" w:type="dxa"/>
                  <w:vMerge w:val="continue"/>
                </w:tcPr>
                <w:p w14:paraId="7A9F443D">
                  <w:pPr>
                    <w:adjustRightInd w:val="0"/>
                    <w:snapToGrid w:val="0"/>
                    <w:jc w:val="center"/>
                    <w:rPr>
                      <w:rFonts w:hint="eastAsia" w:cs="宋体"/>
                      <w:bCs/>
                      <w:color w:val="auto"/>
                      <w:spacing w:val="-10"/>
                      <w:sz w:val="21"/>
                      <w:szCs w:val="21"/>
                      <w:highlight w:val="none"/>
                    </w:rPr>
                  </w:pPr>
                </w:p>
              </w:tc>
            </w:tr>
            <w:tr w14:paraId="21FAF42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0" w:type="auto"/>
                  <w:vMerge w:val="continue"/>
                  <w:shd w:val="clear" w:color="auto" w:fill="auto"/>
                  <w:vAlign w:val="center"/>
                </w:tcPr>
                <w:p w14:paraId="041F02EB">
                  <w:pPr>
                    <w:keepNext w:val="0"/>
                    <w:keepLines w:val="0"/>
                    <w:widowControl/>
                    <w:suppressLineNumbers w:val="0"/>
                    <w:jc w:val="center"/>
                    <w:textAlignment w:val="center"/>
                    <w:rPr>
                      <w:color w:val="auto"/>
                      <w:sz w:val="21"/>
                      <w:szCs w:val="21"/>
                      <w:highlight w:val="none"/>
                    </w:rPr>
                  </w:pPr>
                </w:p>
              </w:tc>
              <w:tc>
                <w:tcPr>
                  <w:tcW w:w="1050" w:type="dxa"/>
                  <w:vMerge w:val="continue"/>
                  <w:vAlign w:val="center"/>
                </w:tcPr>
                <w:p w14:paraId="38F5C018">
                  <w:pPr>
                    <w:keepNext w:val="0"/>
                    <w:keepLines w:val="0"/>
                    <w:widowControl/>
                    <w:suppressLineNumbers w:val="0"/>
                    <w:jc w:val="center"/>
                    <w:textAlignment w:val="center"/>
                    <w:rPr>
                      <w:color w:val="auto"/>
                      <w:sz w:val="21"/>
                      <w:szCs w:val="21"/>
                      <w:highlight w:val="none"/>
                    </w:rPr>
                  </w:pPr>
                </w:p>
              </w:tc>
              <w:tc>
                <w:tcPr>
                  <w:tcW w:w="911" w:type="dxa"/>
                  <w:shd w:val="clear" w:color="auto" w:fill="auto"/>
                  <w:vAlign w:val="center"/>
                </w:tcPr>
                <w:p w14:paraId="4FCF8F2A">
                  <w:pPr>
                    <w:keepNext w:val="0"/>
                    <w:keepLines w:val="0"/>
                    <w:widowControl/>
                    <w:suppressLineNumbers w:val="0"/>
                    <w:jc w:val="center"/>
                    <w:textAlignment w:val="center"/>
                    <w:rPr>
                      <w:rFonts w:hint="eastAsia" w:ascii="Times New Roman" w:hAnsi="Times New Roman" w:eastAsia="宋体" w:cs="宋体"/>
                      <w:bCs/>
                      <w:color w:val="auto"/>
                      <w:spacing w:val="-10"/>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SO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p>
              </w:tc>
              <w:tc>
                <w:tcPr>
                  <w:tcW w:w="1036" w:type="dxa"/>
                  <w:vAlign w:val="center"/>
                </w:tcPr>
                <w:p w14:paraId="56351C03">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1.43</w:t>
                  </w:r>
                </w:p>
              </w:tc>
              <w:tc>
                <w:tcPr>
                  <w:tcW w:w="914" w:type="dxa"/>
                  <w:vAlign w:val="center"/>
                </w:tcPr>
                <w:p w14:paraId="03988506">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0.025</w:t>
                  </w:r>
                </w:p>
              </w:tc>
              <w:tc>
                <w:tcPr>
                  <w:tcW w:w="695" w:type="dxa"/>
                  <w:vMerge w:val="continue"/>
                  <w:vAlign w:val="center"/>
                </w:tcPr>
                <w:p w14:paraId="074C1057">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c>
                <w:tcPr>
                  <w:tcW w:w="900" w:type="dxa"/>
                  <w:vAlign w:val="center"/>
                </w:tcPr>
                <w:p w14:paraId="089FCF33">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0.013</w:t>
                  </w:r>
                </w:p>
              </w:tc>
              <w:tc>
                <w:tcPr>
                  <w:tcW w:w="600" w:type="dxa"/>
                  <w:vMerge w:val="continue"/>
                  <w:vAlign w:val="center"/>
                </w:tcPr>
                <w:p w14:paraId="34309571">
                  <w:pPr>
                    <w:keepNext w:val="0"/>
                    <w:keepLines w:val="0"/>
                    <w:widowControl/>
                    <w:suppressLineNumbers w:val="0"/>
                    <w:jc w:val="center"/>
                    <w:textAlignment w:val="center"/>
                    <w:rPr>
                      <w:rFonts w:hint="eastAsia" w:cs="宋体"/>
                      <w:bCs/>
                      <w:color w:val="auto"/>
                      <w:spacing w:val="-10"/>
                      <w:sz w:val="21"/>
                      <w:szCs w:val="21"/>
                      <w:highlight w:val="none"/>
                    </w:rPr>
                  </w:pPr>
                </w:p>
              </w:tc>
              <w:tc>
                <w:tcPr>
                  <w:tcW w:w="820" w:type="dxa"/>
                  <w:vMerge w:val="continue"/>
                </w:tcPr>
                <w:p w14:paraId="40EBC797">
                  <w:pPr>
                    <w:keepNext w:val="0"/>
                    <w:keepLines w:val="0"/>
                    <w:widowControl/>
                    <w:suppressLineNumbers w:val="0"/>
                    <w:jc w:val="center"/>
                    <w:textAlignment w:val="center"/>
                    <w:rPr>
                      <w:rFonts w:hint="eastAsia" w:cs="宋体"/>
                      <w:bCs/>
                      <w:color w:val="auto"/>
                      <w:spacing w:val="-10"/>
                      <w:sz w:val="21"/>
                      <w:szCs w:val="21"/>
                      <w:highlight w:val="none"/>
                    </w:rPr>
                  </w:pPr>
                </w:p>
              </w:tc>
            </w:tr>
            <w:tr w14:paraId="6534F6B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0" w:type="auto"/>
                  <w:vMerge w:val="continue"/>
                  <w:shd w:val="clear" w:color="auto" w:fill="auto"/>
                  <w:vAlign w:val="center"/>
                </w:tcPr>
                <w:p w14:paraId="55990E31">
                  <w:pPr>
                    <w:keepNext w:val="0"/>
                    <w:keepLines w:val="0"/>
                    <w:widowControl/>
                    <w:suppressLineNumbers w:val="0"/>
                    <w:jc w:val="center"/>
                    <w:textAlignment w:val="center"/>
                    <w:rPr>
                      <w:rFonts w:hint="eastAsia" w:cs="宋体"/>
                      <w:bCs/>
                      <w:color w:val="auto"/>
                      <w:spacing w:val="-10"/>
                      <w:sz w:val="21"/>
                      <w:szCs w:val="21"/>
                      <w:highlight w:val="none"/>
                    </w:rPr>
                  </w:pPr>
                </w:p>
              </w:tc>
              <w:tc>
                <w:tcPr>
                  <w:tcW w:w="1050" w:type="dxa"/>
                  <w:vMerge w:val="continue"/>
                  <w:vAlign w:val="center"/>
                </w:tcPr>
                <w:p w14:paraId="513EEDFD">
                  <w:pPr>
                    <w:keepNext w:val="0"/>
                    <w:keepLines w:val="0"/>
                    <w:widowControl/>
                    <w:suppressLineNumbers w:val="0"/>
                    <w:jc w:val="center"/>
                    <w:textAlignment w:val="center"/>
                    <w:rPr>
                      <w:rFonts w:hint="eastAsia" w:cs="宋体"/>
                      <w:bCs/>
                      <w:color w:val="auto"/>
                      <w:spacing w:val="-10"/>
                      <w:sz w:val="21"/>
                      <w:szCs w:val="21"/>
                      <w:highlight w:val="none"/>
                    </w:rPr>
                  </w:pPr>
                </w:p>
              </w:tc>
              <w:tc>
                <w:tcPr>
                  <w:tcW w:w="911" w:type="dxa"/>
                  <w:shd w:val="clear" w:color="auto" w:fill="auto"/>
                  <w:vAlign w:val="center"/>
                </w:tcPr>
                <w:p w14:paraId="5E33460C">
                  <w:pPr>
                    <w:keepNext w:val="0"/>
                    <w:keepLines w:val="0"/>
                    <w:widowControl/>
                    <w:suppressLineNumbers w:val="0"/>
                    <w:jc w:val="center"/>
                    <w:textAlignment w:val="center"/>
                    <w:rPr>
                      <w:rFonts w:hint="eastAsia" w:ascii="Times New Roman" w:hAnsi="Times New Roman" w:eastAsia="宋体" w:cs="宋体"/>
                      <w:bCs/>
                      <w:color w:val="auto"/>
                      <w:spacing w:val="-10"/>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NOx</w:t>
                  </w:r>
                </w:p>
              </w:tc>
              <w:tc>
                <w:tcPr>
                  <w:tcW w:w="1036" w:type="dxa"/>
                  <w:vAlign w:val="center"/>
                </w:tcPr>
                <w:p w14:paraId="2FB892BE">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66.94</w:t>
                  </w:r>
                </w:p>
              </w:tc>
              <w:tc>
                <w:tcPr>
                  <w:tcW w:w="914" w:type="dxa"/>
                  <w:vAlign w:val="center"/>
                </w:tcPr>
                <w:p w14:paraId="6C43B786">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1.178</w:t>
                  </w:r>
                </w:p>
              </w:tc>
              <w:tc>
                <w:tcPr>
                  <w:tcW w:w="695" w:type="dxa"/>
                  <w:vMerge w:val="continue"/>
                  <w:vAlign w:val="center"/>
                </w:tcPr>
                <w:p w14:paraId="7DB9D30E">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c>
                <w:tcPr>
                  <w:tcW w:w="900" w:type="dxa"/>
                  <w:vAlign w:val="center"/>
                </w:tcPr>
                <w:p w14:paraId="651ED950">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0.589</w:t>
                  </w:r>
                </w:p>
              </w:tc>
              <w:tc>
                <w:tcPr>
                  <w:tcW w:w="600" w:type="dxa"/>
                  <w:vMerge w:val="continue"/>
                  <w:vAlign w:val="center"/>
                </w:tcPr>
                <w:p w14:paraId="6EE49F18">
                  <w:pPr>
                    <w:keepNext w:val="0"/>
                    <w:keepLines w:val="0"/>
                    <w:widowControl/>
                    <w:suppressLineNumbers w:val="0"/>
                    <w:jc w:val="center"/>
                    <w:textAlignment w:val="center"/>
                    <w:rPr>
                      <w:rFonts w:hint="eastAsia" w:cs="宋体"/>
                      <w:bCs/>
                      <w:color w:val="auto"/>
                      <w:spacing w:val="-10"/>
                      <w:sz w:val="21"/>
                      <w:szCs w:val="21"/>
                      <w:highlight w:val="none"/>
                    </w:rPr>
                  </w:pPr>
                </w:p>
              </w:tc>
              <w:tc>
                <w:tcPr>
                  <w:tcW w:w="820" w:type="dxa"/>
                  <w:vMerge w:val="continue"/>
                </w:tcPr>
                <w:p w14:paraId="4E03DD97">
                  <w:pPr>
                    <w:keepNext w:val="0"/>
                    <w:keepLines w:val="0"/>
                    <w:widowControl/>
                    <w:suppressLineNumbers w:val="0"/>
                    <w:jc w:val="center"/>
                    <w:textAlignment w:val="center"/>
                    <w:rPr>
                      <w:rFonts w:hint="eastAsia" w:cs="宋体"/>
                      <w:bCs/>
                      <w:color w:val="auto"/>
                      <w:spacing w:val="-10"/>
                      <w:sz w:val="21"/>
                      <w:szCs w:val="21"/>
                      <w:highlight w:val="none"/>
                    </w:rPr>
                  </w:pPr>
                </w:p>
              </w:tc>
            </w:tr>
            <w:tr w14:paraId="24458DD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116" w:type="dxa"/>
                  <w:vMerge w:val="restart"/>
                  <w:shd w:val="clear" w:color="auto" w:fill="auto"/>
                  <w:vAlign w:val="center"/>
                </w:tcPr>
                <w:p w14:paraId="33FBFB61">
                  <w:pPr>
                    <w:keepNext w:val="0"/>
                    <w:keepLines w:val="0"/>
                    <w:widowControl/>
                    <w:suppressLineNumbers w:val="0"/>
                    <w:jc w:val="center"/>
                    <w:textAlignment w:val="center"/>
                    <w:rPr>
                      <w:rFonts w:hint="eastAsia" w:cs="宋体"/>
                      <w:bCs/>
                      <w:color w:val="auto"/>
                      <w:spacing w:val="-10"/>
                      <w:sz w:val="21"/>
                      <w:szCs w:val="21"/>
                      <w:highlight w:val="none"/>
                    </w:rPr>
                  </w:pPr>
                  <w:r>
                    <w:rPr>
                      <w:rFonts w:hint="default" w:ascii="Times New Roman" w:hAnsi="Times New Roman" w:cs="Times New Roman"/>
                      <w:color w:val="auto"/>
                      <w:sz w:val="21"/>
                      <w:szCs w:val="21"/>
                      <w:highlight w:val="none"/>
                      <w:lang w:val="en-US" w:eastAsia="zh-CN"/>
                    </w:rPr>
                    <w:t>自由锻生产线</w:t>
                  </w:r>
                  <w:r>
                    <w:rPr>
                      <w:rFonts w:hint="eastAsia" w:ascii="Times New Roman" w:hAnsi="Times New Roman" w:cs="Times New Roman"/>
                      <w:color w:val="auto"/>
                      <w:sz w:val="21"/>
                      <w:szCs w:val="21"/>
                      <w:highlight w:val="none"/>
                      <w:lang w:val="en-US" w:eastAsia="zh-CN"/>
                    </w:rPr>
                    <w:t>回火炉</w:t>
                  </w:r>
                  <w:r>
                    <w:rPr>
                      <w:rFonts w:hint="default" w:ascii="Times New Roman" w:hAnsi="Times New Roman" w:cs="Times New Roman"/>
                      <w:bCs/>
                      <w:color w:val="auto"/>
                      <w:spacing w:val="-10"/>
                      <w:sz w:val="21"/>
                      <w:szCs w:val="21"/>
                      <w:highlight w:val="none"/>
                    </w:rPr>
                    <w:t>（DA00</w:t>
                  </w:r>
                  <w:r>
                    <w:rPr>
                      <w:rFonts w:hint="eastAsia" w:ascii="Times New Roman" w:hAnsi="Times New Roman" w:cs="Times New Roman"/>
                      <w:bCs/>
                      <w:color w:val="auto"/>
                      <w:spacing w:val="-10"/>
                      <w:sz w:val="21"/>
                      <w:szCs w:val="21"/>
                      <w:highlight w:val="none"/>
                      <w:lang w:val="en-US" w:eastAsia="zh-CN"/>
                    </w:rPr>
                    <w:t>7</w:t>
                  </w:r>
                  <w:r>
                    <w:rPr>
                      <w:rFonts w:hint="default" w:ascii="Times New Roman" w:hAnsi="Times New Roman" w:cs="Times New Roman"/>
                      <w:bCs/>
                      <w:color w:val="auto"/>
                      <w:spacing w:val="-10"/>
                      <w:sz w:val="21"/>
                      <w:szCs w:val="21"/>
                      <w:highlight w:val="none"/>
                    </w:rPr>
                    <w:t>）</w:t>
                  </w:r>
                </w:p>
              </w:tc>
              <w:tc>
                <w:tcPr>
                  <w:tcW w:w="1050" w:type="dxa"/>
                  <w:vMerge w:val="continue"/>
                  <w:vAlign w:val="center"/>
                </w:tcPr>
                <w:p w14:paraId="760D26FD">
                  <w:pPr>
                    <w:keepNext w:val="0"/>
                    <w:keepLines w:val="0"/>
                    <w:widowControl/>
                    <w:suppressLineNumbers w:val="0"/>
                    <w:jc w:val="center"/>
                    <w:textAlignment w:val="center"/>
                    <w:rPr>
                      <w:rFonts w:hint="eastAsia" w:cs="宋体"/>
                      <w:bCs/>
                      <w:color w:val="auto"/>
                      <w:spacing w:val="-10"/>
                      <w:sz w:val="21"/>
                      <w:szCs w:val="21"/>
                      <w:highlight w:val="none"/>
                    </w:rPr>
                  </w:pPr>
                </w:p>
              </w:tc>
              <w:tc>
                <w:tcPr>
                  <w:tcW w:w="911" w:type="dxa"/>
                  <w:shd w:val="clear" w:color="auto" w:fill="auto"/>
                  <w:vAlign w:val="center"/>
                </w:tcPr>
                <w:p w14:paraId="5FDE1B1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1036" w:type="dxa"/>
                  <w:vAlign w:val="center"/>
                </w:tcPr>
                <w:p w14:paraId="456FAEAB">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10.33</w:t>
                  </w:r>
                </w:p>
              </w:tc>
              <w:tc>
                <w:tcPr>
                  <w:tcW w:w="914" w:type="dxa"/>
                  <w:vAlign w:val="center"/>
                </w:tcPr>
                <w:p w14:paraId="577E4EA6">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0.074</w:t>
                  </w:r>
                </w:p>
              </w:tc>
              <w:tc>
                <w:tcPr>
                  <w:tcW w:w="695" w:type="dxa"/>
                  <w:vMerge w:val="restart"/>
                  <w:vAlign w:val="center"/>
                </w:tcPr>
                <w:p w14:paraId="316E769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0.5</w:t>
                  </w:r>
                </w:p>
              </w:tc>
              <w:tc>
                <w:tcPr>
                  <w:tcW w:w="900" w:type="dxa"/>
                  <w:vAlign w:val="center"/>
                </w:tcPr>
                <w:p w14:paraId="4805FD40">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0.037</w:t>
                  </w:r>
                </w:p>
              </w:tc>
              <w:tc>
                <w:tcPr>
                  <w:tcW w:w="600" w:type="dxa"/>
                  <w:vMerge w:val="restart"/>
                  <w:vAlign w:val="center"/>
                </w:tcPr>
                <w:p w14:paraId="4D14F2EB">
                  <w:pPr>
                    <w:keepNext w:val="0"/>
                    <w:keepLines w:val="0"/>
                    <w:widowControl/>
                    <w:suppressLineNumbers w:val="0"/>
                    <w:jc w:val="center"/>
                    <w:textAlignment w:val="center"/>
                    <w:rPr>
                      <w:rFonts w:hint="eastAsia" w:eastAsia="宋体" w:cs="宋体"/>
                      <w:bCs/>
                      <w:color w:val="auto"/>
                      <w:spacing w:val="-10"/>
                      <w:sz w:val="21"/>
                      <w:szCs w:val="21"/>
                      <w:highlight w:val="none"/>
                      <w:lang w:val="en-US" w:eastAsia="zh-CN"/>
                    </w:rPr>
                  </w:pPr>
                  <w:r>
                    <w:rPr>
                      <w:rFonts w:hint="eastAsia" w:cs="宋体"/>
                      <w:bCs/>
                      <w:color w:val="auto"/>
                      <w:spacing w:val="-10"/>
                      <w:sz w:val="21"/>
                      <w:szCs w:val="21"/>
                      <w:highlight w:val="none"/>
                      <w:lang w:val="en-US" w:eastAsia="zh-CN"/>
                    </w:rPr>
                    <w:t>1</w:t>
                  </w:r>
                </w:p>
              </w:tc>
              <w:tc>
                <w:tcPr>
                  <w:tcW w:w="820" w:type="dxa"/>
                  <w:vMerge w:val="continue"/>
                </w:tcPr>
                <w:p w14:paraId="21009C2C">
                  <w:pPr>
                    <w:keepNext w:val="0"/>
                    <w:keepLines w:val="0"/>
                    <w:widowControl/>
                    <w:suppressLineNumbers w:val="0"/>
                    <w:jc w:val="center"/>
                    <w:textAlignment w:val="center"/>
                    <w:rPr>
                      <w:rFonts w:hint="eastAsia" w:cs="宋体"/>
                      <w:bCs/>
                      <w:color w:val="auto"/>
                      <w:spacing w:val="-10"/>
                      <w:sz w:val="21"/>
                      <w:szCs w:val="21"/>
                      <w:highlight w:val="none"/>
                    </w:rPr>
                  </w:pPr>
                </w:p>
              </w:tc>
            </w:tr>
            <w:tr w14:paraId="2B1EF1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116" w:type="dxa"/>
                  <w:vMerge w:val="continue"/>
                  <w:shd w:val="clear" w:color="auto" w:fill="auto"/>
                  <w:vAlign w:val="center"/>
                </w:tcPr>
                <w:p w14:paraId="433C3913">
                  <w:pPr>
                    <w:keepNext w:val="0"/>
                    <w:keepLines w:val="0"/>
                    <w:widowControl/>
                    <w:suppressLineNumbers w:val="0"/>
                    <w:jc w:val="center"/>
                    <w:textAlignment w:val="center"/>
                    <w:rPr>
                      <w:rFonts w:hint="eastAsia" w:cs="宋体"/>
                      <w:bCs/>
                      <w:color w:val="auto"/>
                      <w:spacing w:val="-10"/>
                      <w:sz w:val="21"/>
                      <w:szCs w:val="21"/>
                      <w:highlight w:val="none"/>
                    </w:rPr>
                  </w:pPr>
                </w:p>
              </w:tc>
              <w:tc>
                <w:tcPr>
                  <w:tcW w:w="1050" w:type="dxa"/>
                  <w:vMerge w:val="continue"/>
                  <w:vAlign w:val="center"/>
                </w:tcPr>
                <w:p w14:paraId="49D4D6C0">
                  <w:pPr>
                    <w:keepNext w:val="0"/>
                    <w:keepLines w:val="0"/>
                    <w:widowControl/>
                    <w:suppressLineNumbers w:val="0"/>
                    <w:jc w:val="center"/>
                    <w:textAlignment w:val="center"/>
                    <w:rPr>
                      <w:rFonts w:hint="eastAsia" w:cs="宋体"/>
                      <w:bCs/>
                      <w:color w:val="auto"/>
                      <w:spacing w:val="-10"/>
                      <w:sz w:val="21"/>
                      <w:szCs w:val="21"/>
                      <w:highlight w:val="none"/>
                    </w:rPr>
                  </w:pPr>
                </w:p>
              </w:tc>
              <w:tc>
                <w:tcPr>
                  <w:tcW w:w="911" w:type="dxa"/>
                  <w:shd w:val="clear" w:color="auto" w:fill="auto"/>
                  <w:vAlign w:val="center"/>
                </w:tcPr>
                <w:p w14:paraId="45A3A67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SO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p>
              </w:tc>
              <w:tc>
                <w:tcPr>
                  <w:tcW w:w="1036" w:type="dxa"/>
                  <w:vAlign w:val="center"/>
                </w:tcPr>
                <w:p w14:paraId="1A127CD7">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1.44</w:t>
                  </w:r>
                </w:p>
              </w:tc>
              <w:tc>
                <w:tcPr>
                  <w:tcW w:w="914" w:type="dxa"/>
                  <w:vAlign w:val="center"/>
                </w:tcPr>
                <w:p w14:paraId="2EF8E43F">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0.010</w:t>
                  </w:r>
                </w:p>
              </w:tc>
              <w:tc>
                <w:tcPr>
                  <w:tcW w:w="695" w:type="dxa"/>
                  <w:vMerge w:val="continue"/>
                  <w:vAlign w:val="center"/>
                </w:tcPr>
                <w:p w14:paraId="06E76A27">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c>
                <w:tcPr>
                  <w:tcW w:w="900" w:type="dxa"/>
                  <w:vAlign w:val="center"/>
                </w:tcPr>
                <w:p w14:paraId="767CF95A">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0.005</w:t>
                  </w:r>
                </w:p>
              </w:tc>
              <w:tc>
                <w:tcPr>
                  <w:tcW w:w="600" w:type="dxa"/>
                  <w:vMerge w:val="continue"/>
                  <w:vAlign w:val="center"/>
                </w:tcPr>
                <w:p w14:paraId="32457D1F">
                  <w:pPr>
                    <w:keepNext w:val="0"/>
                    <w:keepLines w:val="0"/>
                    <w:widowControl/>
                    <w:suppressLineNumbers w:val="0"/>
                    <w:jc w:val="center"/>
                    <w:textAlignment w:val="center"/>
                    <w:rPr>
                      <w:rFonts w:hint="eastAsia" w:cs="宋体"/>
                      <w:bCs/>
                      <w:color w:val="auto"/>
                      <w:spacing w:val="-10"/>
                      <w:sz w:val="21"/>
                      <w:szCs w:val="21"/>
                      <w:highlight w:val="none"/>
                    </w:rPr>
                  </w:pPr>
                </w:p>
              </w:tc>
              <w:tc>
                <w:tcPr>
                  <w:tcW w:w="820" w:type="dxa"/>
                  <w:vMerge w:val="continue"/>
                </w:tcPr>
                <w:p w14:paraId="639FF978">
                  <w:pPr>
                    <w:keepNext w:val="0"/>
                    <w:keepLines w:val="0"/>
                    <w:widowControl/>
                    <w:suppressLineNumbers w:val="0"/>
                    <w:jc w:val="center"/>
                    <w:textAlignment w:val="center"/>
                    <w:rPr>
                      <w:rFonts w:hint="eastAsia" w:cs="宋体"/>
                      <w:bCs/>
                      <w:color w:val="auto"/>
                      <w:spacing w:val="-10"/>
                      <w:sz w:val="21"/>
                      <w:szCs w:val="21"/>
                      <w:highlight w:val="none"/>
                    </w:rPr>
                  </w:pPr>
                </w:p>
              </w:tc>
            </w:tr>
            <w:tr w14:paraId="3364159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116" w:type="dxa"/>
                  <w:vMerge w:val="continue"/>
                  <w:shd w:val="clear" w:color="auto" w:fill="auto"/>
                  <w:vAlign w:val="center"/>
                </w:tcPr>
                <w:p w14:paraId="5421D891">
                  <w:pPr>
                    <w:keepNext w:val="0"/>
                    <w:keepLines w:val="0"/>
                    <w:widowControl/>
                    <w:suppressLineNumbers w:val="0"/>
                    <w:jc w:val="center"/>
                    <w:textAlignment w:val="center"/>
                    <w:rPr>
                      <w:rFonts w:hint="eastAsia" w:cs="宋体"/>
                      <w:bCs/>
                      <w:color w:val="auto"/>
                      <w:spacing w:val="-10"/>
                      <w:sz w:val="21"/>
                      <w:szCs w:val="21"/>
                      <w:highlight w:val="none"/>
                    </w:rPr>
                  </w:pPr>
                </w:p>
              </w:tc>
              <w:tc>
                <w:tcPr>
                  <w:tcW w:w="1050" w:type="dxa"/>
                  <w:vMerge w:val="continue"/>
                  <w:vAlign w:val="center"/>
                </w:tcPr>
                <w:p w14:paraId="2232B583">
                  <w:pPr>
                    <w:keepNext w:val="0"/>
                    <w:keepLines w:val="0"/>
                    <w:widowControl/>
                    <w:suppressLineNumbers w:val="0"/>
                    <w:jc w:val="center"/>
                    <w:textAlignment w:val="center"/>
                    <w:rPr>
                      <w:rFonts w:hint="eastAsia" w:cs="宋体"/>
                      <w:bCs/>
                      <w:color w:val="auto"/>
                      <w:spacing w:val="-10"/>
                      <w:sz w:val="21"/>
                      <w:szCs w:val="21"/>
                      <w:highlight w:val="none"/>
                    </w:rPr>
                  </w:pPr>
                </w:p>
              </w:tc>
              <w:tc>
                <w:tcPr>
                  <w:tcW w:w="911" w:type="dxa"/>
                  <w:shd w:val="clear" w:color="auto" w:fill="auto"/>
                  <w:vAlign w:val="center"/>
                </w:tcPr>
                <w:p w14:paraId="265C58C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NOx</w:t>
                  </w:r>
                </w:p>
              </w:tc>
              <w:tc>
                <w:tcPr>
                  <w:tcW w:w="1036" w:type="dxa"/>
                  <w:vAlign w:val="center"/>
                </w:tcPr>
                <w:p w14:paraId="3082E1BA">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67.53</w:t>
                  </w:r>
                </w:p>
              </w:tc>
              <w:tc>
                <w:tcPr>
                  <w:tcW w:w="914" w:type="dxa"/>
                  <w:vAlign w:val="center"/>
                </w:tcPr>
                <w:p w14:paraId="40355F59">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0.486</w:t>
                  </w:r>
                </w:p>
              </w:tc>
              <w:tc>
                <w:tcPr>
                  <w:tcW w:w="695" w:type="dxa"/>
                  <w:vMerge w:val="continue"/>
                  <w:vAlign w:val="center"/>
                </w:tcPr>
                <w:p w14:paraId="4DDDE3B9">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c>
                <w:tcPr>
                  <w:tcW w:w="900" w:type="dxa"/>
                  <w:vAlign w:val="center"/>
                </w:tcPr>
                <w:p w14:paraId="2B81C2FC">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0.243</w:t>
                  </w:r>
                </w:p>
              </w:tc>
              <w:tc>
                <w:tcPr>
                  <w:tcW w:w="600" w:type="dxa"/>
                  <w:vMerge w:val="continue"/>
                  <w:vAlign w:val="center"/>
                </w:tcPr>
                <w:p w14:paraId="2D5D8DBD">
                  <w:pPr>
                    <w:keepNext w:val="0"/>
                    <w:keepLines w:val="0"/>
                    <w:widowControl/>
                    <w:suppressLineNumbers w:val="0"/>
                    <w:jc w:val="center"/>
                    <w:textAlignment w:val="center"/>
                    <w:rPr>
                      <w:rFonts w:hint="eastAsia" w:cs="宋体"/>
                      <w:bCs/>
                      <w:color w:val="auto"/>
                      <w:spacing w:val="-10"/>
                      <w:sz w:val="21"/>
                      <w:szCs w:val="21"/>
                      <w:highlight w:val="none"/>
                    </w:rPr>
                  </w:pPr>
                </w:p>
              </w:tc>
              <w:tc>
                <w:tcPr>
                  <w:tcW w:w="820" w:type="dxa"/>
                  <w:vMerge w:val="continue"/>
                </w:tcPr>
                <w:p w14:paraId="42E25CA4">
                  <w:pPr>
                    <w:keepNext w:val="0"/>
                    <w:keepLines w:val="0"/>
                    <w:widowControl/>
                    <w:suppressLineNumbers w:val="0"/>
                    <w:jc w:val="center"/>
                    <w:textAlignment w:val="center"/>
                    <w:rPr>
                      <w:rFonts w:hint="eastAsia" w:cs="宋体"/>
                      <w:bCs/>
                      <w:color w:val="auto"/>
                      <w:spacing w:val="-10"/>
                      <w:sz w:val="21"/>
                      <w:szCs w:val="21"/>
                      <w:highlight w:val="none"/>
                    </w:rPr>
                  </w:pPr>
                </w:p>
              </w:tc>
            </w:tr>
          </w:tbl>
          <w:p w14:paraId="5865202D">
            <w:pPr>
              <w:pStyle w:val="116"/>
              <w:ind w:firstLine="420"/>
              <w:rPr>
                <w:color w:val="auto"/>
                <w:highlight w:val="none"/>
              </w:rPr>
            </w:pPr>
            <w:r>
              <w:rPr>
                <w:rFonts w:hint="eastAsia"/>
                <w:color w:val="auto"/>
                <w:highlight w:val="none"/>
              </w:rPr>
              <w:t>为防止废气非正常排放的发生，建设单位应科学管理，采取以下防控措施：</w:t>
            </w:r>
          </w:p>
          <w:p w14:paraId="3C30F616">
            <w:pPr>
              <w:pStyle w:val="116"/>
              <w:ind w:firstLine="420"/>
              <w:rPr>
                <w:color w:val="auto"/>
                <w:highlight w:val="none"/>
              </w:rPr>
            </w:pPr>
            <w:r>
              <w:rPr>
                <w:rFonts w:hint="eastAsia"/>
                <w:color w:val="auto"/>
                <w:highlight w:val="none"/>
              </w:rPr>
              <w:t>①加强设备维护保养，最大程度减少设备发生故障的可能性。</w:t>
            </w:r>
          </w:p>
          <w:p w14:paraId="70667F28">
            <w:pPr>
              <w:pStyle w:val="116"/>
              <w:ind w:firstLine="420"/>
              <w:rPr>
                <w:color w:val="auto"/>
                <w:highlight w:val="none"/>
              </w:rPr>
            </w:pPr>
            <w:r>
              <w:rPr>
                <w:rFonts w:hint="eastAsia"/>
                <w:color w:val="auto"/>
                <w:highlight w:val="none"/>
              </w:rPr>
              <w:t>②制定环保设备例行检查制度，发现治理设施故障、损坏或排风管道破损时，应立即停止生产活动，对设备或管道进行维修，待恢复正常后方可正常运行。</w:t>
            </w:r>
          </w:p>
          <w:p w14:paraId="3F91A7EA">
            <w:pPr>
              <w:pStyle w:val="119"/>
              <w:rPr>
                <w:color w:val="auto"/>
                <w:highlight w:val="none"/>
              </w:rPr>
            </w:pPr>
            <w:r>
              <w:rPr>
                <w:rFonts w:hint="eastAsia"/>
                <w:color w:val="auto"/>
                <w:highlight w:val="none"/>
              </w:rPr>
              <w:t>1</w:t>
            </w:r>
            <w:r>
              <w:rPr>
                <w:color w:val="auto"/>
                <w:highlight w:val="none"/>
              </w:rPr>
              <w:t>.</w:t>
            </w:r>
            <w:r>
              <w:rPr>
                <w:rFonts w:hint="eastAsia"/>
                <w:color w:val="auto"/>
                <w:highlight w:val="none"/>
              </w:rPr>
              <w:t>6污染治理措施可行性分析</w:t>
            </w:r>
          </w:p>
          <w:p w14:paraId="47A5CD8E">
            <w:pPr>
              <w:pStyle w:val="116"/>
              <w:ind w:firstLine="420"/>
              <w:rPr>
                <w:color w:val="auto"/>
                <w:highlight w:val="none"/>
              </w:rPr>
            </w:pPr>
            <w:r>
              <w:rPr>
                <w:rFonts w:hint="eastAsia"/>
                <w:color w:val="auto"/>
                <w:highlight w:val="none"/>
              </w:rPr>
              <w:t>本项目抛丸工序采用的污染治理措施为：抛丸机进出口两侧设有挡条，废气经收集后，经1套二级滤筒除尘器处理后，通过1根</w:t>
            </w:r>
            <w:r>
              <w:rPr>
                <w:rFonts w:hint="eastAsia"/>
                <w:color w:val="auto"/>
                <w:highlight w:val="none"/>
                <w:lang w:val="en-US" w:eastAsia="zh-CN"/>
              </w:rPr>
              <w:t>25</w:t>
            </w:r>
            <w:r>
              <w:rPr>
                <w:rFonts w:hint="eastAsia"/>
                <w:color w:val="auto"/>
                <w:highlight w:val="none"/>
              </w:rPr>
              <w:t>m高排气筒排放。</w:t>
            </w:r>
          </w:p>
          <w:p w14:paraId="56A0B43D">
            <w:pPr>
              <w:pStyle w:val="116"/>
              <w:ind w:firstLine="420"/>
              <w:rPr>
                <w:color w:val="auto"/>
                <w:highlight w:val="none"/>
              </w:rPr>
            </w:pPr>
            <w:r>
              <w:rPr>
                <w:rFonts w:hint="eastAsia"/>
                <w:color w:val="auto"/>
                <w:highlight w:val="none"/>
              </w:rPr>
              <w:t>滤筒除尘器工作原理：</w:t>
            </w:r>
          </w:p>
          <w:p w14:paraId="5F76E132">
            <w:pPr>
              <w:pStyle w:val="116"/>
              <w:ind w:firstLine="420"/>
              <w:rPr>
                <w:color w:val="auto"/>
                <w:highlight w:val="none"/>
              </w:rPr>
            </w:pPr>
            <w:r>
              <w:rPr>
                <w:color w:val="auto"/>
                <w:highlight w:val="none"/>
              </w:rPr>
              <w:t>含尘废气通过进风口进入除尘器箱体，经导流板均匀分布至滤筒表面</w:t>
            </w:r>
            <w:r>
              <w:rPr>
                <w:rFonts w:hint="eastAsia"/>
                <w:color w:val="auto"/>
                <w:highlight w:val="none"/>
              </w:rPr>
              <w:t>，</w:t>
            </w:r>
            <w:r>
              <w:rPr>
                <w:color w:val="auto"/>
                <w:highlight w:val="none"/>
              </w:rPr>
              <w:t>粉尘被阻留在滤筒外表面或纤维空隙中</w:t>
            </w:r>
            <w:r>
              <w:rPr>
                <w:rFonts w:hint="eastAsia"/>
                <w:color w:val="auto"/>
                <w:highlight w:val="none"/>
              </w:rPr>
              <w:t>，</w:t>
            </w:r>
            <w:r>
              <w:rPr>
                <w:color w:val="auto"/>
                <w:highlight w:val="none"/>
              </w:rPr>
              <w:t>洁净气体穿过滤筒内部，经排风口排放。压缩空气通过喷吹管瞬间反向喷射，使滤筒膨胀振动，剥离表面粉尘</w:t>
            </w:r>
            <w:r>
              <w:rPr>
                <w:rFonts w:hint="eastAsia"/>
                <w:color w:val="auto"/>
                <w:highlight w:val="none"/>
              </w:rPr>
              <w:t>，</w:t>
            </w:r>
            <w:r>
              <w:rPr>
                <w:color w:val="auto"/>
                <w:highlight w:val="none"/>
              </w:rPr>
              <w:t>粉尘落入灰斗，定期排出。</w:t>
            </w:r>
            <w:r>
              <w:rPr>
                <w:rFonts w:hint="eastAsia"/>
                <w:color w:val="auto"/>
                <w:highlight w:val="none"/>
              </w:rPr>
              <w:t>滤筒</w:t>
            </w:r>
            <w:r>
              <w:rPr>
                <w:color w:val="auto"/>
                <w:highlight w:val="none"/>
              </w:rPr>
              <w:t>除尘器被广泛的应用于抛丸</w:t>
            </w:r>
            <w:r>
              <w:rPr>
                <w:rFonts w:hint="eastAsia"/>
                <w:color w:val="auto"/>
                <w:highlight w:val="none"/>
              </w:rPr>
              <w:t>粉尘</w:t>
            </w:r>
            <w:r>
              <w:rPr>
                <w:color w:val="auto"/>
                <w:highlight w:val="none"/>
              </w:rPr>
              <w:t>的净化过程中</w:t>
            </w:r>
            <w:r>
              <w:rPr>
                <w:rFonts w:hint="eastAsia"/>
                <w:color w:val="auto"/>
                <w:highlight w:val="none"/>
              </w:rPr>
              <w:t>，</w:t>
            </w:r>
            <w:r>
              <w:rPr>
                <w:color w:val="auto"/>
                <w:highlight w:val="none"/>
              </w:rPr>
              <w:t>尤其适合重型装备制造中的细颗粒物处理</w:t>
            </w:r>
            <w:r>
              <w:rPr>
                <w:rFonts w:hint="eastAsia"/>
                <w:color w:val="auto"/>
                <w:highlight w:val="none"/>
              </w:rPr>
              <w:t>，本项目采用二级滤筒除尘器，初级过滤拦截大颗粒，二级过滤精细捕集细颗粒，</w:t>
            </w:r>
            <w:r>
              <w:rPr>
                <w:color w:val="auto"/>
                <w:highlight w:val="none"/>
              </w:rPr>
              <w:t>对颗粒物的去除效率可达</w:t>
            </w:r>
            <w:r>
              <w:rPr>
                <w:rFonts w:hint="eastAsia"/>
                <w:color w:val="auto"/>
                <w:highlight w:val="none"/>
              </w:rPr>
              <w:t>99.8%。</w:t>
            </w:r>
          </w:p>
          <w:p w14:paraId="74548688">
            <w:pPr>
              <w:pStyle w:val="116"/>
              <w:ind w:firstLine="420"/>
              <w:rPr>
                <w:color w:val="auto"/>
                <w:highlight w:val="none"/>
              </w:rPr>
            </w:pPr>
            <w:r>
              <w:rPr>
                <w:color w:val="auto"/>
                <w:highlight w:val="none"/>
              </w:rPr>
              <w:t>与</w:t>
            </w:r>
            <w:r>
              <w:rPr>
                <w:rFonts w:hint="eastAsia"/>
                <w:color w:val="auto"/>
                <w:highlight w:val="none"/>
              </w:rPr>
              <w:t>袋式</w:t>
            </w:r>
            <w:r>
              <w:rPr>
                <w:color w:val="auto"/>
                <w:highlight w:val="none"/>
              </w:rPr>
              <w:t>除尘器相比</w:t>
            </w:r>
            <w:r>
              <w:rPr>
                <w:rFonts w:hint="eastAsia"/>
                <w:color w:val="auto"/>
                <w:highlight w:val="none"/>
              </w:rPr>
              <w:t>，</w:t>
            </w:r>
            <w:r>
              <w:rPr>
                <w:color w:val="auto"/>
                <w:highlight w:val="none"/>
              </w:rPr>
              <w:t>滤筒除尘器使用褶皱型滤筒作为过滤材料，通过表面过滤机制捕获粉尘</w:t>
            </w:r>
            <w:r>
              <w:rPr>
                <w:rFonts w:hint="eastAsia"/>
                <w:color w:val="auto"/>
                <w:highlight w:val="none"/>
              </w:rPr>
              <w:t>，增加了</w:t>
            </w:r>
            <w:r>
              <w:rPr>
                <w:color w:val="auto"/>
                <w:highlight w:val="none"/>
              </w:rPr>
              <w:t>过滤面积</w:t>
            </w:r>
            <w:r>
              <w:rPr>
                <w:rFonts w:hint="eastAsia"/>
                <w:color w:val="auto"/>
                <w:highlight w:val="none"/>
              </w:rPr>
              <w:t>，</w:t>
            </w:r>
            <w:r>
              <w:rPr>
                <w:color w:val="auto"/>
                <w:highlight w:val="none"/>
              </w:rPr>
              <w:t>提高了过滤效率</w:t>
            </w:r>
            <w:r>
              <w:rPr>
                <w:rFonts w:hint="eastAsia"/>
                <w:color w:val="auto"/>
                <w:highlight w:val="none"/>
              </w:rPr>
              <w:t>，</w:t>
            </w:r>
            <w:r>
              <w:rPr>
                <w:color w:val="auto"/>
                <w:highlight w:val="none"/>
              </w:rPr>
              <w:t>过滤精度更高</w:t>
            </w:r>
            <w:r>
              <w:rPr>
                <w:rFonts w:hint="eastAsia"/>
                <w:color w:val="auto"/>
                <w:highlight w:val="none"/>
              </w:rPr>
              <w:t>。本项目拟设置滤筒除尘器相关参数如下：</w:t>
            </w:r>
          </w:p>
          <w:p w14:paraId="3A5E333E">
            <w:pPr>
              <w:pStyle w:val="10"/>
              <w:rPr>
                <w:color w:val="auto"/>
                <w:highlight w:val="none"/>
              </w:rPr>
            </w:pPr>
            <w:r>
              <w:rPr>
                <w:rFonts w:hint="eastAsia"/>
                <w:color w:val="auto"/>
                <w:highlight w:val="none"/>
              </w:rPr>
              <w:t>表4</w:t>
            </w:r>
            <w:r>
              <w:rPr>
                <w:rFonts w:hint="eastAsia"/>
                <w:color w:val="auto"/>
                <w:highlight w:val="none"/>
                <w:lang w:eastAsia="zh-CN"/>
              </w:rPr>
              <w:t>-</w:t>
            </w:r>
            <w:r>
              <w:rPr>
                <w:rFonts w:hint="eastAsia"/>
                <w:color w:val="auto"/>
                <w:highlight w:val="none"/>
                <w:lang w:val="en-US" w:eastAsia="zh-CN"/>
              </w:rPr>
              <w:t>9</w:t>
            </w:r>
            <w:r>
              <w:rPr>
                <w:rFonts w:hint="eastAsia"/>
                <w:color w:val="auto"/>
                <w:highlight w:val="none"/>
              </w:rPr>
              <w:t>滤筒除尘器技术参数一览表</w:t>
            </w:r>
          </w:p>
          <w:tbl>
            <w:tblPr>
              <w:tblStyle w:val="3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24"/>
              <w:gridCol w:w="1816"/>
              <w:gridCol w:w="2694"/>
              <w:gridCol w:w="2694"/>
            </w:tblGrid>
            <w:tr w14:paraId="7C02ACB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13" w:type="pct"/>
                  <w:vMerge w:val="restart"/>
                  <w:vAlign w:val="center"/>
                </w:tcPr>
                <w:p w14:paraId="52A264C2">
                  <w:pPr>
                    <w:jc w:val="center"/>
                    <w:rPr>
                      <w:color w:val="auto"/>
                      <w:spacing w:val="-11"/>
                      <w:szCs w:val="21"/>
                      <w:highlight w:val="none"/>
                    </w:rPr>
                  </w:pPr>
                  <w:r>
                    <w:rPr>
                      <w:rFonts w:hint="eastAsia"/>
                      <w:color w:val="auto"/>
                      <w:spacing w:val="-11"/>
                      <w:szCs w:val="21"/>
                      <w:highlight w:val="none"/>
                    </w:rPr>
                    <w:t>序号</w:t>
                  </w:r>
                </w:p>
              </w:tc>
              <w:tc>
                <w:tcPr>
                  <w:tcW w:w="1131" w:type="pct"/>
                  <w:vMerge w:val="restart"/>
                  <w:vAlign w:val="center"/>
                </w:tcPr>
                <w:p w14:paraId="1F80ED9C">
                  <w:pPr>
                    <w:jc w:val="center"/>
                    <w:rPr>
                      <w:color w:val="auto"/>
                      <w:spacing w:val="-11"/>
                      <w:szCs w:val="21"/>
                      <w:highlight w:val="none"/>
                    </w:rPr>
                  </w:pPr>
                  <w:r>
                    <w:rPr>
                      <w:rFonts w:hint="eastAsia"/>
                      <w:color w:val="auto"/>
                      <w:spacing w:val="-11"/>
                      <w:szCs w:val="21"/>
                      <w:highlight w:val="none"/>
                    </w:rPr>
                    <w:t>项目</w:t>
                  </w:r>
                </w:p>
              </w:tc>
              <w:tc>
                <w:tcPr>
                  <w:tcW w:w="3356" w:type="pct"/>
                  <w:gridSpan w:val="2"/>
                  <w:vAlign w:val="center"/>
                </w:tcPr>
                <w:p w14:paraId="413FC493">
                  <w:pPr>
                    <w:jc w:val="center"/>
                    <w:rPr>
                      <w:color w:val="auto"/>
                      <w:spacing w:val="-11"/>
                      <w:szCs w:val="21"/>
                      <w:highlight w:val="none"/>
                    </w:rPr>
                  </w:pPr>
                  <w:r>
                    <w:rPr>
                      <w:rFonts w:hint="eastAsia"/>
                      <w:color w:val="auto"/>
                      <w:spacing w:val="-11"/>
                      <w:szCs w:val="21"/>
                      <w:highlight w:val="none"/>
                    </w:rPr>
                    <w:t>滤筒除尘器技术参数</w:t>
                  </w:r>
                </w:p>
              </w:tc>
            </w:tr>
            <w:tr w14:paraId="0EC01BA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13" w:type="pct"/>
                  <w:vMerge w:val="continue"/>
                  <w:vAlign w:val="center"/>
                </w:tcPr>
                <w:p w14:paraId="5B8DFBDA">
                  <w:pPr>
                    <w:jc w:val="center"/>
                    <w:rPr>
                      <w:color w:val="auto"/>
                      <w:spacing w:val="-11"/>
                      <w:szCs w:val="21"/>
                      <w:highlight w:val="none"/>
                    </w:rPr>
                  </w:pPr>
                </w:p>
              </w:tc>
              <w:tc>
                <w:tcPr>
                  <w:tcW w:w="1131" w:type="pct"/>
                  <w:vMerge w:val="continue"/>
                  <w:vAlign w:val="center"/>
                </w:tcPr>
                <w:p w14:paraId="636D40E8">
                  <w:pPr>
                    <w:jc w:val="center"/>
                    <w:rPr>
                      <w:color w:val="auto"/>
                      <w:spacing w:val="-11"/>
                      <w:szCs w:val="21"/>
                      <w:highlight w:val="none"/>
                    </w:rPr>
                  </w:pPr>
                </w:p>
              </w:tc>
              <w:tc>
                <w:tcPr>
                  <w:tcW w:w="1678" w:type="pct"/>
                  <w:vAlign w:val="center"/>
                </w:tcPr>
                <w:p w14:paraId="231DD159">
                  <w:pPr>
                    <w:jc w:val="center"/>
                    <w:rPr>
                      <w:color w:val="auto"/>
                      <w:spacing w:val="-11"/>
                      <w:szCs w:val="21"/>
                      <w:highlight w:val="none"/>
                    </w:rPr>
                  </w:pPr>
                  <w:r>
                    <w:rPr>
                      <w:rFonts w:hint="eastAsia"/>
                      <w:color w:val="auto"/>
                      <w:spacing w:val="-11"/>
                      <w:szCs w:val="21"/>
                      <w:highlight w:val="none"/>
                    </w:rPr>
                    <w:t>一级</w:t>
                  </w:r>
                </w:p>
              </w:tc>
              <w:tc>
                <w:tcPr>
                  <w:tcW w:w="1678" w:type="pct"/>
                  <w:vAlign w:val="center"/>
                </w:tcPr>
                <w:p w14:paraId="5F9512A7">
                  <w:pPr>
                    <w:jc w:val="center"/>
                    <w:rPr>
                      <w:color w:val="auto"/>
                      <w:spacing w:val="-11"/>
                      <w:szCs w:val="21"/>
                      <w:highlight w:val="none"/>
                    </w:rPr>
                  </w:pPr>
                  <w:r>
                    <w:rPr>
                      <w:rFonts w:hint="eastAsia"/>
                      <w:color w:val="auto"/>
                      <w:spacing w:val="-11"/>
                      <w:szCs w:val="21"/>
                      <w:highlight w:val="none"/>
                    </w:rPr>
                    <w:t>二级</w:t>
                  </w:r>
                </w:p>
              </w:tc>
            </w:tr>
            <w:tr w14:paraId="1F5227A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13" w:type="pct"/>
                  <w:vAlign w:val="center"/>
                </w:tcPr>
                <w:p w14:paraId="54343B60">
                  <w:pPr>
                    <w:jc w:val="center"/>
                    <w:rPr>
                      <w:color w:val="auto"/>
                      <w:spacing w:val="-11"/>
                      <w:szCs w:val="21"/>
                      <w:highlight w:val="none"/>
                    </w:rPr>
                  </w:pPr>
                  <w:r>
                    <w:rPr>
                      <w:rFonts w:hint="eastAsia"/>
                      <w:color w:val="auto"/>
                      <w:spacing w:val="-11"/>
                      <w:szCs w:val="21"/>
                      <w:highlight w:val="none"/>
                    </w:rPr>
                    <w:t>1</w:t>
                  </w:r>
                </w:p>
              </w:tc>
              <w:tc>
                <w:tcPr>
                  <w:tcW w:w="1131" w:type="pct"/>
                  <w:vAlign w:val="center"/>
                </w:tcPr>
                <w:p w14:paraId="0714DB95">
                  <w:pPr>
                    <w:jc w:val="center"/>
                    <w:rPr>
                      <w:color w:val="auto"/>
                      <w:spacing w:val="-11"/>
                      <w:szCs w:val="21"/>
                      <w:highlight w:val="none"/>
                    </w:rPr>
                  </w:pPr>
                  <w:r>
                    <w:rPr>
                      <w:rFonts w:hint="eastAsia"/>
                      <w:color w:val="auto"/>
                      <w:spacing w:val="-11"/>
                      <w:szCs w:val="21"/>
                      <w:highlight w:val="none"/>
                    </w:rPr>
                    <w:t>处理风量</w:t>
                  </w:r>
                </w:p>
              </w:tc>
              <w:tc>
                <w:tcPr>
                  <w:tcW w:w="1678" w:type="pct"/>
                  <w:vAlign w:val="center"/>
                </w:tcPr>
                <w:p w14:paraId="008EDD3B">
                  <w:pPr>
                    <w:jc w:val="center"/>
                    <w:rPr>
                      <w:color w:val="auto"/>
                      <w:spacing w:val="-11"/>
                      <w:szCs w:val="21"/>
                      <w:highlight w:val="none"/>
                    </w:rPr>
                  </w:pPr>
                  <w:r>
                    <w:rPr>
                      <w:rFonts w:hint="eastAsia"/>
                      <w:color w:val="auto"/>
                      <w:spacing w:val="-11"/>
                      <w:szCs w:val="21"/>
                      <w:highlight w:val="none"/>
                    </w:rPr>
                    <w:t>24000m</w:t>
                  </w:r>
                  <w:r>
                    <w:rPr>
                      <w:rFonts w:hint="eastAsia"/>
                      <w:color w:val="auto"/>
                      <w:spacing w:val="-11"/>
                      <w:szCs w:val="21"/>
                      <w:highlight w:val="none"/>
                      <w:vertAlign w:val="superscript"/>
                    </w:rPr>
                    <w:t>3</w:t>
                  </w:r>
                  <w:r>
                    <w:rPr>
                      <w:rFonts w:hint="eastAsia"/>
                      <w:color w:val="auto"/>
                      <w:spacing w:val="-11"/>
                      <w:szCs w:val="21"/>
                      <w:highlight w:val="none"/>
                    </w:rPr>
                    <w:t>/h</w:t>
                  </w:r>
                </w:p>
              </w:tc>
              <w:tc>
                <w:tcPr>
                  <w:tcW w:w="1678" w:type="pct"/>
                  <w:vAlign w:val="center"/>
                </w:tcPr>
                <w:p w14:paraId="1382127F">
                  <w:pPr>
                    <w:jc w:val="center"/>
                    <w:rPr>
                      <w:color w:val="auto"/>
                      <w:spacing w:val="-11"/>
                      <w:szCs w:val="21"/>
                      <w:highlight w:val="none"/>
                    </w:rPr>
                  </w:pPr>
                  <w:r>
                    <w:rPr>
                      <w:rFonts w:hint="eastAsia"/>
                      <w:color w:val="auto"/>
                      <w:spacing w:val="-11"/>
                      <w:szCs w:val="21"/>
                      <w:highlight w:val="none"/>
                    </w:rPr>
                    <w:t>26000m</w:t>
                  </w:r>
                  <w:r>
                    <w:rPr>
                      <w:rFonts w:hint="eastAsia"/>
                      <w:color w:val="auto"/>
                      <w:spacing w:val="-11"/>
                      <w:szCs w:val="21"/>
                      <w:highlight w:val="none"/>
                      <w:vertAlign w:val="superscript"/>
                    </w:rPr>
                    <w:t>3</w:t>
                  </w:r>
                  <w:r>
                    <w:rPr>
                      <w:rFonts w:hint="eastAsia"/>
                      <w:color w:val="auto"/>
                      <w:spacing w:val="-11"/>
                      <w:szCs w:val="21"/>
                      <w:highlight w:val="none"/>
                    </w:rPr>
                    <w:t>/h</w:t>
                  </w:r>
                </w:p>
              </w:tc>
            </w:tr>
            <w:tr w14:paraId="0763EBB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13" w:type="pct"/>
                  <w:vAlign w:val="center"/>
                </w:tcPr>
                <w:p w14:paraId="22C9DD67">
                  <w:pPr>
                    <w:jc w:val="center"/>
                    <w:rPr>
                      <w:color w:val="auto"/>
                      <w:spacing w:val="-11"/>
                      <w:szCs w:val="21"/>
                      <w:highlight w:val="none"/>
                    </w:rPr>
                  </w:pPr>
                  <w:r>
                    <w:rPr>
                      <w:rFonts w:hint="eastAsia"/>
                      <w:color w:val="auto"/>
                      <w:spacing w:val="-11"/>
                      <w:szCs w:val="21"/>
                      <w:highlight w:val="none"/>
                    </w:rPr>
                    <w:t>2</w:t>
                  </w:r>
                </w:p>
              </w:tc>
              <w:tc>
                <w:tcPr>
                  <w:tcW w:w="1131" w:type="pct"/>
                  <w:vAlign w:val="center"/>
                </w:tcPr>
                <w:p w14:paraId="43E17760">
                  <w:pPr>
                    <w:jc w:val="center"/>
                    <w:rPr>
                      <w:color w:val="auto"/>
                      <w:spacing w:val="-11"/>
                      <w:szCs w:val="21"/>
                      <w:highlight w:val="none"/>
                    </w:rPr>
                  </w:pPr>
                  <w:r>
                    <w:rPr>
                      <w:rFonts w:hint="eastAsia"/>
                      <w:color w:val="auto"/>
                      <w:spacing w:val="-11"/>
                      <w:szCs w:val="21"/>
                      <w:highlight w:val="none"/>
                    </w:rPr>
                    <w:t>过滤面积</w:t>
                  </w:r>
                </w:p>
              </w:tc>
              <w:tc>
                <w:tcPr>
                  <w:tcW w:w="1678" w:type="pct"/>
                  <w:vAlign w:val="center"/>
                </w:tcPr>
                <w:p w14:paraId="0AD221D3">
                  <w:pPr>
                    <w:jc w:val="center"/>
                    <w:rPr>
                      <w:color w:val="auto"/>
                      <w:spacing w:val="-11"/>
                      <w:szCs w:val="21"/>
                      <w:highlight w:val="none"/>
                    </w:rPr>
                  </w:pPr>
                  <w:r>
                    <w:rPr>
                      <w:color w:val="auto"/>
                      <w:spacing w:val="-11"/>
                      <w:szCs w:val="21"/>
                      <w:highlight w:val="none"/>
                    </w:rPr>
                    <w:t>≥400m</w:t>
                  </w:r>
                  <w:r>
                    <w:rPr>
                      <w:color w:val="auto"/>
                      <w:spacing w:val="-11"/>
                      <w:szCs w:val="21"/>
                      <w:highlight w:val="none"/>
                      <w:vertAlign w:val="superscript"/>
                    </w:rPr>
                    <w:t>2</w:t>
                  </w:r>
                </w:p>
              </w:tc>
              <w:tc>
                <w:tcPr>
                  <w:tcW w:w="1678" w:type="pct"/>
                  <w:vAlign w:val="center"/>
                </w:tcPr>
                <w:p w14:paraId="526A8626">
                  <w:pPr>
                    <w:jc w:val="center"/>
                    <w:rPr>
                      <w:color w:val="auto"/>
                      <w:spacing w:val="-11"/>
                      <w:szCs w:val="21"/>
                      <w:highlight w:val="none"/>
                    </w:rPr>
                  </w:pPr>
                  <w:r>
                    <w:rPr>
                      <w:color w:val="auto"/>
                      <w:spacing w:val="-11"/>
                      <w:szCs w:val="21"/>
                      <w:highlight w:val="none"/>
                    </w:rPr>
                    <w:t>≥</w:t>
                  </w:r>
                  <w:r>
                    <w:rPr>
                      <w:rFonts w:hint="eastAsia"/>
                      <w:color w:val="auto"/>
                      <w:spacing w:val="-11"/>
                      <w:szCs w:val="21"/>
                      <w:highlight w:val="none"/>
                    </w:rPr>
                    <w:t>361m</w:t>
                  </w:r>
                  <w:r>
                    <w:rPr>
                      <w:rFonts w:hint="eastAsia"/>
                      <w:color w:val="auto"/>
                      <w:spacing w:val="-11"/>
                      <w:szCs w:val="21"/>
                      <w:highlight w:val="none"/>
                      <w:vertAlign w:val="superscript"/>
                    </w:rPr>
                    <w:t>2</w:t>
                  </w:r>
                </w:p>
              </w:tc>
            </w:tr>
            <w:tr w14:paraId="7D4E95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13" w:type="pct"/>
                  <w:vAlign w:val="center"/>
                </w:tcPr>
                <w:p w14:paraId="7544E09D">
                  <w:pPr>
                    <w:jc w:val="center"/>
                    <w:rPr>
                      <w:color w:val="auto"/>
                      <w:spacing w:val="-11"/>
                      <w:szCs w:val="21"/>
                      <w:highlight w:val="none"/>
                    </w:rPr>
                  </w:pPr>
                  <w:r>
                    <w:rPr>
                      <w:rFonts w:hint="eastAsia"/>
                      <w:color w:val="auto"/>
                      <w:spacing w:val="-11"/>
                      <w:szCs w:val="21"/>
                      <w:highlight w:val="none"/>
                    </w:rPr>
                    <w:t>3</w:t>
                  </w:r>
                </w:p>
              </w:tc>
              <w:tc>
                <w:tcPr>
                  <w:tcW w:w="1131" w:type="pct"/>
                  <w:vAlign w:val="center"/>
                </w:tcPr>
                <w:p w14:paraId="77FB358D">
                  <w:pPr>
                    <w:jc w:val="center"/>
                    <w:rPr>
                      <w:color w:val="auto"/>
                      <w:spacing w:val="-11"/>
                      <w:szCs w:val="21"/>
                      <w:highlight w:val="none"/>
                    </w:rPr>
                  </w:pPr>
                  <w:r>
                    <w:rPr>
                      <w:rFonts w:hint="eastAsia"/>
                      <w:color w:val="auto"/>
                      <w:spacing w:val="-11"/>
                      <w:szCs w:val="21"/>
                      <w:highlight w:val="none"/>
                    </w:rPr>
                    <w:t>过滤风速</w:t>
                  </w:r>
                </w:p>
              </w:tc>
              <w:tc>
                <w:tcPr>
                  <w:tcW w:w="1678" w:type="pct"/>
                  <w:vAlign w:val="center"/>
                </w:tcPr>
                <w:p w14:paraId="028EBF09">
                  <w:pPr>
                    <w:jc w:val="center"/>
                    <w:rPr>
                      <w:color w:val="auto"/>
                      <w:spacing w:val="-11"/>
                      <w:szCs w:val="21"/>
                      <w:highlight w:val="none"/>
                    </w:rPr>
                  </w:pPr>
                  <w:r>
                    <w:rPr>
                      <w:color w:val="auto"/>
                      <w:spacing w:val="-11"/>
                      <w:szCs w:val="21"/>
                      <w:highlight w:val="none"/>
                    </w:rPr>
                    <w:t>≤1.0m/min</w:t>
                  </w:r>
                </w:p>
              </w:tc>
              <w:tc>
                <w:tcPr>
                  <w:tcW w:w="1678" w:type="pct"/>
                  <w:vAlign w:val="center"/>
                </w:tcPr>
                <w:p w14:paraId="427F6E40">
                  <w:pPr>
                    <w:jc w:val="center"/>
                    <w:rPr>
                      <w:color w:val="auto"/>
                      <w:spacing w:val="-11"/>
                      <w:szCs w:val="21"/>
                      <w:highlight w:val="none"/>
                    </w:rPr>
                  </w:pPr>
                  <w:r>
                    <w:rPr>
                      <w:color w:val="auto"/>
                      <w:spacing w:val="-11"/>
                      <w:szCs w:val="21"/>
                      <w:highlight w:val="none"/>
                    </w:rPr>
                    <w:t>≤</w:t>
                  </w:r>
                  <w:r>
                    <w:rPr>
                      <w:rFonts w:hint="eastAsia"/>
                      <w:color w:val="auto"/>
                      <w:spacing w:val="-11"/>
                      <w:szCs w:val="21"/>
                      <w:highlight w:val="none"/>
                    </w:rPr>
                    <w:t>1.2</w:t>
                  </w:r>
                  <w:r>
                    <w:rPr>
                      <w:color w:val="auto"/>
                      <w:spacing w:val="-11"/>
                      <w:szCs w:val="21"/>
                      <w:highlight w:val="none"/>
                    </w:rPr>
                    <w:t>m/min</w:t>
                  </w:r>
                </w:p>
              </w:tc>
            </w:tr>
            <w:tr w14:paraId="5CCFA0F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13" w:type="pct"/>
                  <w:vAlign w:val="center"/>
                </w:tcPr>
                <w:p w14:paraId="728D326F">
                  <w:pPr>
                    <w:jc w:val="center"/>
                    <w:rPr>
                      <w:color w:val="auto"/>
                      <w:spacing w:val="-11"/>
                      <w:szCs w:val="21"/>
                      <w:highlight w:val="none"/>
                    </w:rPr>
                  </w:pPr>
                  <w:r>
                    <w:rPr>
                      <w:rFonts w:hint="eastAsia"/>
                      <w:color w:val="auto"/>
                      <w:spacing w:val="-11"/>
                      <w:szCs w:val="21"/>
                      <w:highlight w:val="none"/>
                    </w:rPr>
                    <w:t>4</w:t>
                  </w:r>
                </w:p>
              </w:tc>
              <w:tc>
                <w:tcPr>
                  <w:tcW w:w="1131" w:type="pct"/>
                  <w:vAlign w:val="center"/>
                </w:tcPr>
                <w:p w14:paraId="07865499">
                  <w:pPr>
                    <w:jc w:val="center"/>
                    <w:rPr>
                      <w:color w:val="auto"/>
                      <w:spacing w:val="-11"/>
                      <w:szCs w:val="21"/>
                      <w:highlight w:val="none"/>
                    </w:rPr>
                  </w:pPr>
                  <w:r>
                    <w:rPr>
                      <w:rFonts w:hint="eastAsia"/>
                      <w:color w:val="auto"/>
                      <w:spacing w:val="-11"/>
                      <w:szCs w:val="21"/>
                      <w:highlight w:val="none"/>
                    </w:rPr>
                    <w:t>滤筒材质</w:t>
                  </w:r>
                </w:p>
              </w:tc>
              <w:tc>
                <w:tcPr>
                  <w:tcW w:w="1678" w:type="pct"/>
                  <w:vAlign w:val="center"/>
                </w:tcPr>
                <w:p w14:paraId="7BD8E386">
                  <w:pPr>
                    <w:jc w:val="center"/>
                    <w:rPr>
                      <w:color w:val="auto"/>
                      <w:spacing w:val="-11"/>
                      <w:szCs w:val="21"/>
                      <w:highlight w:val="none"/>
                    </w:rPr>
                  </w:pPr>
                  <w:r>
                    <w:rPr>
                      <w:rFonts w:hint="eastAsia"/>
                      <w:color w:val="auto"/>
                      <w:spacing w:val="-11"/>
                      <w:szCs w:val="21"/>
                      <w:highlight w:val="none"/>
                    </w:rPr>
                    <w:t>聚酯</w:t>
                  </w:r>
                  <w:r>
                    <w:rPr>
                      <w:color w:val="auto"/>
                      <w:spacing w:val="-11"/>
                      <w:szCs w:val="21"/>
                      <w:highlight w:val="none"/>
                    </w:rPr>
                    <w:t>纤维</w:t>
                  </w:r>
                </w:p>
              </w:tc>
              <w:tc>
                <w:tcPr>
                  <w:tcW w:w="1678" w:type="pct"/>
                  <w:vAlign w:val="center"/>
                </w:tcPr>
                <w:p w14:paraId="5663F236">
                  <w:pPr>
                    <w:jc w:val="center"/>
                    <w:rPr>
                      <w:color w:val="auto"/>
                      <w:spacing w:val="-11"/>
                      <w:szCs w:val="21"/>
                      <w:highlight w:val="none"/>
                    </w:rPr>
                  </w:pPr>
                  <w:r>
                    <w:rPr>
                      <w:rFonts w:hint="eastAsia"/>
                      <w:color w:val="auto"/>
                      <w:spacing w:val="-11"/>
                      <w:szCs w:val="21"/>
                      <w:highlight w:val="none"/>
                    </w:rPr>
                    <w:t>聚酯</w:t>
                  </w:r>
                  <w:r>
                    <w:rPr>
                      <w:color w:val="auto"/>
                      <w:spacing w:val="-11"/>
                      <w:szCs w:val="21"/>
                      <w:highlight w:val="none"/>
                    </w:rPr>
                    <w:t>纤维</w:t>
                  </w:r>
                </w:p>
              </w:tc>
            </w:tr>
            <w:tr w14:paraId="1CB1B68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13" w:type="pct"/>
                  <w:vAlign w:val="center"/>
                </w:tcPr>
                <w:p w14:paraId="4CF356B1">
                  <w:pPr>
                    <w:jc w:val="center"/>
                    <w:rPr>
                      <w:color w:val="auto"/>
                      <w:spacing w:val="-11"/>
                      <w:szCs w:val="21"/>
                      <w:highlight w:val="none"/>
                    </w:rPr>
                  </w:pPr>
                  <w:r>
                    <w:rPr>
                      <w:rFonts w:hint="eastAsia"/>
                      <w:color w:val="auto"/>
                      <w:spacing w:val="-11"/>
                      <w:szCs w:val="21"/>
                      <w:highlight w:val="none"/>
                    </w:rPr>
                    <w:t>5</w:t>
                  </w:r>
                </w:p>
              </w:tc>
              <w:tc>
                <w:tcPr>
                  <w:tcW w:w="1131" w:type="pct"/>
                  <w:vAlign w:val="center"/>
                </w:tcPr>
                <w:p w14:paraId="5B7059BC">
                  <w:pPr>
                    <w:jc w:val="center"/>
                    <w:rPr>
                      <w:color w:val="auto"/>
                      <w:spacing w:val="-11"/>
                      <w:szCs w:val="21"/>
                      <w:highlight w:val="none"/>
                    </w:rPr>
                  </w:pPr>
                  <w:r>
                    <w:rPr>
                      <w:rFonts w:hint="eastAsia"/>
                      <w:color w:val="auto"/>
                      <w:spacing w:val="-11"/>
                      <w:szCs w:val="21"/>
                      <w:highlight w:val="none"/>
                    </w:rPr>
                    <w:t>除尘效率</w:t>
                  </w:r>
                </w:p>
              </w:tc>
              <w:tc>
                <w:tcPr>
                  <w:tcW w:w="1678" w:type="pct"/>
                  <w:vAlign w:val="center"/>
                </w:tcPr>
                <w:p w14:paraId="60B84128">
                  <w:pPr>
                    <w:jc w:val="center"/>
                    <w:rPr>
                      <w:color w:val="auto"/>
                      <w:spacing w:val="-11"/>
                      <w:szCs w:val="21"/>
                      <w:highlight w:val="none"/>
                    </w:rPr>
                  </w:pPr>
                  <w:r>
                    <w:rPr>
                      <w:rFonts w:hint="eastAsia"/>
                      <w:color w:val="auto"/>
                      <w:spacing w:val="-11"/>
                      <w:szCs w:val="21"/>
                      <w:highlight w:val="none"/>
                    </w:rPr>
                    <w:t>≥99%</w:t>
                  </w:r>
                </w:p>
              </w:tc>
              <w:tc>
                <w:tcPr>
                  <w:tcW w:w="1678" w:type="pct"/>
                  <w:vAlign w:val="center"/>
                </w:tcPr>
                <w:p w14:paraId="3F2284E5">
                  <w:pPr>
                    <w:jc w:val="center"/>
                    <w:rPr>
                      <w:color w:val="auto"/>
                      <w:spacing w:val="-11"/>
                      <w:szCs w:val="21"/>
                      <w:highlight w:val="none"/>
                    </w:rPr>
                  </w:pPr>
                  <w:r>
                    <w:rPr>
                      <w:rFonts w:hint="eastAsia"/>
                      <w:color w:val="auto"/>
                      <w:spacing w:val="-11"/>
                      <w:szCs w:val="21"/>
                      <w:highlight w:val="none"/>
                    </w:rPr>
                    <w:t>≥80%</w:t>
                  </w:r>
                </w:p>
              </w:tc>
            </w:tr>
            <w:tr w14:paraId="70AFE88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27" w:hRule="atLeast"/>
                <w:jc w:val="center"/>
              </w:trPr>
              <w:tc>
                <w:tcPr>
                  <w:tcW w:w="513" w:type="pct"/>
                  <w:vAlign w:val="center"/>
                </w:tcPr>
                <w:p w14:paraId="402B1383">
                  <w:pPr>
                    <w:jc w:val="center"/>
                    <w:rPr>
                      <w:color w:val="auto"/>
                      <w:spacing w:val="-11"/>
                      <w:szCs w:val="21"/>
                      <w:highlight w:val="none"/>
                    </w:rPr>
                  </w:pPr>
                  <w:r>
                    <w:rPr>
                      <w:rFonts w:hint="eastAsia"/>
                      <w:color w:val="auto"/>
                      <w:spacing w:val="-11"/>
                      <w:szCs w:val="21"/>
                      <w:highlight w:val="none"/>
                    </w:rPr>
                    <w:t>6</w:t>
                  </w:r>
                </w:p>
              </w:tc>
              <w:tc>
                <w:tcPr>
                  <w:tcW w:w="1131" w:type="pct"/>
                  <w:vAlign w:val="center"/>
                </w:tcPr>
                <w:p w14:paraId="58AED894">
                  <w:pPr>
                    <w:jc w:val="center"/>
                    <w:rPr>
                      <w:color w:val="auto"/>
                      <w:spacing w:val="-11"/>
                      <w:szCs w:val="21"/>
                      <w:highlight w:val="none"/>
                    </w:rPr>
                  </w:pPr>
                  <w:r>
                    <w:rPr>
                      <w:rFonts w:hint="eastAsia"/>
                      <w:color w:val="auto"/>
                      <w:spacing w:val="-11"/>
                      <w:szCs w:val="21"/>
                      <w:highlight w:val="none"/>
                    </w:rPr>
                    <w:t>出口含尘浓度</w:t>
                  </w:r>
                </w:p>
              </w:tc>
              <w:tc>
                <w:tcPr>
                  <w:tcW w:w="1678" w:type="pct"/>
                  <w:vAlign w:val="center"/>
                </w:tcPr>
                <w:p w14:paraId="0EB1A043">
                  <w:pPr>
                    <w:jc w:val="center"/>
                    <w:rPr>
                      <w:color w:val="auto"/>
                      <w:spacing w:val="-11"/>
                      <w:szCs w:val="21"/>
                      <w:highlight w:val="none"/>
                    </w:rPr>
                  </w:pPr>
                  <w:r>
                    <w:rPr>
                      <w:rFonts w:hint="eastAsia"/>
                      <w:color w:val="auto"/>
                      <w:spacing w:val="-11"/>
                      <w:szCs w:val="21"/>
                      <w:highlight w:val="none"/>
                    </w:rPr>
                    <w:t>/</w:t>
                  </w:r>
                </w:p>
              </w:tc>
              <w:tc>
                <w:tcPr>
                  <w:tcW w:w="1678" w:type="pct"/>
                  <w:vAlign w:val="center"/>
                </w:tcPr>
                <w:p w14:paraId="7C7388B2">
                  <w:pPr>
                    <w:jc w:val="center"/>
                    <w:rPr>
                      <w:color w:val="auto"/>
                      <w:spacing w:val="-11"/>
                      <w:szCs w:val="21"/>
                      <w:highlight w:val="none"/>
                    </w:rPr>
                  </w:pPr>
                  <w:r>
                    <w:rPr>
                      <w:color w:val="auto"/>
                      <w:spacing w:val="-11"/>
                      <w:szCs w:val="21"/>
                      <w:highlight w:val="none"/>
                    </w:rPr>
                    <w:t>≤</w:t>
                  </w:r>
                  <w:r>
                    <w:rPr>
                      <w:rFonts w:hint="eastAsia"/>
                      <w:color w:val="auto"/>
                      <w:spacing w:val="-11"/>
                      <w:szCs w:val="21"/>
                      <w:highlight w:val="none"/>
                    </w:rPr>
                    <w:t>10</w:t>
                  </w:r>
                  <w:r>
                    <w:rPr>
                      <w:rFonts w:hint="eastAsia" w:cs="宋体"/>
                      <w:bCs/>
                      <w:color w:val="auto"/>
                      <w:spacing w:val="-10"/>
                      <w:szCs w:val="21"/>
                      <w:highlight w:val="none"/>
                    </w:rPr>
                    <w:t xml:space="preserve"> mg/m</w:t>
                  </w:r>
                  <w:r>
                    <w:rPr>
                      <w:rFonts w:hint="eastAsia" w:cs="宋体"/>
                      <w:bCs/>
                      <w:color w:val="auto"/>
                      <w:spacing w:val="-10"/>
                      <w:szCs w:val="21"/>
                      <w:highlight w:val="none"/>
                      <w:vertAlign w:val="superscript"/>
                    </w:rPr>
                    <w:t>3</w:t>
                  </w:r>
                </w:p>
              </w:tc>
            </w:tr>
            <w:tr w14:paraId="778CF50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13" w:type="pct"/>
                  <w:vAlign w:val="center"/>
                </w:tcPr>
                <w:p w14:paraId="65E8B9E2">
                  <w:pPr>
                    <w:jc w:val="center"/>
                    <w:rPr>
                      <w:color w:val="auto"/>
                      <w:spacing w:val="-11"/>
                      <w:szCs w:val="21"/>
                      <w:highlight w:val="none"/>
                    </w:rPr>
                  </w:pPr>
                  <w:r>
                    <w:rPr>
                      <w:rFonts w:hint="eastAsia"/>
                      <w:color w:val="auto"/>
                      <w:spacing w:val="-11"/>
                      <w:szCs w:val="21"/>
                      <w:highlight w:val="none"/>
                    </w:rPr>
                    <w:t>7</w:t>
                  </w:r>
                </w:p>
              </w:tc>
              <w:tc>
                <w:tcPr>
                  <w:tcW w:w="1131" w:type="pct"/>
                  <w:vAlign w:val="center"/>
                </w:tcPr>
                <w:p w14:paraId="6605AC79">
                  <w:pPr>
                    <w:jc w:val="center"/>
                    <w:rPr>
                      <w:color w:val="auto"/>
                      <w:spacing w:val="-11"/>
                      <w:szCs w:val="21"/>
                      <w:highlight w:val="none"/>
                    </w:rPr>
                  </w:pPr>
                  <w:r>
                    <w:rPr>
                      <w:rFonts w:hint="eastAsia"/>
                      <w:color w:val="auto"/>
                      <w:spacing w:val="-11"/>
                      <w:szCs w:val="21"/>
                      <w:highlight w:val="none"/>
                    </w:rPr>
                    <w:t>清灰方式</w:t>
                  </w:r>
                </w:p>
              </w:tc>
              <w:tc>
                <w:tcPr>
                  <w:tcW w:w="1678" w:type="pct"/>
                  <w:vAlign w:val="center"/>
                </w:tcPr>
                <w:p w14:paraId="037F1721">
                  <w:pPr>
                    <w:jc w:val="center"/>
                    <w:rPr>
                      <w:color w:val="auto"/>
                      <w:spacing w:val="-11"/>
                      <w:szCs w:val="21"/>
                      <w:highlight w:val="none"/>
                    </w:rPr>
                  </w:pPr>
                  <w:r>
                    <w:rPr>
                      <w:rFonts w:hint="eastAsia"/>
                      <w:color w:val="auto"/>
                      <w:spacing w:val="-11"/>
                      <w:szCs w:val="21"/>
                      <w:highlight w:val="none"/>
                    </w:rPr>
                    <w:t>脉冲反吹清灰</w:t>
                  </w:r>
                </w:p>
              </w:tc>
              <w:tc>
                <w:tcPr>
                  <w:tcW w:w="1678" w:type="pct"/>
                  <w:vAlign w:val="center"/>
                </w:tcPr>
                <w:p w14:paraId="20993BA5">
                  <w:pPr>
                    <w:jc w:val="center"/>
                    <w:rPr>
                      <w:color w:val="auto"/>
                      <w:spacing w:val="-11"/>
                      <w:szCs w:val="21"/>
                      <w:highlight w:val="none"/>
                    </w:rPr>
                  </w:pPr>
                  <w:r>
                    <w:rPr>
                      <w:rFonts w:hint="eastAsia"/>
                      <w:color w:val="auto"/>
                      <w:spacing w:val="-11"/>
                      <w:szCs w:val="21"/>
                      <w:highlight w:val="none"/>
                    </w:rPr>
                    <w:t>脉冲反吹清灰</w:t>
                  </w:r>
                </w:p>
              </w:tc>
            </w:tr>
          </w:tbl>
          <w:p w14:paraId="5BE2BDBF">
            <w:pPr>
              <w:pStyle w:val="116"/>
              <w:ind w:firstLine="0" w:firstLineChars="0"/>
              <w:rPr>
                <w:color w:val="auto"/>
                <w:sz w:val="18"/>
                <w:szCs w:val="18"/>
                <w:highlight w:val="none"/>
              </w:rPr>
            </w:pPr>
            <w:r>
              <w:rPr>
                <w:color w:val="auto"/>
                <w:sz w:val="18"/>
                <w:szCs w:val="18"/>
                <w:highlight w:val="none"/>
              </w:rPr>
              <w:t>注</w:t>
            </w:r>
            <w:r>
              <w:rPr>
                <w:rFonts w:hint="eastAsia"/>
                <w:color w:val="auto"/>
                <w:sz w:val="18"/>
                <w:szCs w:val="18"/>
                <w:highlight w:val="none"/>
              </w:rPr>
              <w:t>：</w:t>
            </w:r>
            <w:r>
              <w:rPr>
                <w:color w:val="auto"/>
                <w:sz w:val="18"/>
                <w:szCs w:val="18"/>
                <w:highlight w:val="none"/>
              </w:rPr>
              <w:t>二级除尘器的风量考虑了风损</w:t>
            </w:r>
            <w:r>
              <w:rPr>
                <w:rFonts w:hint="eastAsia"/>
                <w:color w:val="auto"/>
                <w:sz w:val="18"/>
                <w:szCs w:val="18"/>
                <w:highlight w:val="none"/>
              </w:rPr>
              <w:t>。</w:t>
            </w:r>
          </w:p>
          <w:p w14:paraId="6525591E">
            <w:pPr>
              <w:pStyle w:val="116"/>
              <w:ind w:firstLine="420"/>
              <w:rPr>
                <w:color w:val="auto"/>
                <w:highlight w:val="none"/>
              </w:rPr>
            </w:pPr>
            <w:r>
              <w:rPr>
                <w:rFonts w:hint="eastAsia"/>
                <w:color w:val="auto"/>
                <w:highlight w:val="none"/>
              </w:rPr>
              <w:t>因此，</w:t>
            </w:r>
            <w:r>
              <w:rPr>
                <w:color w:val="auto"/>
                <w:highlight w:val="none"/>
              </w:rPr>
              <w:t>本项目采取的废气治理措施是可行的</w:t>
            </w:r>
            <w:r>
              <w:rPr>
                <w:rFonts w:hint="eastAsia"/>
                <w:color w:val="auto"/>
                <w:highlight w:val="none"/>
              </w:rPr>
              <w:t>。</w:t>
            </w:r>
          </w:p>
          <w:p w14:paraId="3260DF71">
            <w:pPr>
              <w:pStyle w:val="119"/>
              <w:rPr>
                <w:color w:val="auto"/>
                <w:highlight w:val="none"/>
              </w:rPr>
            </w:pPr>
            <w:r>
              <w:rPr>
                <w:rFonts w:hint="eastAsia"/>
                <w:color w:val="auto"/>
                <w:highlight w:val="none"/>
              </w:rPr>
              <w:t>1.7污染物排放量</w:t>
            </w:r>
          </w:p>
          <w:p w14:paraId="659A7270">
            <w:pPr>
              <w:pStyle w:val="116"/>
              <w:ind w:firstLine="420"/>
              <w:rPr>
                <w:color w:val="auto"/>
                <w:highlight w:val="none"/>
              </w:rPr>
            </w:pPr>
            <w:r>
              <w:rPr>
                <w:rFonts w:hint="eastAsia"/>
                <w:color w:val="auto"/>
                <w:highlight w:val="none"/>
              </w:rPr>
              <w:t>通过本项目源强计算，可知</w:t>
            </w:r>
            <w:r>
              <w:rPr>
                <w:color w:val="auto"/>
                <w:highlight w:val="none"/>
              </w:rPr>
              <w:t>项目</w:t>
            </w:r>
            <w:r>
              <w:rPr>
                <w:rFonts w:hint="eastAsia"/>
                <w:color w:val="auto"/>
                <w:highlight w:val="none"/>
                <w:lang w:val="en-US" w:eastAsia="zh-CN"/>
              </w:rPr>
              <w:t>抛丸工序</w:t>
            </w:r>
            <w:r>
              <w:rPr>
                <w:color w:val="auto"/>
                <w:highlight w:val="none"/>
              </w:rPr>
              <w:t>颗粒物</w:t>
            </w:r>
            <w:r>
              <w:rPr>
                <w:rFonts w:hint="eastAsia"/>
                <w:color w:val="auto"/>
                <w:highlight w:val="none"/>
              </w:rPr>
              <w:t>排放量为0.</w:t>
            </w:r>
            <w:r>
              <w:rPr>
                <w:rFonts w:hint="eastAsia"/>
                <w:color w:val="auto"/>
                <w:highlight w:val="none"/>
                <w:lang w:val="en-US" w:eastAsia="zh-CN"/>
              </w:rPr>
              <w:t>4</w:t>
            </w:r>
            <w:r>
              <w:rPr>
                <w:color w:val="auto"/>
                <w:highlight w:val="none"/>
              </w:rPr>
              <w:t>t/a</w:t>
            </w:r>
            <w:r>
              <w:rPr>
                <w:rFonts w:hint="eastAsia"/>
                <w:color w:val="auto"/>
                <w:highlight w:val="none"/>
              </w:rPr>
              <w:t>（其中有组织排放量为0.0</w:t>
            </w:r>
            <w:r>
              <w:rPr>
                <w:rFonts w:hint="eastAsia"/>
                <w:color w:val="auto"/>
                <w:highlight w:val="none"/>
                <w:lang w:val="en-US" w:eastAsia="zh-CN"/>
              </w:rPr>
              <w:t>36</w:t>
            </w:r>
            <w:r>
              <w:rPr>
                <w:rFonts w:hint="eastAsia"/>
                <w:color w:val="auto"/>
                <w:highlight w:val="none"/>
              </w:rPr>
              <w:t>t/a、无组织排放量为0.</w:t>
            </w:r>
            <w:r>
              <w:rPr>
                <w:rFonts w:hint="eastAsia"/>
                <w:color w:val="auto"/>
                <w:highlight w:val="none"/>
                <w:lang w:val="en-US" w:eastAsia="zh-CN"/>
              </w:rPr>
              <w:t>364</w:t>
            </w:r>
            <w:r>
              <w:rPr>
                <w:rFonts w:hint="eastAsia"/>
                <w:color w:val="auto"/>
                <w:highlight w:val="none"/>
              </w:rPr>
              <w:t>t/a）</w:t>
            </w:r>
            <w:r>
              <w:rPr>
                <w:rFonts w:hint="eastAsia"/>
                <w:color w:val="auto"/>
                <w:highlight w:val="none"/>
                <w:lang w:eastAsia="zh-CN"/>
              </w:rPr>
              <w:t>，</w:t>
            </w:r>
            <w:r>
              <w:rPr>
                <w:rFonts w:hint="eastAsia"/>
                <w:color w:val="auto"/>
                <w:highlight w:val="none"/>
                <w:lang w:val="en-US" w:eastAsia="zh-CN"/>
              </w:rPr>
              <w:t>燃气炉</w:t>
            </w:r>
            <w:r>
              <w:rPr>
                <w:color w:val="auto"/>
                <w:highlight w:val="none"/>
              </w:rPr>
              <w:t>颗粒物</w:t>
            </w:r>
            <w:r>
              <w:rPr>
                <w:rFonts w:hint="eastAsia"/>
                <w:color w:val="auto"/>
                <w:highlight w:val="none"/>
                <w:lang w:eastAsia="zh-CN"/>
              </w:rPr>
              <w:t>、</w:t>
            </w:r>
            <w:r>
              <w:rPr>
                <w:rFonts w:hint="eastAsia" w:cs="宋体"/>
                <w:color w:val="auto"/>
                <w:highlight w:val="none"/>
              </w:rPr>
              <w:t>SO</w:t>
            </w:r>
            <w:r>
              <w:rPr>
                <w:rFonts w:hint="eastAsia" w:cs="宋体"/>
                <w:color w:val="auto"/>
                <w:highlight w:val="none"/>
                <w:vertAlign w:val="subscript"/>
              </w:rPr>
              <w:t>2</w:t>
            </w:r>
            <w:r>
              <w:rPr>
                <w:rFonts w:hint="eastAsia" w:cs="宋体"/>
                <w:color w:val="auto"/>
                <w:highlight w:val="none"/>
                <w:lang w:eastAsia="zh-CN"/>
              </w:rPr>
              <w:t>、</w:t>
            </w:r>
            <w:r>
              <w:rPr>
                <w:rFonts w:hint="eastAsia" w:cs="宋体"/>
                <w:color w:val="auto"/>
                <w:highlight w:val="none"/>
              </w:rPr>
              <w:t>NOx</w:t>
            </w:r>
            <w:r>
              <w:rPr>
                <w:rFonts w:hint="eastAsia" w:cs="宋体"/>
                <w:color w:val="auto"/>
                <w:highlight w:val="none"/>
                <w:lang w:val="en-US" w:eastAsia="zh-CN"/>
              </w:rPr>
              <w:t>排放量分别为0.623</w:t>
            </w:r>
            <w:r>
              <w:rPr>
                <w:rFonts w:hint="eastAsia"/>
                <w:color w:val="auto"/>
                <w:highlight w:val="none"/>
              </w:rPr>
              <w:t>t/a</w:t>
            </w:r>
            <w:r>
              <w:rPr>
                <w:rFonts w:hint="eastAsia" w:cs="宋体"/>
                <w:color w:val="auto"/>
                <w:highlight w:val="none"/>
                <w:lang w:val="en-US" w:eastAsia="zh-CN"/>
              </w:rPr>
              <w:t>、0.087</w:t>
            </w:r>
            <w:r>
              <w:rPr>
                <w:rFonts w:hint="eastAsia"/>
                <w:color w:val="auto"/>
                <w:highlight w:val="none"/>
              </w:rPr>
              <w:t>t/a</w:t>
            </w:r>
            <w:r>
              <w:rPr>
                <w:rFonts w:hint="eastAsia" w:cs="宋体"/>
                <w:color w:val="auto"/>
                <w:highlight w:val="none"/>
                <w:lang w:val="en-US" w:eastAsia="zh-CN"/>
              </w:rPr>
              <w:t>、4.073</w:t>
            </w:r>
            <w:r>
              <w:rPr>
                <w:rFonts w:hint="eastAsia"/>
                <w:color w:val="auto"/>
                <w:highlight w:val="none"/>
              </w:rPr>
              <w:t>t/a。</w:t>
            </w:r>
          </w:p>
          <w:p w14:paraId="3AC0F8A2">
            <w:pPr>
              <w:pStyle w:val="116"/>
              <w:ind w:firstLine="420"/>
              <w:rPr>
                <w:color w:val="auto"/>
                <w:highlight w:val="none"/>
              </w:rPr>
            </w:pPr>
            <w:r>
              <w:rPr>
                <w:rFonts w:hint="eastAsia"/>
                <w:color w:val="auto"/>
                <w:highlight w:val="none"/>
              </w:rPr>
              <w:t>本项目完成后，全厂污染物排放量“三本账”如下：</w:t>
            </w:r>
          </w:p>
          <w:p w14:paraId="33E73E76">
            <w:pPr>
              <w:pStyle w:val="10"/>
              <w:rPr>
                <w:color w:val="auto"/>
                <w:highlight w:val="none"/>
              </w:rPr>
            </w:pPr>
            <w:r>
              <w:rPr>
                <w:rFonts w:hint="eastAsia"/>
                <w:color w:val="auto"/>
                <w:highlight w:val="none"/>
              </w:rPr>
              <w:t>表4</w:t>
            </w:r>
            <w:r>
              <w:rPr>
                <w:rFonts w:hint="eastAsia"/>
                <w:color w:val="auto"/>
                <w:highlight w:val="none"/>
                <w:lang w:eastAsia="zh-CN"/>
              </w:rPr>
              <w:t>-</w:t>
            </w:r>
            <w:r>
              <w:rPr>
                <w:rFonts w:hint="eastAsia"/>
                <w:color w:val="auto"/>
                <w:highlight w:val="none"/>
                <w:lang w:val="en-US" w:eastAsia="zh-CN"/>
              </w:rPr>
              <w:t>10</w:t>
            </w:r>
            <w:r>
              <w:rPr>
                <w:rFonts w:hint="eastAsia"/>
                <w:color w:val="auto"/>
                <w:highlight w:val="none"/>
                <w:lang w:eastAsia="zh-CN"/>
              </w:rPr>
              <w:t>本项目</w:t>
            </w:r>
            <w:r>
              <w:rPr>
                <w:rFonts w:hint="eastAsia"/>
                <w:color w:val="auto"/>
                <w:highlight w:val="none"/>
              </w:rPr>
              <w:t>完成后全厂污染物排放量变化情况一览表  单位：t/a</w:t>
            </w:r>
          </w:p>
          <w:tbl>
            <w:tblPr>
              <w:tblStyle w:val="3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88"/>
              <w:gridCol w:w="691"/>
              <w:gridCol w:w="1203"/>
              <w:gridCol w:w="1176"/>
              <w:gridCol w:w="1240"/>
              <w:gridCol w:w="1174"/>
              <w:gridCol w:w="1156"/>
            </w:tblGrid>
            <w:tr w14:paraId="227053F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64" w:type="pct"/>
                  <w:vAlign w:val="center"/>
                </w:tcPr>
                <w:p w14:paraId="10BFD5EC">
                  <w:pPr>
                    <w:pStyle w:val="116"/>
                    <w:spacing w:line="240" w:lineRule="auto"/>
                    <w:ind w:firstLine="0" w:firstLineChars="0"/>
                    <w:jc w:val="center"/>
                    <w:rPr>
                      <w:color w:val="auto"/>
                      <w:highlight w:val="none"/>
                    </w:rPr>
                  </w:pPr>
                  <w:r>
                    <w:rPr>
                      <w:rFonts w:hint="eastAsia"/>
                      <w:color w:val="auto"/>
                      <w:highlight w:val="none"/>
                    </w:rPr>
                    <w:t>污染物</w:t>
                  </w:r>
                </w:p>
              </w:tc>
              <w:tc>
                <w:tcPr>
                  <w:tcW w:w="430" w:type="pct"/>
                  <w:vAlign w:val="center"/>
                </w:tcPr>
                <w:p w14:paraId="6D153740">
                  <w:pPr>
                    <w:pStyle w:val="116"/>
                    <w:spacing w:line="240" w:lineRule="auto"/>
                    <w:ind w:firstLine="0" w:firstLineChars="0"/>
                    <w:jc w:val="center"/>
                    <w:rPr>
                      <w:color w:val="auto"/>
                      <w:highlight w:val="none"/>
                    </w:rPr>
                  </w:pPr>
                  <w:r>
                    <w:rPr>
                      <w:rFonts w:hint="eastAsia"/>
                      <w:color w:val="auto"/>
                      <w:highlight w:val="none"/>
                    </w:rPr>
                    <w:t>单位</w:t>
                  </w:r>
                </w:p>
              </w:tc>
              <w:tc>
                <w:tcPr>
                  <w:tcW w:w="749" w:type="pct"/>
                  <w:vAlign w:val="center"/>
                </w:tcPr>
                <w:p w14:paraId="255DB56F">
                  <w:pPr>
                    <w:pStyle w:val="116"/>
                    <w:spacing w:line="240" w:lineRule="auto"/>
                    <w:ind w:firstLine="0" w:firstLineChars="0"/>
                    <w:jc w:val="center"/>
                    <w:rPr>
                      <w:color w:val="auto"/>
                      <w:highlight w:val="none"/>
                    </w:rPr>
                  </w:pPr>
                  <w:r>
                    <w:rPr>
                      <w:rFonts w:hint="eastAsia"/>
                      <w:color w:val="auto"/>
                      <w:highlight w:val="none"/>
                    </w:rPr>
                    <w:t>现有工程实际排放量</w:t>
                  </w:r>
                </w:p>
              </w:tc>
              <w:tc>
                <w:tcPr>
                  <w:tcW w:w="732" w:type="pct"/>
                  <w:vAlign w:val="center"/>
                </w:tcPr>
                <w:p w14:paraId="6F186EB7">
                  <w:pPr>
                    <w:pStyle w:val="116"/>
                    <w:spacing w:line="240" w:lineRule="auto"/>
                    <w:ind w:firstLine="0" w:firstLineChars="0"/>
                    <w:jc w:val="center"/>
                    <w:rPr>
                      <w:color w:val="auto"/>
                      <w:highlight w:val="none"/>
                    </w:rPr>
                  </w:pPr>
                  <w:r>
                    <w:rPr>
                      <w:rFonts w:hint="eastAsia"/>
                      <w:color w:val="auto"/>
                      <w:highlight w:val="none"/>
                      <w:lang w:eastAsia="zh-CN"/>
                    </w:rPr>
                    <w:t>本项目</w:t>
                  </w:r>
                  <w:r>
                    <w:rPr>
                      <w:rFonts w:hint="eastAsia"/>
                      <w:color w:val="auto"/>
                      <w:highlight w:val="none"/>
                    </w:rPr>
                    <w:t>预测排放量</w:t>
                  </w:r>
                </w:p>
              </w:tc>
              <w:tc>
                <w:tcPr>
                  <w:tcW w:w="772" w:type="pct"/>
                  <w:vAlign w:val="center"/>
                </w:tcPr>
                <w:p w14:paraId="29A4A107">
                  <w:pPr>
                    <w:pStyle w:val="116"/>
                    <w:spacing w:line="240" w:lineRule="auto"/>
                    <w:ind w:firstLine="0" w:firstLineChars="0"/>
                    <w:jc w:val="center"/>
                    <w:rPr>
                      <w:color w:val="auto"/>
                      <w:highlight w:val="none"/>
                    </w:rPr>
                  </w:pPr>
                  <w:r>
                    <w:rPr>
                      <w:rFonts w:hint="eastAsia"/>
                      <w:color w:val="auto"/>
                      <w:highlight w:val="none"/>
                    </w:rPr>
                    <w:t>“</w:t>
                  </w:r>
                  <w:r>
                    <w:rPr>
                      <w:color w:val="auto"/>
                      <w:highlight w:val="none"/>
                    </w:rPr>
                    <w:t>以新带老</w:t>
                  </w:r>
                  <w:r>
                    <w:rPr>
                      <w:rFonts w:hint="eastAsia"/>
                      <w:color w:val="auto"/>
                      <w:highlight w:val="none"/>
                    </w:rPr>
                    <w:t>”</w:t>
                  </w:r>
                  <w:r>
                    <w:rPr>
                      <w:color w:val="auto"/>
                      <w:highlight w:val="none"/>
                    </w:rPr>
                    <w:t>削减量</w:t>
                  </w:r>
                </w:p>
              </w:tc>
              <w:tc>
                <w:tcPr>
                  <w:tcW w:w="731" w:type="pct"/>
                  <w:vAlign w:val="center"/>
                </w:tcPr>
                <w:p w14:paraId="67BF814E">
                  <w:pPr>
                    <w:pStyle w:val="116"/>
                    <w:spacing w:line="240" w:lineRule="auto"/>
                    <w:ind w:firstLine="0" w:firstLineChars="0"/>
                    <w:jc w:val="center"/>
                    <w:rPr>
                      <w:color w:val="auto"/>
                      <w:highlight w:val="none"/>
                    </w:rPr>
                  </w:pPr>
                  <w:r>
                    <w:rPr>
                      <w:rFonts w:hint="eastAsia"/>
                      <w:color w:val="auto"/>
                      <w:highlight w:val="none"/>
                      <w:lang w:eastAsia="zh-CN"/>
                    </w:rPr>
                    <w:t>本项目</w:t>
                  </w:r>
                  <w:r>
                    <w:rPr>
                      <w:rFonts w:hint="eastAsia"/>
                      <w:color w:val="auto"/>
                      <w:highlight w:val="none"/>
                    </w:rPr>
                    <w:t>完成后全厂排放总量</w:t>
                  </w:r>
                </w:p>
              </w:tc>
              <w:tc>
                <w:tcPr>
                  <w:tcW w:w="719" w:type="pct"/>
                  <w:vAlign w:val="center"/>
                </w:tcPr>
                <w:p w14:paraId="6E1B137B">
                  <w:pPr>
                    <w:pStyle w:val="116"/>
                    <w:spacing w:line="240" w:lineRule="auto"/>
                    <w:ind w:firstLine="0" w:firstLineChars="0"/>
                    <w:jc w:val="center"/>
                    <w:rPr>
                      <w:color w:val="auto"/>
                      <w:highlight w:val="none"/>
                    </w:rPr>
                  </w:pPr>
                  <w:r>
                    <w:rPr>
                      <w:rFonts w:hint="eastAsia"/>
                      <w:color w:val="auto"/>
                      <w:highlight w:val="none"/>
                    </w:rPr>
                    <w:t>排放增减量</w:t>
                  </w:r>
                </w:p>
              </w:tc>
            </w:tr>
            <w:tr w14:paraId="70258F1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64" w:type="pct"/>
                  <w:vAlign w:val="center"/>
                </w:tcPr>
                <w:p w14:paraId="1A7406AF">
                  <w:pPr>
                    <w:pStyle w:val="116"/>
                    <w:spacing w:line="240" w:lineRule="auto"/>
                    <w:ind w:firstLine="0" w:firstLineChars="0"/>
                    <w:jc w:val="center"/>
                    <w:rPr>
                      <w:color w:val="auto"/>
                      <w:highlight w:val="none"/>
                    </w:rPr>
                  </w:pPr>
                  <w:r>
                    <w:rPr>
                      <w:rFonts w:hint="eastAsia"/>
                      <w:color w:val="auto"/>
                      <w:highlight w:val="none"/>
                    </w:rPr>
                    <w:t>颗粒物</w:t>
                  </w:r>
                </w:p>
              </w:tc>
              <w:tc>
                <w:tcPr>
                  <w:tcW w:w="430" w:type="pct"/>
                  <w:vAlign w:val="center"/>
                </w:tcPr>
                <w:p w14:paraId="2CFF948A">
                  <w:pPr>
                    <w:pStyle w:val="116"/>
                    <w:spacing w:line="240" w:lineRule="auto"/>
                    <w:ind w:firstLine="0" w:firstLineChars="0"/>
                    <w:jc w:val="center"/>
                    <w:rPr>
                      <w:color w:val="auto"/>
                      <w:highlight w:val="none"/>
                    </w:rPr>
                  </w:pPr>
                  <w:r>
                    <w:rPr>
                      <w:rFonts w:hint="eastAsia"/>
                      <w:color w:val="auto"/>
                      <w:highlight w:val="none"/>
                    </w:rPr>
                    <w:t>t/a</w:t>
                  </w:r>
                </w:p>
              </w:tc>
              <w:tc>
                <w:tcPr>
                  <w:tcW w:w="749" w:type="pct"/>
                  <w:vAlign w:val="center"/>
                </w:tcPr>
                <w:p w14:paraId="542FD782">
                  <w:pPr>
                    <w:pStyle w:val="116"/>
                    <w:spacing w:line="240" w:lineRule="auto"/>
                    <w:ind w:firstLine="0" w:firstLineChars="0"/>
                    <w:jc w:val="center"/>
                    <w:rPr>
                      <w:rFonts w:hint="default" w:eastAsia="宋体"/>
                      <w:color w:val="auto"/>
                      <w:highlight w:val="none"/>
                      <w:lang w:val="en-US" w:eastAsia="zh-CN"/>
                    </w:rPr>
                  </w:pPr>
                  <w:r>
                    <w:rPr>
                      <w:rFonts w:hint="eastAsia"/>
                      <w:color w:val="auto"/>
                      <w:highlight w:val="none"/>
                      <w:lang w:val="en-US" w:eastAsia="zh-CN"/>
                    </w:rPr>
                    <w:t>0.171</w:t>
                  </w:r>
                </w:p>
              </w:tc>
              <w:tc>
                <w:tcPr>
                  <w:tcW w:w="732" w:type="pct"/>
                  <w:vAlign w:val="center"/>
                </w:tcPr>
                <w:p w14:paraId="6C16A45C">
                  <w:pPr>
                    <w:pStyle w:val="116"/>
                    <w:spacing w:line="240" w:lineRule="auto"/>
                    <w:ind w:firstLine="0" w:firstLineChars="0"/>
                    <w:jc w:val="center"/>
                    <w:rPr>
                      <w:rFonts w:hint="default"/>
                      <w:color w:val="auto"/>
                      <w:highlight w:val="none"/>
                      <w:lang w:val="en-US" w:eastAsia="zh-CN"/>
                    </w:rPr>
                  </w:pPr>
                  <w:r>
                    <w:rPr>
                      <w:rFonts w:hint="eastAsia"/>
                      <w:color w:val="auto"/>
                      <w:highlight w:val="none"/>
                      <w:lang w:val="en-US" w:eastAsia="zh-CN"/>
                    </w:rPr>
                    <w:t>0.987</w:t>
                  </w:r>
                </w:p>
              </w:tc>
              <w:tc>
                <w:tcPr>
                  <w:tcW w:w="772" w:type="pct"/>
                  <w:vAlign w:val="center"/>
                </w:tcPr>
                <w:p w14:paraId="1F8563EA">
                  <w:pPr>
                    <w:pStyle w:val="116"/>
                    <w:spacing w:line="240" w:lineRule="auto"/>
                    <w:ind w:firstLine="0" w:firstLineChars="0"/>
                    <w:jc w:val="center"/>
                    <w:rPr>
                      <w:rFonts w:hint="eastAsia"/>
                      <w:color w:val="auto"/>
                      <w:highlight w:val="none"/>
                      <w:lang w:val="en-US" w:eastAsia="zh-CN"/>
                    </w:rPr>
                  </w:pPr>
                  <w:r>
                    <w:rPr>
                      <w:rFonts w:hint="eastAsia"/>
                      <w:color w:val="auto"/>
                      <w:highlight w:val="none"/>
                      <w:lang w:val="en-US" w:eastAsia="zh-CN"/>
                    </w:rPr>
                    <w:t>0</w:t>
                  </w:r>
                </w:p>
              </w:tc>
              <w:tc>
                <w:tcPr>
                  <w:tcW w:w="731" w:type="pct"/>
                  <w:vAlign w:val="center"/>
                </w:tcPr>
                <w:p w14:paraId="31EC2B84">
                  <w:pPr>
                    <w:pStyle w:val="116"/>
                    <w:spacing w:line="240" w:lineRule="auto"/>
                    <w:ind w:firstLine="0" w:firstLineChars="0"/>
                    <w:jc w:val="center"/>
                    <w:rPr>
                      <w:rFonts w:hint="default"/>
                      <w:color w:val="auto"/>
                      <w:highlight w:val="none"/>
                      <w:lang w:val="en-US" w:eastAsia="zh-CN"/>
                    </w:rPr>
                  </w:pPr>
                  <w:r>
                    <w:rPr>
                      <w:rFonts w:hint="eastAsia"/>
                      <w:color w:val="auto"/>
                      <w:highlight w:val="none"/>
                      <w:lang w:val="en-US" w:eastAsia="zh-CN"/>
                    </w:rPr>
                    <w:t>1.158</w:t>
                  </w:r>
                </w:p>
              </w:tc>
              <w:tc>
                <w:tcPr>
                  <w:tcW w:w="719" w:type="pct"/>
                  <w:shd w:val="clear" w:color="auto" w:fill="auto"/>
                  <w:vAlign w:val="center"/>
                </w:tcPr>
                <w:p w14:paraId="7565D911">
                  <w:pPr>
                    <w:pStyle w:val="116"/>
                    <w:spacing w:line="240" w:lineRule="auto"/>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color w:val="auto"/>
                      <w:highlight w:val="none"/>
                      <w:lang w:val="en-US" w:eastAsia="zh-CN"/>
                    </w:rPr>
                    <w:t>+0.987</w:t>
                  </w:r>
                </w:p>
              </w:tc>
            </w:tr>
            <w:tr w14:paraId="61F4AA9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64" w:type="pct"/>
                  <w:shd w:val="clear" w:color="auto" w:fill="auto"/>
                  <w:vAlign w:val="center"/>
                </w:tcPr>
                <w:p w14:paraId="7F8D7C26">
                  <w:pPr>
                    <w:adjustRightInd w:val="0"/>
                    <w:jc w:val="center"/>
                    <w:rPr>
                      <w:rFonts w:ascii="Times New Roman" w:hAnsi="Times New Roman" w:eastAsia="宋体" w:cs="Times New Roman"/>
                      <w:color w:val="auto"/>
                      <w:kern w:val="2"/>
                      <w:sz w:val="21"/>
                      <w:szCs w:val="21"/>
                      <w:highlight w:val="none"/>
                      <w:lang w:val="en-US" w:eastAsia="zh-CN" w:bidi="ar-SA"/>
                    </w:rPr>
                  </w:pPr>
                  <w:r>
                    <w:rPr>
                      <w:color w:val="auto"/>
                      <w:szCs w:val="21"/>
                      <w:highlight w:val="none"/>
                    </w:rPr>
                    <w:t>SO</w:t>
                  </w:r>
                  <w:r>
                    <w:rPr>
                      <w:color w:val="auto"/>
                      <w:szCs w:val="21"/>
                      <w:highlight w:val="none"/>
                      <w:vertAlign w:val="subscript"/>
                    </w:rPr>
                    <w:t>2</w:t>
                  </w:r>
                </w:p>
              </w:tc>
              <w:tc>
                <w:tcPr>
                  <w:tcW w:w="430" w:type="pct"/>
                  <w:vAlign w:val="center"/>
                </w:tcPr>
                <w:p w14:paraId="1E3783CE">
                  <w:pPr>
                    <w:spacing w:line="240" w:lineRule="auto"/>
                    <w:ind w:firstLine="0" w:firstLineChars="0"/>
                    <w:jc w:val="center"/>
                    <w:rPr>
                      <w:color w:val="auto"/>
                      <w:highlight w:val="none"/>
                    </w:rPr>
                  </w:pPr>
                  <w:r>
                    <w:rPr>
                      <w:rFonts w:hint="eastAsia"/>
                      <w:color w:val="auto"/>
                      <w:highlight w:val="none"/>
                    </w:rPr>
                    <w:t>t/a</w:t>
                  </w:r>
                </w:p>
              </w:tc>
              <w:tc>
                <w:tcPr>
                  <w:tcW w:w="749" w:type="pct"/>
                  <w:vAlign w:val="center"/>
                </w:tcPr>
                <w:p w14:paraId="7D2FFA96">
                  <w:pPr>
                    <w:pStyle w:val="116"/>
                    <w:spacing w:line="240" w:lineRule="auto"/>
                    <w:ind w:firstLine="0" w:firstLineChars="0"/>
                    <w:jc w:val="center"/>
                    <w:rPr>
                      <w:rFonts w:hint="eastAsia" w:eastAsia="宋体"/>
                      <w:color w:val="auto"/>
                      <w:highlight w:val="none"/>
                      <w:lang w:val="en-US" w:eastAsia="zh-CN"/>
                    </w:rPr>
                  </w:pPr>
                  <w:r>
                    <w:rPr>
                      <w:rFonts w:hint="eastAsia"/>
                      <w:color w:val="auto"/>
                      <w:highlight w:val="none"/>
                      <w:lang w:val="en-US" w:eastAsia="zh-CN"/>
                    </w:rPr>
                    <w:t>0</w:t>
                  </w:r>
                </w:p>
              </w:tc>
              <w:tc>
                <w:tcPr>
                  <w:tcW w:w="732" w:type="pct"/>
                  <w:vAlign w:val="center"/>
                </w:tcPr>
                <w:p w14:paraId="38F31D2C">
                  <w:pPr>
                    <w:pStyle w:val="116"/>
                    <w:spacing w:line="240" w:lineRule="auto"/>
                    <w:ind w:firstLine="0" w:firstLineChars="0"/>
                    <w:jc w:val="center"/>
                    <w:rPr>
                      <w:rFonts w:hint="default"/>
                      <w:color w:val="auto"/>
                      <w:highlight w:val="none"/>
                      <w:lang w:val="en-US" w:eastAsia="zh-CN"/>
                    </w:rPr>
                  </w:pPr>
                  <w:r>
                    <w:rPr>
                      <w:rFonts w:hint="eastAsia"/>
                      <w:color w:val="auto"/>
                      <w:highlight w:val="none"/>
                      <w:lang w:val="en-US" w:eastAsia="zh-CN"/>
                    </w:rPr>
                    <w:t>0.087</w:t>
                  </w:r>
                </w:p>
              </w:tc>
              <w:tc>
                <w:tcPr>
                  <w:tcW w:w="772" w:type="pct"/>
                  <w:vAlign w:val="center"/>
                </w:tcPr>
                <w:p w14:paraId="2A031004">
                  <w:pPr>
                    <w:pStyle w:val="116"/>
                    <w:spacing w:line="240" w:lineRule="auto"/>
                    <w:ind w:firstLine="0" w:firstLineChars="0"/>
                    <w:jc w:val="center"/>
                    <w:rPr>
                      <w:rFonts w:hint="default"/>
                      <w:color w:val="auto"/>
                      <w:highlight w:val="none"/>
                      <w:lang w:val="en-US" w:eastAsia="zh-CN"/>
                    </w:rPr>
                  </w:pPr>
                  <w:r>
                    <w:rPr>
                      <w:rFonts w:hint="eastAsia"/>
                      <w:color w:val="auto"/>
                      <w:highlight w:val="none"/>
                      <w:lang w:val="en-US" w:eastAsia="zh-CN"/>
                    </w:rPr>
                    <w:t>0</w:t>
                  </w:r>
                </w:p>
              </w:tc>
              <w:tc>
                <w:tcPr>
                  <w:tcW w:w="731" w:type="pct"/>
                  <w:shd w:val="clear" w:color="auto" w:fill="auto"/>
                  <w:vAlign w:val="center"/>
                </w:tcPr>
                <w:p w14:paraId="3BD77C11">
                  <w:pPr>
                    <w:pStyle w:val="116"/>
                    <w:spacing w:line="240" w:lineRule="auto"/>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color w:val="auto"/>
                      <w:highlight w:val="none"/>
                      <w:lang w:val="en-US" w:eastAsia="zh-CN"/>
                    </w:rPr>
                    <w:t>0.087</w:t>
                  </w:r>
                </w:p>
              </w:tc>
              <w:tc>
                <w:tcPr>
                  <w:tcW w:w="719" w:type="pct"/>
                  <w:shd w:val="clear" w:color="auto" w:fill="auto"/>
                  <w:vAlign w:val="center"/>
                </w:tcPr>
                <w:p w14:paraId="7DD3AA47">
                  <w:pPr>
                    <w:pStyle w:val="116"/>
                    <w:spacing w:line="240" w:lineRule="auto"/>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color w:val="auto"/>
                      <w:highlight w:val="none"/>
                      <w:lang w:val="en-US" w:eastAsia="zh-CN"/>
                    </w:rPr>
                    <w:t>+0.087</w:t>
                  </w:r>
                </w:p>
              </w:tc>
            </w:tr>
            <w:tr w14:paraId="04ABE58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64" w:type="pct"/>
                  <w:shd w:val="clear" w:color="auto" w:fill="auto"/>
                  <w:vAlign w:val="center"/>
                </w:tcPr>
                <w:p w14:paraId="14C30B1A">
                  <w:pPr>
                    <w:adjustRightInd w:val="0"/>
                    <w:jc w:val="center"/>
                    <w:rPr>
                      <w:rFonts w:ascii="Times New Roman" w:hAnsi="Times New Roman" w:eastAsia="宋体" w:cs="Times New Roman"/>
                      <w:color w:val="auto"/>
                      <w:kern w:val="2"/>
                      <w:sz w:val="21"/>
                      <w:szCs w:val="21"/>
                      <w:highlight w:val="none"/>
                      <w:lang w:val="en-US" w:eastAsia="zh-CN" w:bidi="ar-SA"/>
                    </w:rPr>
                  </w:pPr>
                  <w:r>
                    <w:rPr>
                      <w:color w:val="auto"/>
                      <w:szCs w:val="21"/>
                      <w:highlight w:val="none"/>
                    </w:rPr>
                    <w:t>NO</w:t>
                  </w:r>
                  <w:r>
                    <w:rPr>
                      <w:color w:val="auto"/>
                      <w:szCs w:val="21"/>
                      <w:highlight w:val="none"/>
                      <w:vertAlign w:val="subscript"/>
                    </w:rPr>
                    <w:t>X</w:t>
                  </w:r>
                </w:p>
              </w:tc>
              <w:tc>
                <w:tcPr>
                  <w:tcW w:w="430" w:type="pct"/>
                  <w:vAlign w:val="center"/>
                </w:tcPr>
                <w:p w14:paraId="03F3007E">
                  <w:pPr>
                    <w:spacing w:line="240" w:lineRule="auto"/>
                    <w:ind w:firstLine="0" w:firstLineChars="0"/>
                    <w:jc w:val="center"/>
                    <w:rPr>
                      <w:color w:val="auto"/>
                      <w:highlight w:val="none"/>
                    </w:rPr>
                  </w:pPr>
                  <w:r>
                    <w:rPr>
                      <w:rFonts w:hint="eastAsia"/>
                      <w:color w:val="auto"/>
                      <w:highlight w:val="none"/>
                    </w:rPr>
                    <w:t>t/a</w:t>
                  </w:r>
                </w:p>
              </w:tc>
              <w:tc>
                <w:tcPr>
                  <w:tcW w:w="749" w:type="pct"/>
                  <w:vAlign w:val="center"/>
                </w:tcPr>
                <w:p w14:paraId="62E02893">
                  <w:pPr>
                    <w:pStyle w:val="116"/>
                    <w:spacing w:line="240" w:lineRule="auto"/>
                    <w:ind w:firstLine="0" w:firstLineChars="0"/>
                    <w:jc w:val="center"/>
                    <w:rPr>
                      <w:rFonts w:hint="eastAsia" w:eastAsia="宋体"/>
                      <w:color w:val="auto"/>
                      <w:highlight w:val="none"/>
                      <w:lang w:val="en-US" w:eastAsia="zh-CN"/>
                    </w:rPr>
                  </w:pPr>
                  <w:r>
                    <w:rPr>
                      <w:rFonts w:hint="eastAsia"/>
                      <w:color w:val="auto"/>
                      <w:highlight w:val="none"/>
                      <w:lang w:val="en-US" w:eastAsia="zh-CN"/>
                    </w:rPr>
                    <w:t>0</w:t>
                  </w:r>
                </w:p>
              </w:tc>
              <w:tc>
                <w:tcPr>
                  <w:tcW w:w="732" w:type="pct"/>
                  <w:vAlign w:val="center"/>
                </w:tcPr>
                <w:p w14:paraId="4EAFB14B">
                  <w:pPr>
                    <w:pStyle w:val="116"/>
                    <w:spacing w:line="240" w:lineRule="auto"/>
                    <w:ind w:firstLine="0" w:firstLineChars="0"/>
                    <w:jc w:val="center"/>
                    <w:rPr>
                      <w:rFonts w:hint="default"/>
                      <w:color w:val="auto"/>
                      <w:highlight w:val="none"/>
                      <w:lang w:val="en-US" w:eastAsia="zh-CN"/>
                    </w:rPr>
                  </w:pPr>
                  <w:r>
                    <w:rPr>
                      <w:rFonts w:hint="eastAsia"/>
                      <w:color w:val="auto"/>
                      <w:highlight w:val="none"/>
                      <w:lang w:val="en-US" w:eastAsia="zh-CN"/>
                    </w:rPr>
                    <w:t>4.073</w:t>
                  </w:r>
                </w:p>
              </w:tc>
              <w:tc>
                <w:tcPr>
                  <w:tcW w:w="772" w:type="pct"/>
                  <w:vAlign w:val="center"/>
                </w:tcPr>
                <w:p w14:paraId="7674C6DD">
                  <w:pPr>
                    <w:pStyle w:val="116"/>
                    <w:spacing w:line="240" w:lineRule="auto"/>
                    <w:ind w:firstLine="0" w:firstLineChars="0"/>
                    <w:jc w:val="center"/>
                    <w:rPr>
                      <w:rFonts w:hint="default"/>
                      <w:color w:val="auto"/>
                      <w:highlight w:val="none"/>
                      <w:lang w:val="en-US" w:eastAsia="zh-CN"/>
                    </w:rPr>
                  </w:pPr>
                  <w:r>
                    <w:rPr>
                      <w:rFonts w:hint="eastAsia"/>
                      <w:color w:val="auto"/>
                      <w:highlight w:val="none"/>
                      <w:lang w:val="en-US" w:eastAsia="zh-CN"/>
                    </w:rPr>
                    <w:t>0</w:t>
                  </w:r>
                </w:p>
              </w:tc>
              <w:tc>
                <w:tcPr>
                  <w:tcW w:w="731" w:type="pct"/>
                  <w:shd w:val="clear" w:color="auto" w:fill="auto"/>
                  <w:vAlign w:val="center"/>
                </w:tcPr>
                <w:p w14:paraId="6BCFEE4A">
                  <w:pPr>
                    <w:pStyle w:val="116"/>
                    <w:spacing w:line="240" w:lineRule="auto"/>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color w:val="auto"/>
                      <w:highlight w:val="none"/>
                      <w:lang w:val="en-US" w:eastAsia="zh-CN"/>
                    </w:rPr>
                    <w:t>4.073</w:t>
                  </w:r>
                </w:p>
              </w:tc>
              <w:tc>
                <w:tcPr>
                  <w:tcW w:w="719" w:type="pct"/>
                  <w:shd w:val="clear" w:color="auto" w:fill="auto"/>
                  <w:vAlign w:val="center"/>
                </w:tcPr>
                <w:p w14:paraId="211CB2BF">
                  <w:pPr>
                    <w:pStyle w:val="116"/>
                    <w:spacing w:line="240" w:lineRule="auto"/>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color w:val="auto"/>
                      <w:highlight w:val="none"/>
                      <w:lang w:val="en-US" w:eastAsia="zh-CN"/>
                    </w:rPr>
                    <w:t>+4.073</w:t>
                  </w:r>
                </w:p>
              </w:tc>
            </w:tr>
            <w:tr w14:paraId="7D448A6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64" w:type="pct"/>
                  <w:shd w:val="clear" w:color="auto" w:fill="auto"/>
                  <w:vAlign w:val="center"/>
                </w:tcPr>
                <w:p w14:paraId="1270CD9D">
                  <w:pPr>
                    <w:pStyle w:val="116"/>
                    <w:spacing w:line="240" w:lineRule="auto"/>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color w:val="auto"/>
                      <w:highlight w:val="none"/>
                    </w:rPr>
                    <w:t>非甲烷总烃</w:t>
                  </w:r>
                </w:p>
              </w:tc>
              <w:tc>
                <w:tcPr>
                  <w:tcW w:w="430" w:type="pct"/>
                  <w:shd w:val="clear" w:color="auto" w:fill="auto"/>
                  <w:vAlign w:val="center"/>
                </w:tcPr>
                <w:p w14:paraId="7ABEF39C">
                  <w:pPr>
                    <w:pStyle w:val="116"/>
                    <w:spacing w:line="240" w:lineRule="auto"/>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color w:val="auto"/>
                      <w:highlight w:val="none"/>
                    </w:rPr>
                    <w:t>t/a</w:t>
                  </w:r>
                </w:p>
              </w:tc>
              <w:tc>
                <w:tcPr>
                  <w:tcW w:w="749" w:type="pct"/>
                  <w:shd w:val="clear" w:color="auto" w:fill="auto"/>
                  <w:vAlign w:val="center"/>
                </w:tcPr>
                <w:p w14:paraId="55C6371D">
                  <w:pPr>
                    <w:pStyle w:val="116"/>
                    <w:spacing w:line="240" w:lineRule="auto"/>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color w:val="auto"/>
                      <w:highlight w:val="none"/>
                    </w:rPr>
                    <w:t>0.08</w:t>
                  </w:r>
                  <w:r>
                    <w:rPr>
                      <w:rFonts w:hint="eastAsia"/>
                      <w:color w:val="auto"/>
                      <w:highlight w:val="none"/>
                      <w:lang w:val="en-US" w:eastAsia="zh-CN"/>
                    </w:rPr>
                    <w:t>1</w:t>
                  </w:r>
                </w:p>
              </w:tc>
              <w:tc>
                <w:tcPr>
                  <w:tcW w:w="732" w:type="pct"/>
                  <w:shd w:val="clear" w:color="auto" w:fill="auto"/>
                  <w:vAlign w:val="center"/>
                </w:tcPr>
                <w:p w14:paraId="792CA690">
                  <w:pPr>
                    <w:pStyle w:val="116"/>
                    <w:spacing w:line="240" w:lineRule="auto"/>
                    <w:ind w:firstLine="0" w:firstLineChars="0"/>
                    <w:jc w:val="center"/>
                    <w:rPr>
                      <w:rFonts w:hint="eastAsia"/>
                      <w:color w:val="auto"/>
                      <w:highlight w:val="none"/>
                      <w:lang w:val="en-US" w:eastAsia="zh-CN"/>
                    </w:rPr>
                  </w:pPr>
                  <w:r>
                    <w:rPr>
                      <w:rFonts w:hint="eastAsia"/>
                      <w:color w:val="auto"/>
                      <w:highlight w:val="none"/>
                      <w:lang w:val="en-US" w:eastAsia="zh-CN"/>
                    </w:rPr>
                    <w:t>0</w:t>
                  </w:r>
                </w:p>
              </w:tc>
              <w:tc>
                <w:tcPr>
                  <w:tcW w:w="772" w:type="pct"/>
                  <w:shd w:val="clear" w:color="auto" w:fill="auto"/>
                  <w:vAlign w:val="center"/>
                </w:tcPr>
                <w:p w14:paraId="307B1838">
                  <w:pPr>
                    <w:pStyle w:val="116"/>
                    <w:spacing w:line="240" w:lineRule="auto"/>
                    <w:ind w:firstLine="0" w:firstLineChars="0"/>
                    <w:jc w:val="center"/>
                    <w:rPr>
                      <w:rFonts w:hint="eastAsia"/>
                      <w:color w:val="auto"/>
                      <w:highlight w:val="none"/>
                      <w:lang w:val="en-US" w:eastAsia="zh-CN"/>
                    </w:rPr>
                  </w:pPr>
                  <w:r>
                    <w:rPr>
                      <w:rFonts w:hint="eastAsia"/>
                      <w:color w:val="auto"/>
                      <w:highlight w:val="none"/>
                      <w:lang w:val="en-US" w:eastAsia="zh-CN"/>
                    </w:rPr>
                    <w:t>0</w:t>
                  </w:r>
                </w:p>
              </w:tc>
              <w:tc>
                <w:tcPr>
                  <w:tcW w:w="731" w:type="pct"/>
                  <w:shd w:val="clear" w:color="auto" w:fill="auto"/>
                  <w:vAlign w:val="center"/>
                </w:tcPr>
                <w:p w14:paraId="645D7082">
                  <w:pPr>
                    <w:pStyle w:val="116"/>
                    <w:spacing w:line="240" w:lineRule="auto"/>
                    <w:ind w:firstLine="0" w:firstLineChars="0"/>
                    <w:jc w:val="center"/>
                    <w:rPr>
                      <w:rFonts w:hint="eastAsia"/>
                      <w:color w:val="auto"/>
                      <w:highlight w:val="none"/>
                      <w:lang w:val="en-US" w:eastAsia="zh-CN"/>
                    </w:rPr>
                  </w:pPr>
                  <w:r>
                    <w:rPr>
                      <w:rFonts w:hint="eastAsia"/>
                      <w:color w:val="auto"/>
                      <w:highlight w:val="none"/>
                      <w:lang w:val="en-US" w:eastAsia="zh-CN"/>
                    </w:rPr>
                    <w:t>0.081</w:t>
                  </w:r>
                </w:p>
              </w:tc>
              <w:tc>
                <w:tcPr>
                  <w:tcW w:w="719" w:type="pct"/>
                  <w:shd w:val="clear" w:color="auto" w:fill="auto"/>
                  <w:vAlign w:val="center"/>
                </w:tcPr>
                <w:p w14:paraId="5183A3BA">
                  <w:pPr>
                    <w:pStyle w:val="116"/>
                    <w:spacing w:line="240" w:lineRule="auto"/>
                    <w:ind w:firstLine="0" w:firstLineChars="0"/>
                    <w:jc w:val="center"/>
                    <w:rPr>
                      <w:rFonts w:hint="eastAsia"/>
                      <w:color w:val="auto"/>
                      <w:highlight w:val="none"/>
                      <w:lang w:val="en-US" w:eastAsia="zh-CN"/>
                    </w:rPr>
                  </w:pPr>
                  <w:r>
                    <w:rPr>
                      <w:rFonts w:hint="eastAsia"/>
                      <w:color w:val="auto"/>
                      <w:highlight w:val="none"/>
                      <w:lang w:val="en-US" w:eastAsia="zh-CN"/>
                    </w:rPr>
                    <w:t>0</w:t>
                  </w:r>
                </w:p>
              </w:tc>
            </w:tr>
          </w:tbl>
          <w:p w14:paraId="0645C795">
            <w:pPr>
              <w:pStyle w:val="119"/>
              <w:rPr>
                <w:color w:val="auto"/>
                <w:highlight w:val="none"/>
              </w:rPr>
            </w:pPr>
            <w:r>
              <w:rPr>
                <w:rFonts w:hint="eastAsia"/>
                <w:color w:val="auto"/>
                <w:highlight w:val="none"/>
              </w:rPr>
              <w:t>1.8大气环境影响评价结论</w:t>
            </w:r>
          </w:p>
          <w:p w14:paraId="44500274">
            <w:pPr>
              <w:pStyle w:val="116"/>
              <w:ind w:firstLine="420"/>
              <w:rPr>
                <w:color w:val="auto"/>
                <w:highlight w:val="none"/>
              </w:rPr>
            </w:pPr>
            <w:r>
              <w:rPr>
                <w:rFonts w:hint="eastAsia"/>
                <w:color w:val="auto"/>
                <w:highlight w:val="none"/>
              </w:rPr>
              <w:t>本项目采取了有效的</w:t>
            </w:r>
            <w:r>
              <w:rPr>
                <w:color w:val="auto"/>
                <w:highlight w:val="none"/>
              </w:rPr>
              <w:t>污染防治措施，经过分析</w:t>
            </w:r>
            <w:r>
              <w:rPr>
                <w:rFonts w:hint="eastAsia"/>
                <w:color w:val="auto"/>
                <w:highlight w:val="none"/>
              </w:rPr>
              <w:t>，</w:t>
            </w:r>
            <w:r>
              <w:rPr>
                <w:color w:val="auto"/>
                <w:highlight w:val="none"/>
              </w:rPr>
              <w:t>污染物排放满足相关标准要求，污染物可达标排放</w:t>
            </w:r>
            <w:r>
              <w:rPr>
                <w:rFonts w:hint="eastAsia"/>
                <w:color w:val="auto"/>
                <w:highlight w:val="none"/>
              </w:rPr>
              <w:t>。项目建设不会对周围大气环境产生明显不利影响。</w:t>
            </w:r>
          </w:p>
          <w:p w14:paraId="03A35118">
            <w:pPr>
              <w:pStyle w:val="119"/>
              <w:rPr>
                <w:color w:val="auto"/>
                <w:highlight w:val="none"/>
              </w:rPr>
            </w:pPr>
            <w:r>
              <w:rPr>
                <w:rFonts w:hint="eastAsia"/>
                <w:color w:val="auto"/>
                <w:highlight w:val="none"/>
              </w:rPr>
              <w:t>1</w:t>
            </w:r>
            <w:r>
              <w:rPr>
                <w:color w:val="auto"/>
                <w:highlight w:val="none"/>
              </w:rPr>
              <w:t>.</w:t>
            </w:r>
            <w:r>
              <w:rPr>
                <w:rFonts w:hint="eastAsia"/>
                <w:color w:val="auto"/>
                <w:highlight w:val="none"/>
              </w:rPr>
              <w:t>9监测计划</w:t>
            </w:r>
          </w:p>
          <w:p w14:paraId="182A327D">
            <w:pPr>
              <w:pStyle w:val="116"/>
              <w:ind w:firstLine="420"/>
              <w:rPr>
                <w:color w:val="auto"/>
                <w:highlight w:val="none"/>
              </w:rPr>
            </w:pPr>
            <w:r>
              <w:rPr>
                <w:rFonts w:hint="eastAsia"/>
                <w:color w:val="auto"/>
                <w:highlight w:val="none"/>
              </w:rPr>
              <w:t>根据《排污单位自行监测技术指南 总则》（HJ819-2017）、《排污许可证申请与核发技术规范 钢铁工业》（HJ846-2017）、《排污单位自行监测技术指南 钢铁工业及炼焦化学工业》（HJ878-2017）</w:t>
            </w:r>
            <w:r>
              <w:rPr>
                <w:rFonts w:hint="default" w:ascii="Times New Roman" w:hAnsi="Times New Roman" w:eastAsia="Calibri" w:cs="Times New Roman"/>
                <w:color w:val="auto"/>
                <w:sz w:val="24"/>
                <w:szCs w:val="24"/>
                <w:highlight w:val="none"/>
                <w:lang w:val="en-US" w:eastAsia="zh-CN"/>
              </w:rPr>
              <w:t>、</w:t>
            </w:r>
            <w:r>
              <w:rPr>
                <w:rFonts w:hint="default" w:ascii="Times New Roman" w:hAnsi="Times New Roman" w:eastAsia="宋体" w:cs="Times New Roman"/>
                <w:color w:val="auto"/>
                <w:highlight w:val="none"/>
                <w:lang w:val="en-US" w:eastAsia="zh-CN"/>
              </w:rPr>
              <w:t>《排污许可证申请与核发技术规范 工业炉窑》（HJ1121－2020）</w:t>
            </w:r>
            <w:r>
              <w:rPr>
                <w:rFonts w:hint="eastAsia" w:ascii="Times New Roman" w:hAnsi="Times New Roman" w:eastAsia="宋体" w:cs="Times New Roman"/>
                <w:color w:val="auto"/>
                <w:highlight w:val="none"/>
              </w:rPr>
              <w:t>，</w:t>
            </w:r>
            <w:r>
              <w:rPr>
                <w:rFonts w:hint="eastAsia"/>
                <w:color w:val="auto"/>
                <w:highlight w:val="none"/>
              </w:rPr>
              <w:t>结合本项目特征和污染物排放情况，依据国家颁发的环境质量标准，污染物排放标准及地方环保部门的要求，制定本项目的监测计划，见下表。</w:t>
            </w:r>
          </w:p>
          <w:p w14:paraId="06A1E745">
            <w:pPr>
              <w:pStyle w:val="10"/>
              <w:rPr>
                <w:bCs/>
                <w:color w:val="auto"/>
                <w:highlight w:val="none"/>
              </w:rPr>
            </w:pPr>
            <w:bookmarkStart w:id="27" w:name="_Ref131411824"/>
            <w:r>
              <w:rPr>
                <w:rFonts w:hint="eastAsia"/>
                <w:color w:val="auto"/>
                <w:highlight w:val="none"/>
              </w:rPr>
              <w:t>表4</w:t>
            </w:r>
            <w:r>
              <w:rPr>
                <w:rFonts w:hint="eastAsia"/>
                <w:color w:val="auto"/>
                <w:highlight w:val="none"/>
                <w:lang w:eastAsia="zh-CN"/>
              </w:rPr>
              <w:t>-</w:t>
            </w:r>
            <w:r>
              <w:rPr>
                <w:color w:val="auto"/>
                <w:highlight w:val="none"/>
              </w:rPr>
              <w:fldChar w:fldCharType="begin"/>
            </w:r>
            <w:r>
              <w:rPr>
                <w:color w:val="auto"/>
                <w:highlight w:val="none"/>
              </w:rPr>
              <w:instrText xml:space="preserve"> </w:instrText>
            </w:r>
            <w:r>
              <w:rPr>
                <w:rFonts w:hint="eastAsia"/>
                <w:color w:val="auto"/>
                <w:highlight w:val="none"/>
              </w:rPr>
              <w:instrText xml:space="preserve">SEQ 表4- \* ARABIC</w:instrText>
            </w:r>
            <w:r>
              <w:rPr>
                <w:color w:val="auto"/>
                <w:highlight w:val="none"/>
              </w:rPr>
              <w:instrText xml:space="preserve"> </w:instrText>
            </w:r>
            <w:r>
              <w:rPr>
                <w:color w:val="auto"/>
                <w:highlight w:val="none"/>
              </w:rPr>
              <w:fldChar w:fldCharType="separate"/>
            </w:r>
            <w:r>
              <w:rPr>
                <w:color w:val="auto"/>
                <w:highlight w:val="none"/>
              </w:rPr>
              <w:t>1</w:t>
            </w:r>
            <w:r>
              <w:rPr>
                <w:rFonts w:hint="eastAsia"/>
                <w:color w:val="auto"/>
                <w:highlight w:val="none"/>
                <w:lang w:val="en-US" w:eastAsia="zh-CN"/>
              </w:rPr>
              <w:t>1</w:t>
            </w:r>
            <w:r>
              <w:rPr>
                <w:color w:val="auto"/>
                <w:highlight w:val="none"/>
              </w:rPr>
              <w:fldChar w:fldCharType="end"/>
            </w:r>
            <w:bookmarkEnd w:id="27"/>
            <w:r>
              <w:rPr>
                <w:rFonts w:hint="eastAsia"/>
                <w:bCs/>
                <w:color w:val="auto"/>
                <w:highlight w:val="none"/>
              </w:rPr>
              <w:t>本项目废气监测计划一览表</w:t>
            </w:r>
          </w:p>
          <w:tbl>
            <w:tblPr>
              <w:tblStyle w:val="3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4"/>
              <w:gridCol w:w="880"/>
              <w:gridCol w:w="1813"/>
              <w:gridCol w:w="2186"/>
              <w:gridCol w:w="1407"/>
              <w:gridCol w:w="1098"/>
            </w:tblGrid>
            <w:tr w14:paraId="233A27A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401" w:type="pct"/>
                  <w:vAlign w:val="center"/>
                </w:tcPr>
                <w:p w14:paraId="2DA44EE0">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序号</w:t>
                  </w:r>
                </w:p>
              </w:tc>
              <w:tc>
                <w:tcPr>
                  <w:tcW w:w="548" w:type="pct"/>
                  <w:vAlign w:val="center"/>
                </w:tcPr>
                <w:p w14:paraId="20A21D6D">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类别</w:t>
                  </w:r>
                </w:p>
              </w:tc>
              <w:tc>
                <w:tcPr>
                  <w:tcW w:w="1129" w:type="pct"/>
                  <w:vAlign w:val="center"/>
                </w:tcPr>
                <w:p w14:paraId="6B9A7C8C">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监测项目</w:t>
                  </w:r>
                </w:p>
              </w:tc>
              <w:tc>
                <w:tcPr>
                  <w:tcW w:w="1361" w:type="pct"/>
                  <w:vAlign w:val="center"/>
                </w:tcPr>
                <w:p w14:paraId="44CB896F">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监测点位</w:t>
                  </w:r>
                </w:p>
              </w:tc>
              <w:tc>
                <w:tcPr>
                  <w:tcW w:w="876" w:type="pct"/>
                  <w:vAlign w:val="center"/>
                </w:tcPr>
                <w:p w14:paraId="21225314">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监测因子</w:t>
                  </w:r>
                </w:p>
              </w:tc>
              <w:tc>
                <w:tcPr>
                  <w:tcW w:w="683" w:type="pct"/>
                  <w:vAlign w:val="center"/>
                </w:tcPr>
                <w:p w14:paraId="4191027F">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监测频次</w:t>
                  </w:r>
                </w:p>
              </w:tc>
            </w:tr>
            <w:tr w14:paraId="0F2D5DB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401" w:type="pct"/>
                  <w:vAlign w:val="center"/>
                </w:tcPr>
                <w:p w14:paraId="52F50419">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1</w:t>
                  </w:r>
                </w:p>
              </w:tc>
              <w:tc>
                <w:tcPr>
                  <w:tcW w:w="548" w:type="pct"/>
                  <w:vMerge w:val="restart"/>
                  <w:vAlign w:val="center"/>
                </w:tcPr>
                <w:p w14:paraId="4BD598B0">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有组织</w:t>
                  </w:r>
                </w:p>
              </w:tc>
              <w:tc>
                <w:tcPr>
                  <w:tcW w:w="1129" w:type="pct"/>
                  <w:vAlign w:val="center"/>
                </w:tcPr>
                <w:p w14:paraId="61BD85AD">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重型车间抛丸工序</w:t>
                  </w:r>
                </w:p>
              </w:tc>
              <w:tc>
                <w:tcPr>
                  <w:tcW w:w="1361" w:type="pct"/>
                  <w:vAlign w:val="center"/>
                </w:tcPr>
                <w:p w14:paraId="0E991B34">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DA004采样孔</w:t>
                  </w:r>
                </w:p>
              </w:tc>
              <w:tc>
                <w:tcPr>
                  <w:tcW w:w="876" w:type="pct"/>
                  <w:vAlign w:val="center"/>
                </w:tcPr>
                <w:p w14:paraId="4BCE9C91">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颗粒物</w:t>
                  </w:r>
                </w:p>
              </w:tc>
              <w:tc>
                <w:tcPr>
                  <w:tcW w:w="683" w:type="pct"/>
                  <w:vAlign w:val="center"/>
                </w:tcPr>
                <w:p w14:paraId="08D064C1">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1次/年</w:t>
                  </w:r>
                </w:p>
              </w:tc>
            </w:tr>
            <w:tr w14:paraId="0BF291D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01" w:type="pct"/>
                  <w:vAlign w:val="center"/>
                </w:tcPr>
                <w:p w14:paraId="14633C4D">
                  <w:pPr>
                    <w:adjustRightInd w:val="0"/>
                    <w:snapToGrid w:val="0"/>
                    <w:jc w:val="center"/>
                    <w:rPr>
                      <w:rFonts w:hint="eastAsia" w:eastAsia="宋体" w:cs="宋体"/>
                      <w:bCs/>
                      <w:color w:val="auto"/>
                      <w:spacing w:val="-10"/>
                      <w:szCs w:val="21"/>
                      <w:highlight w:val="none"/>
                      <w:lang w:val="en-US" w:eastAsia="zh-CN"/>
                    </w:rPr>
                  </w:pPr>
                  <w:r>
                    <w:rPr>
                      <w:rFonts w:hint="eastAsia" w:cs="宋体"/>
                      <w:bCs/>
                      <w:color w:val="auto"/>
                      <w:spacing w:val="-10"/>
                      <w:szCs w:val="21"/>
                      <w:highlight w:val="none"/>
                      <w:lang w:val="en-US" w:eastAsia="zh-CN"/>
                    </w:rPr>
                    <w:t>2</w:t>
                  </w:r>
                </w:p>
              </w:tc>
              <w:tc>
                <w:tcPr>
                  <w:tcW w:w="548" w:type="pct"/>
                  <w:vMerge w:val="continue"/>
                  <w:vAlign w:val="center"/>
                </w:tcPr>
                <w:p w14:paraId="4F4054A4">
                  <w:pPr>
                    <w:adjustRightInd w:val="0"/>
                    <w:snapToGrid w:val="0"/>
                    <w:jc w:val="center"/>
                    <w:rPr>
                      <w:rFonts w:hint="eastAsia" w:cs="宋体"/>
                      <w:bCs/>
                      <w:color w:val="auto"/>
                      <w:spacing w:val="-10"/>
                      <w:szCs w:val="21"/>
                      <w:highlight w:val="none"/>
                    </w:rPr>
                  </w:pPr>
                </w:p>
              </w:tc>
              <w:tc>
                <w:tcPr>
                  <w:tcW w:w="1129" w:type="pct"/>
                  <w:vAlign w:val="center"/>
                </w:tcPr>
                <w:p w14:paraId="7F05C67B">
                  <w:pPr>
                    <w:adjustRightInd w:val="0"/>
                    <w:snapToGrid w:val="0"/>
                    <w:jc w:val="center"/>
                    <w:rPr>
                      <w:rFonts w:hint="eastAsia" w:eastAsia="宋体" w:cs="宋体"/>
                      <w:bCs/>
                      <w:color w:val="auto"/>
                      <w:spacing w:val="-10"/>
                      <w:szCs w:val="21"/>
                      <w:highlight w:val="none"/>
                      <w:lang w:val="en-US" w:eastAsia="zh-CN"/>
                    </w:rPr>
                  </w:pPr>
                  <w:r>
                    <w:rPr>
                      <w:rFonts w:hint="eastAsia" w:cs="宋体"/>
                      <w:bCs/>
                      <w:color w:val="auto"/>
                      <w:spacing w:val="-10"/>
                      <w:szCs w:val="21"/>
                      <w:highlight w:val="none"/>
                      <w:lang w:val="en-US" w:eastAsia="zh-CN"/>
                    </w:rPr>
                    <w:t>燃气炉</w:t>
                  </w:r>
                </w:p>
              </w:tc>
              <w:tc>
                <w:tcPr>
                  <w:tcW w:w="1361" w:type="pct"/>
                  <w:vAlign w:val="center"/>
                </w:tcPr>
                <w:p w14:paraId="00368631">
                  <w:pPr>
                    <w:adjustRightInd w:val="0"/>
                    <w:snapToGrid w:val="0"/>
                    <w:jc w:val="center"/>
                    <w:rPr>
                      <w:rFonts w:hint="eastAsia" w:cs="宋体"/>
                      <w:bCs/>
                      <w:color w:val="auto"/>
                      <w:spacing w:val="-10"/>
                      <w:szCs w:val="21"/>
                      <w:highlight w:val="none"/>
                    </w:rPr>
                  </w:pPr>
                  <w:r>
                    <w:rPr>
                      <w:rFonts w:hint="eastAsia" w:cs="宋体"/>
                      <w:bCs/>
                      <w:color w:val="auto"/>
                      <w:spacing w:val="-10"/>
                      <w:szCs w:val="21"/>
                      <w:highlight w:val="none"/>
                    </w:rPr>
                    <w:t>DA00</w:t>
                  </w:r>
                  <w:r>
                    <w:rPr>
                      <w:rFonts w:hint="eastAsia" w:cs="宋体"/>
                      <w:bCs/>
                      <w:color w:val="auto"/>
                      <w:spacing w:val="-10"/>
                      <w:szCs w:val="21"/>
                      <w:highlight w:val="none"/>
                      <w:lang w:val="en-US" w:eastAsia="zh-CN"/>
                    </w:rPr>
                    <w:t>5-</w:t>
                  </w:r>
                  <w:r>
                    <w:rPr>
                      <w:rFonts w:hint="eastAsia" w:cs="宋体"/>
                      <w:bCs/>
                      <w:color w:val="auto"/>
                      <w:spacing w:val="-10"/>
                      <w:szCs w:val="21"/>
                      <w:highlight w:val="none"/>
                    </w:rPr>
                    <w:t>DA00</w:t>
                  </w:r>
                  <w:r>
                    <w:rPr>
                      <w:rFonts w:hint="eastAsia" w:cs="宋体"/>
                      <w:bCs/>
                      <w:color w:val="auto"/>
                      <w:spacing w:val="-10"/>
                      <w:szCs w:val="21"/>
                      <w:highlight w:val="none"/>
                      <w:lang w:val="en-US" w:eastAsia="zh-CN"/>
                    </w:rPr>
                    <w:t>7</w:t>
                  </w:r>
                  <w:r>
                    <w:rPr>
                      <w:rFonts w:hint="eastAsia" w:cs="宋体"/>
                      <w:bCs/>
                      <w:color w:val="auto"/>
                      <w:spacing w:val="-10"/>
                      <w:szCs w:val="21"/>
                      <w:highlight w:val="none"/>
                    </w:rPr>
                    <w:t>采样孔</w:t>
                  </w:r>
                </w:p>
              </w:tc>
              <w:tc>
                <w:tcPr>
                  <w:tcW w:w="876" w:type="pct"/>
                  <w:shd w:val="clear" w:color="auto" w:fill="auto"/>
                  <w:vAlign w:val="center"/>
                </w:tcPr>
                <w:p w14:paraId="1903C129">
                  <w:pPr>
                    <w:keepNext w:val="0"/>
                    <w:keepLines w:val="0"/>
                    <w:suppressLineNumbers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Cs w:val="0"/>
                      <w:color w:val="auto"/>
                      <w:kern w:val="2"/>
                      <w:sz w:val="21"/>
                      <w:szCs w:val="21"/>
                      <w:highlight w:val="none"/>
                      <w:lang w:val="en-US" w:eastAsia="zh-CN" w:bidi="ar-SA"/>
                    </w:rPr>
                  </w:pPr>
                  <w:r>
                    <w:rPr>
                      <w:rFonts w:hint="eastAsia" w:cs="宋体"/>
                      <w:color w:val="auto"/>
                      <w:highlight w:val="none"/>
                    </w:rPr>
                    <w:t>颗粒物</w:t>
                  </w:r>
                  <w:r>
                    <w:rPr>
                      <w:rFonts w:hint="eastAsia" w:cs="宋体"/>
                      <w:color w:val="auto"/>
                      <w:highlight w:val="none"/>
                      <w:lang w:eastAsia="zh-CN"/>
                    </w:rPr>
                    <w:t>、</w:t>
                  </w:r>
                  <w:r>
                    <w:rPr>
                      <w:rFonts w:hint="eastAsia" w:cs="宋体"/>
                      <w:color w:val="auto"/>
                      <w:highlight w:val="none"/>
                    </w:rPr>
                    <w:t>SO</w:t>
                  </w:r>
                  <w:r>
                    <w:rPr>
                      <w:rFonts w:hint="eastAsia" w:cs="宋体"/>
                      <w:color w:val="auto"/>
                      <w:highlight w:val="none"/>
                      <w:vertAlign w:val="subscript"/>
                    </w:rPr>
                    <w:t>2</w:t>
                  </w:r>
                  <w:r>
                    <w:rPr>
                      <w:rFonts w:hint="eastAsia" w:cs="宋体"/>
                      <w:color w:val="auto"/>
                      <w:highlight w:val="none"/>
                      <w:lang w:eastAsia="zh-CN"/>
                    </w:rPr>
                    <w:t>、</w:t>
                  </w:r>
                  <w:r>
                    <w:rPr>
                      <w:rFonts w:hint="eastAsia" w:cs="宋体"/>
                      <w:color w:val="auto"/>
                      <w:highlight w:val="none"/>
                    </w:rPr>
                    <w:t>NOx</w:t>
                  </w:r>
                </w:p>
              </w:tc>
              <w:tc>
                <w:tcPr>
                  <w:tcW w:w="683" w:type="pct"/>
                  <w:vAlign w:val="center"/>
                </w:tcPr>
                <w:p w14:paraId="1A5D930A">
                  <w:pPr>
                    <w:adjustRightInd w:val="0"/>
                    <w:snapToGrid w:val="0"/>
                    <w:jc w:val="center"/>
                    <w:rPr>
                      <w:rFonts w:hint="eastAsia" w:eastAsia="宋体" w:cs="宋体"/>
                      <w:bCs/>
                      <w:color w:val="auto"/>
                      <w:spacing w:val="-10"/>
                      <w:szCs w:val="21"/>
                      <w:highlight w:val="none"/>
                      <w:lang w:eastAsia="zh-CN"/>
                    </w:rPr>
                  </w:pPr>
                  <w:r>
                    <w:rPr>
                      <w:rFonts w:hint="eastAsia" w:cs="宋体"/>
                      <w:bCs/>
                      <w:color w:val="auto"/>
                      <w:spacing w:val="-10"/>
                      <w:szCs w:val="21"/>
                      <w:highlight w:val="none"/>
                    </w:rPr>
                    <w:t>1次/</w:t>
                  </w:r>
                  <w:r>
                    <w:rPr>
                      <w:rFonts w:hint="eastAsia" w:cs="宋体"/>
                      <w:bCs/>
                      <w:color w:val="auto"/>
                      <w:spacing w:val="-10"/>
                      <w:szCs w:val="21"/>
                      <w:highlight w:val="none"/>
                      <w:lang w:val="en-US" w:eastAsia="zh-CN"/>
                    </w:rPr>
                    <w:t>季度</w:t>
                  </w:r>
                </w:p>
              </w:tc>
            </w:tr>
            <w:tr w14:paraId="438E9E1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401" w:type="pct"/>
                  <w:vAlign w:val="center"/>
                </w:tcPr>
                <w:p w14:paraId="299DC133">
                  <w:pPr>
                    <w:adjustRightInd w:val="0"/>
                    <w:snapToGrid w:val="0"/>
                    <w:jc w:val="center"/>
                    <w:rPr>
                      <w:rFonts w:hint="eastAsia" w:eastAsia="宋体" w:cs="宋体"/>
                      <w:bCs/>
                      <w:color w:val="auto"/>
                      <w:spacing w:val="-10"/>
                      <w:szCs w:val="21"/>
                      <w:highlight w:val="none"/>
                      <w:lang w:eastAsia="zh-CN"/>
                    </w:rPr>
                  </w:pPr>
                  <w:r>
                    <w:rPr>
                      <w:rFonts w:hint="eastAsia" w:cs="宋体"/>
                      <w:bCs/>
                      <w:color w:val="auto"/>
                      <w:spacing w:val="-10"/>
                      <w:szCs w:val="21"/>
                      <w:highlight w:val="none"/>
                      <w:lang w:val="en-US" w:eastAsia="zh-CN"/>
                    </w:rPr>
                    <w:t>3</w:t>
                  </w:r>
                </w:p>
              </w:tc>
              <w:tc>
                <w:tcPr>
                  <w:tcW w:w="548" w:type="pct"/>
                  <w:vAlign w:val="center"/>
                </w:tcPr>
                <w:p w14:paraId="0442C580">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无组织</w:t>
                  </w:r>
                </w:p>
              </w:tc>
              <w:tc>
                <w:tcPr>
                  <w:tcW w:w="1129" w:type="pct"/>
                  <w:vAlign w:val="center"/>
                </w:tcPr>
                <w:p w14:paraId="72504CFF">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厂界污染物</w:t>
                  </w:r>
                </w:p>
              </w:tc>
              <w:tc>
                <w:tcPr>
                  <w:tcW w:w="1361" w:type="pct"/>
                  <w:vAlign w:val="center"/>
                </w:tcPr>
                <w:p w14:paraId="7DFE1390">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厂界</w:t>
                  </w:r>
                </w:p>
              </w:tc>
              <w:tc>
                <w:tcPr>
                  <w:tcW w:w="876" w:type="pct"/>
                  <w:vAlign w:val="center"/>
                </w:tcPr>
                <w:p w14:paraId="454419C6">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颗粒物</w:t>
                  </w:r>
                </w:p>
              </w:tc>
              <w:tc>
                <w:tcPr>
                  <w:tcW w:w="683" w:type="pct"/>
                  <w:vAlign w:val="center"/>
                </w:tcPr>
                <w:p w14:paraId="2765014C">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1次/年</w:t>
                  </w:r>
                </w:p>
              </w:tc>
            </w:tr>
          </w:tbl>
          <w:p w14:paraId="0DD5A7DC">
            <w:pPr>
              <w:pStyle w:val="122"/>
              <w:rPr>
                <w:color w:val="auto"/>
              </w:rPr>
            </w:pPr>
            <w:r>
              <w:rPr>
                <w:rFonts w:hint="eastAsia"/>
                <w:color w:val="auto"/>
              </w:rPr>
              <w:t>2、废水</w:t>
            </w:r>
          </w:p>
          <w:p w14:paraId="2CDD1842">
            <w:pPr>
              <w:pStyle w:val="116"/>
              <w:ind w:firstLine="420"/>
              <w:rPr>
                <w:snapToGrid w:val="0"/>
                <w:color w:val="auto"/>
                <w:kern w:val="0"/>
              </w:rPr>
            </w:pPr>
            <w:r>
              <w:rPr>
                <w:rFonts w:hint="eastAsia"/>
                <w:snapToGrid w:val="0"/>
                <w:color w:val="auto"/>
                <w:kern w:val="0"/>
              </w:rPr>
              <w:t>本项目</w:t>
            </w:r>
            <w:r>
              <w:rPr>
                <w:rFonts w:hint="eastAsia"/>
                <w:snapToGrid w:val="0"/>
                <w:color w:val="auto"/>
                <w:kern w:val="0"/>
                <w:lang w:eastAsia="zh-CN"/>
              </w:rPr>
              <w:t>生产用水主要为设备循环冷却用水，生产废水循环使用</w:t>
            </w:r>
            <w:r>
              <w:rPr>
                <w:rFonts w:hint="eastAsia"/>
                <w:snapToGrid w:val="0"/>
                <w:color w:val="auto"/>
                <w:kern w:val="0"/>
              </w:rPr>
              <w:t>，不新增劳动定员，无生活污水产生，因此项目</w:t>
            </w:r>
            <w:r>
              <w:rPr>
                <w:rFonts w:hint="eastAsia"/>
                <w:snapToGrid w:val="0"/>
                <w:color w:val="auto"/>
                <w:kern w:val="0"/>
                <w:lang w:eastAsia="zh-CN"/>
              </w:rPr>
              <w:t>无废水外排</w:t>
            </w:r>
            <w:r>
              <w:rPr>
                <w:rFonts w:hint="eastAsia"/>
                <w:snapToGrid w:val="0"/>
                <w:color w:val="auto"/>
                <w:kern w:val="0"/>
              </w:rPr>
              <w:t>。因此，本项目不会对周围地表水产生不利影响。</w:t>
            </w:r>
          </w:p>
          <w:p w14:paraId="2AF6A1F7">
            <w:pPr>
              <w:pStyle w:val="122"/>
              <w:rPr>
                <w:color w:val="auto"/>
              </w:rPr>
            </w:pPr>
            <w:r>
              <w:rPr>
                <w:rFonts w:hint="eastAsia"/>
                <w:color w:val="auto"/>
              </w:rPr>
              <w:t>3、噪声</w:t>
            </w:r>
          </w:p>
          <w:p w14:paraId="229CBCD1">
            <w:pPr>
              <w:pStyle w:val="116"/>
              <w:ind w:firstLine="420"/>
              <w:rPr>
                <w:rFonts w:cs="宋体"/>
                <w:color w:val="auto"/>
              </w:rPr>
            </w:pPr>
            <w:r>
              <w:rPr>
                <w:rFonts w:hint="eastAsia" w:cs="宋体"/>
                <w:color w:val="auto"/>
              </w:rPr>
              <w:t>本项目噪声主要来源于生产设备运行及风机运转产生的噪声。</w:t>
            </w:r>
          </w:p>
          <w:p w14:paraId="4A014604">
            <w:pPr>
              <w:pStyle w:val="119"/>
              <w:rPr>
                <w:color w:val="auto"/>
              </w:rPr>
            </w:pPr>
            <w:r>
              <w:rPr>
                <w:rFonts w:hint="eastAsia"/>
                <w:color w:val="auto"/>
              </w:rPr>
              <w:t>3.1 评价水平年</w:t>
            </w:r>
          </w:p>
          <w:p w14:paraId="7E49FCC8">
            <w:pPr>
              <w:pStyle w:val="116"/>
              <w:ind w:firstLine="420"/>
              <w:rPr>
                <w:rFonts w:cs="宋体"/>
                <w:color w:val="auto"/>
              </w:rPr>
            </w:pPr>
            <w:r>
              <w:rPr>
                <w:rFonts w:hint="eastAsia" w:cs="宋体"/>
                <w:color w:val="auto"/>
              </w:rPr>
              <w:t xml:space="preserve">根据本项目实施过程中的噪声影响特点，本项目运行期的声源主要为固定声源，因此，将本项目固定声源投产运行年作为评价水平年。 </w:t>
            </w:r>
          </w:p>
          <w:p w14:paraId="32F921C4">
            <w:pPr>
              <w:pStyle w:val="119"/>
              <w:rPr>
                <w:color w:val="auto"/>
              </w:rPr>
            </w:pPr>
            <w:r>
              <w:rPr>
                <w:rFonts w:hint="eastAsia"/>
                <w:color w:val="auto"/>
              </w:rPr>
              <w:t>3.2 噪声源强</w:t>
            </w:r>
          </w:p>
          <w:p w14:paraId="682C0598">
            <w:pPr>
              <w:pStyle w:val="116"/>
              <w:ind w:firstLine="420"/>
              <w:rPr>
                <w:color w:val="auto"/>
                <w:w w:val="90"/>
                <w:kern w:val="0"/>
              </w:rPr>
            </w:pPr>
            <w:r>
              <w:rPr>
                <w:rFonts w:hint="eastAsia" w:cs="宋体"/>
                <w:color w:val="auto"/>
                <w:highlight w:val="none"/>
              </w:rPr>
              <w:t>本项目生产设备及风机运转时噪声源强为</w:t>
            </w:r>
            <w:r>
              <w:rPr>
                <w:rFonts w:hint="eastAsia" w:cs="宋体"/>
                <w:color w:val="auto"/>
                <w:highlight w:val="none"/>
                <w:lang w:val="en-US" w:eastAsia="zh-CN"/>
              </w:rPr>
              <w:t>6</w:t>
            </w:r>
            <w:r>
              <w:rPr>
                <w:rFonts w:hint="eastAsia" w:cs="宋体"/>
                <w:color w:val="auto"/>
                <w:highlight w:val="none"/>
              </w:rPr>
              <w:t>5～</w:t>
            </w:r>
            <w:r>
              <w:rPr>
                <w:rFonts w:hint="eastAsia" w:cs="宋体"/>
                <w:color w:val="auto"/>
                <w:highlight w:val="none"/>
                <w:lang w:val="en-US" w:eastAsia="zh-CN"/>
              </w:rPr>
              <w:t>100</w:t>
            </w:r>
            <w:r>
              <w:rPr>
                <w:rFonts w:hint="eastAsia" w:cs="宋体"/>
                <w:color w:val="auto"/>
                <w:highlight w:val="none"/>
              </w:rPr>
              <w:t>dB（A），本项目声源均位于室内，</w:t>
            </w:r>
            <w:r>
              <w:rPr>
                <w:rFonts w:hint="eastAsia"/>
                <w:color w:val="auto"/>
                <w:highlight w:val="none"/>
              </w:rPr>
              <w:t>车间为钢结构，</w:t>
            </w:r>
            <w:r>
              <w:rPr>
                <w:rFonts w:hint="eastAsia" w:cs="宋体"/>
                <w:color w:val="auto"/>
                <w:highlight w:val="none"/>
              </w:rPr>
              <w:t>项目采取选用低噪设备，采取基础减震、厂房隔声等降噪措施来降低对周围环境的影响，</w:t>
            </w:r>
            <w:r>
              <w:rPr>
                <w:rFonts w:hint="eastAsia"/>
                <w:color w:val="auto"/>
                <w:highlight w:val="none"/>
              </w:rPr>
              <w:t>本评价以项目厂区西南角作为坐标原点，</w:t>
            </w:r>
            <w:r>
              <w:rPr>
                <w:rFonts w:hint="eastAsia" w:cs="宋体"/>
                <w:color w:val="auto"/>
                <w:highlight w:val="none"/>
              </w:rPr>
              <w:t>本项目主要室内噪声源、源强及防治措施见</w:t>
            </w:r>
            <w:r>
              <w:rPr>
                <w:rFonts w:hint="eastAsia"/>
                <w:color w:val="auto"/>
                <w:highlight w:val="none"/>
              </w:rPr>
              <w:t>下表</w:t>
            </w:r>
            <w:r>
              <w:rPr>
                <w:rFonts w:hint="eastAsia" w:cs="宋体"/>
                <w:color w:val="auto"/>
                <w:highlight w:val="none"/>
              </w:rPr>
              <w:t>。</w:t>
            </w:r>
          </w:p>
        </w:tc>
      </w:tr>
    </w:tbl>
    <w:p w14:paraId="1E67B4EA">
      <w:pPr>
        <w:rPr>
          <w:color w:val="auto"/>
        </w:rPr>
        <w:sectPr>
          <w:pgSz w:w="11907" w:h="16840"/>
          <w:pgMar w:top="1701" w:right="1531" w:bottom="1701" w:left="1531" w:header="851" w:footer="851" w:gutter="0"/>
          <w:cols w:space="720" w:num="1"/>
          <w:docGrid w:linePitch="312" w:charSpace="0"/>
        </w:sectPr>
      </w:pPr>
    </w:p>
    <w:tbl>
      <w:tblPr>
        <w:tblStyle w:val="34"/>
        <w:tblW w:w="14325" w:type="dxa"/>
        <w:tblInd w:w="-5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9"/>
        <w:gridCol w:w="13626"/>
      </w:tblGrid>
      <w:tr w14:paraId="2413C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1" w:hRule="atLeast"/>
        </w:trPr>
        <w:tc>
          <w:tcPr>
            <w:tcW w:w="699" w:type="dxa"/>
            <w:noWrap w:val="0"/>
            <w:vAlign w:val="center"/>
          </w:tcPr>
          <w:p w14:paraId="7E865A48">
            <w:pPr>
              <w:adjustRightInd w:val="0"/>
              <w:snapToGrid w:val="0"/>
              <w:spacing w:line="240" w:lineRule="auto"/>
              <w:jc w:val="center"/>
              <w:rPr>
                <w:rFonts w:hint="eastAsia" w:ascii="Times New Roman" w:hAnsi="Times New Roman" w:cs="宋体"/>
                <w:bCs/>
                <w:color w:val="auto"/>
                <w:sz w:val="21"/>
                <w:szCs w:val="21"/>
                <w:highlight w:val="none"/>
              </w:rPr>
            </w:pPr>
            <w:r>
              <w:rPr>
                <w:rFonts w:hint="eastAsia" w:ascii="Times New Roman" w:hAnsi="Times New Roman" w:cs="宋体"/>
                <w:bCs/>
                <w:color w:val="auto"/>
                <w:sz w:val="21"/>
                <w:szCs w:val="21"/>
                <w:highlight w:val="none"/>
              </w:rPr>
              <w:t>运营</w:t>
            </w:r>
          </w:p>
          <w:p w14:paraId="1ADE2E81">
            <w:pPr>
              <w:adjustRightInd w:val="0"/>
              <w:snapToGrid w:val="0"/>
              <w:spacing w:line="240" w:lineRule="auto"/>
              <w:jc w:val="center"/>
              <w:rPr>
                <w:rFonts w:hint="eastAsia" w:ascii="Times New Roman" w:hAnsi="Times New Roman" w:cs="宋体"/>
                <w:bCs/>
                <w:color w:val="auto"/>
                <w:sz w:val="21"/>
                <w:szCs w:val="21"/>
                <w:highlight w:val="none"/>
              </w:rPr>
            </w:pPr>
            <w:r>
              <w:rPr>
                <w:rFonts w:hint="eastAsia" w:ascii="Times New Roman" w:hAnsi="Times New Roman" w:cs="宋体"/>
                <w:bCs/>
                <w:color w:val="auto"/>
                <w:sz w:val="21"/>
                <w:szCs w:val="21"/>
                <w:highlight w:val="none"/>
              </w:rPr>
              <w:t>期环</w:t>
            </w:r>
          </w:p>
          <w:p w14:paraId="3ED689B8">
            <w:pPr>
              <w:adjustRightInd w:val="0"/>
              <w:snapToGrid w:val="0"/>
              <w:spacing w:line="240" w:lineRule="auto"/>
              <w:jc w:val="center"/>
              <w:rPr>
                <w:rFonts w:hint="eastAsia" w:ascii="Times New Roman" w:hAnsi="Times New Roman" w:cs="宋体"/>
                <w:bCs/>
                <w:color w:val="auto"/>
                <w:sz w:val="21"/>
                <w:szCs w:val="21"/>
                <w:highlight w:val="none"/>
              </w:rPr>
            </w:pPr>
            <w:r>
              <w:rPr>
                <w:rFonts w:hint="eastAsia" w:ascii="Times New Roman" w:hAnsi="Times New Roman" w:cs="宋体"/>
                <w:bCs/>
                <w:color w:val="auto"/>
                <w:sz w:val="21"/>
                <w:szCs w:val="21"/>
                <w:highlight w:val="none"/>
              </w:rPr>
              <w:t>境影</w:t>
            </w:r>
          </w:p>
          <w:p w14:paraId="3AD43EA8">
            <w:pPr>
              <w:adjustRightInd w:val="0"/>
              <w:snapToGrid w:val="0"/>
              <w:spacing w:line="240" w:lineRule="auto"/>
              <w:jc w:val="center"/>
              <w:rPr>
                <w:rFonts w:hint="eastAsia" w:ascii="Times New Roman" w:hAnsi="Times New Roman" w:cs="宋体"/>
                <w:bCs/>
                <w:color w:val="auto"/>
                <w:sz w:val="21"/>
                <w:szCs w:val="21"/>
                <w:highlight w:val="none"/>
              </w:rPr>
            </w:pPr>
            <w:r>
              <w:rPr>
                <w:rFonts w:hint="eastAsia" w:ascii="Times New Roman" w:hAnsi="Times New Roman" w:cs="宋体"/>
                <w:bCs/>
                <w:color w:val="auto"/>
                <w:sz w:val="21"/>
                <w:szCs w:val="21"/>
                <w:highlight w:val="none"/>
              </w:rPr>
              <w:t>响和</w:t>
            </w:r>
          </w:p>
          <w:p w14:paraId="3A01FF36">
            <w:pPr>
              <w:adjustRightInd w:val="0"/>
              <w:snapToGrid w:val="0"/>
              <w:spacing w:line="240" w:lineRule="auto"/>
              <w:jc w:val="center"/>
              <w:rPr>
                <w:rFonts w:hint="eastAsia" w:ascii="Times New Roman" w:hAnsi="Times New Roman" w:cs="宋体"/>
                <w:bCs/>
                <w:color w:val="auto"/>
                <w:sz w:val="21"/>
                <w:szCs w:val="21"/>
                <w:highlight w:val="none"/>
              </w:rPr>
            </w:pPr>
            <w:r>
              <w:rPr>
                <w:rFonts w:hint="eastAsia" w:ascii="Times New Roman" w:hAnsi="Times New Roman" w:cs="宋体"/>
                <w:bCs/>
                <w:color w:val="auto"/>
                <w:sz w:val="21"/>
                <w:szCs w:val="21"/>
                <w:highlight w:val="none"/>
              </w:rPr>
              <w:t>保护</w:t>
            </w:r>
          </w:p>
          <w:p w14:paraId="41127E02">
            <w:pPr>
              <w:spacing w:line="360" w:lineRule="auto"/>
              <w:jc w:val="center"/>
              <w:rPr>
                <w:rFonts w:ascii="Times New Roman" w:hAnsi="Times New Roman" w:cs="Times New Roman"/>
                <w:b/>
                <w:bCs/>
                <w:color w:val="auto"/>
                <w:sz w:val="24"/>
                <w:szCs w:val="24"/>
                <w:highlight w:val="cyan"/>
                <w:vertAlign w:val="baseline"/>
              </w:rPr>
            </w:pPr>
            <w:r>
              <w:rPr>
                <w:rFonts w:hint="eastAsia" w:ascii="Times New Roman" w:hAnsi="Times New Roman" w:cs="宋体"/>
                <w:bCs/>
                <w:color w:val="auto"/>
                <w:sz w:val="21"/>
                <w:szCs w:val="21"/>
                <w:highlight w:val="none"/>
              </w:rPr>
              <w:t>措施</w:t>
            </w:r>
          </w:p>
        </w:tc>
        <w:tc>
          <w:tcPr>
            <w:tcW w:w="13626" w:type="dxa"/>
            <w:noWrap w:val="0"/>
            <w:vAlign w:val="top"/>
          </w:tcPr>
          <w:p w14:paraId="511DD9EA">
            <w:pPr>
              <w:suppressAutoHyphens/>
              <w:topLinePunct/>
              <w:spacing w:line="240" w:lineRule="auto"/>
              <w:ind w:firstLine="420" w:firstLineChars="200"/>
              <w:jc w:val="center"/>
              <w:rPr>
                <w:b w:val="0"/>
                <w:bCs/>
                <w:snapToGrid w:val="0"/>
                <w:color w:val="auto"/>
                <w:sz w:val="21"/>
                <w:szCs w:val="21"/>
              </w:rPr>
            </w:pPr>
            <w:r>
              <w:rPr>
                <w:b w:val="0"/>
                <w:bCs/>
                <w:color w:val="auto"/>
                <w:sz w:val="21"/>
                <w:szCs w:val="21"/>
              </w:rPr>
              <w:t>表</w:t>
            </w:r>
            <w:r>
              <w:rPr>
                <w:rFonts w:hint="eastAsia"/>
                <w:b w:val="0"/>
                <w:bCs/>
                <w:color w:val="auto"/>
                <w:sz w:val="21"/>
                <w:szCs w:val="21"/>
              </w:rPr>
              <w:t>4-1</w:t>
            </w:r>
            <w:r>
              <w:rPr>
                <w:rFonts w:hint="eastAsia"/>
                <w:b w:val="0"/>
                <w:bCs/>
                <w:color w:val="auto"/>
                <w:sz w:val="21"/>
                <w:szCs w:val="21"/>
                <w:lang w:val="en-US" w:eastAsia="zh-CN"/>
              </w:rPr>
              <w:t>2</w:t>
            </w:r>
            <w:r>
              <w:rPr>
                <w:rFonts w:hint="eastAsia"/>
                <w:b w:val="0"/>
                <w:bCs/>
                <w:color w:val="auto"/>
                <w:sz w:val="21"/>
                <w:szCs w:val="21"/>
              </w:rPr>
              <w:t xml:space="preserve"> 本项目</w:t>
            </w:r>
            <w:r>
              <w:rPr>
                <w:b w:val="0"/>
                <w:bCs/>
                <w:color w:val="auto"/>
                <w:sz w:val="21"/>
                <w:szCs w:val="21"/>
              </w:rPr>
              <w:t>工业企业噪声源强调查清单（室内声源）</w:t>
            </w:r>
          </w:p>
          <w:tbl>
            <w:tblPr>
              <w:tblStyle w:val="33"/>
              <w:tblW w:w="4991" w:type="pct"/>
              <w:jc w:val="center"/>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747"/>
              <w:gridCol w:w="715"/>
              <w:gridCol w:w="962"/>
              <w:gridCol w:w="796"/>
              <w:gridCol w:w="1093"/>
              <w:gridCol w:w="1166"/>
              <w:gridCol w:w="794"/>
              <w:gridCol w:w="794"/>
              <w:gridCol w:w="676"/>
              <w:gridCol w:w="912"/>
              <w:gridCol w:w="1110"/>
              <w:gridCol w:w="668"/>
              <w:gridCol w:w="1003"/>
              <w:gridCol w:w="893"/>
              <w:gridCol w:w="1057"/>
            </w:tblGrid>
            <w:tr w14:paraId="55F2576D">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9" w:hRule="atLeast"/>
                <w:jc w:val="center"/>
              </w:trPr>
              <w:tc>
                <w:tcPr>
                  <w:tcW w:w="281" w:type="pct"/>
                  <w:vMerge w:val="restart"/>
                  <w:noWrap w:val="0"/>
                  <w:vAlign w:val="center"/>
                </w:tcPr>
                <w:p w14:paraId="05EFACC6">
                  <w:pPr>
                    <w:widowControl/>
                    <w:spacing w:line="240" w:lineRule="auto"/>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269" w:type="pct"/>
                  <w:vMerge w:val="restart"/>
                  <w:noWrap w:val="0"/>
                  <w:vAlign w:val="center"/>
                </w:tcPr>
                <w:p w14:paraId="36D28E4A">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生产线</w:t>
                  </w:r>
                  <w:r>
                    <w:rPr>
                      <w:rFonts w:hint="default" w:ascii="Times New Roman" w:hAnsi="Times New Roman" w:eastAsia="宋体" w:cs="Times New Roman"/>
                      <w:color w:val="auto"/>
                      <w:sz w:val="21"/>
                      <w:szCs w:val="21"/>
                      <w:highlight w:val="none"/>
                    </w:rPr>
                    <w:t>名称</w:t>
                  </w:r>
                </w:p>
              </w:tc>
              <w:tc>
                <w:tcPr>
                  <w:tcW w:w="361" w:type="pct"/>
                  <w:vMerge w:val="restart"/>
                  <w:noWrap w:val="0"/>
                  <w:vAlign w:val="center"/>
                </w:tcPr>
                <w:p w14:paraId="21222847">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声源名称</w:t>
                  </w:r>
                </w:p>
              </w:tc>
              <w:tc>
                <w:tcPr>
                  <w:tcW w:w="299" w:type="pct"/>
                  <w:vMerge w:val="restart"/>
                  <w:noWrap w:val="0"/>
                  <w:vAlign w:val="center"/>
                </w:tcPr>
                <w:p w14:paraId="0CC20D19">
                  <w:pPr>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数量</w:t>
                  </w:r>
                </w:p>
              </w:tc>
              <w:tc>
                <w:tcPr>
                  <w:tcW w:w="410" w:type="pct"/>
                  <w:vMerge w:val="restart"/>
                  <w:noWrap w:val="0"/>
                  <w:vAlign w:val="center"/>
                </w:tcPr>
                <w:p w14:paraId="6C986385">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snapToGrid/>
                      <w:color w:val="auto"/>
                      <w:sz w:val="21"/>
                      <w:szCs w:val="21"/>
                      <w:highlight w:val="none"/>
                    </w:rPr>
                    <w:t>声压级/距声源距离dB(A)/m</w:t>
                  </w:r>
                </w:p>
              </w:tc>
              <w:tc>
                <w:tcPr>
                  <w:tcW w:w="437" w:type="pct"/>
                  <w:vMerge w:val="restart"/>
                  <w:noWrap w:val="0"/>
                  <w:vAlign w:val="center"/>
                </w:tcPr>
                <w:p w14:paraId="6994DDED">
                  <w:pPr>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声源控制措施</w:t>
                  </w:r>
                </w:p>
              </w:tc>
              <w:tc>
                <w:tcPr>
                  <w:tcW w:w="820" w:type="pct"/>
                  <w:gridSpan w:val="3"/>
                  <w:noWrap w:val="0"/>
                  <w:vAlign w:val="center"/>
                </w:tcPr>
                <w:p w14:paraId="55206D6C">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空间相对位置/m</w:t>
                  </w:r>
                </w:p>
              </w:tc>
              <w:tc>
                <w:tcPr>
                  <w:tcW w:w="342" w:type="pct"/>
                  <w:vMerge w:val="restart"/>
                  <w:noWrap w:val="0"/>
                  <w:vAlign w:val="center"/>
                </w:tcPr>
                <w:p w14:paraId="6EFDF3AA">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距室内边界距离/m</w:t>
                  </w:r>
                </w:p>
              </w:tc>
              <w:tc>
                <w:tcPr>
                  <w:tcW w:w="416" w:type="pct"/>
                  <w:vMerge w:val="restart"/>
                  <w:noWrap w:val="0"/>
                  <w:vAlign w:val="center"/>
                </w:tcPr>
                <w:p w14:paraId="5F3ECE6E">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室内边界声级/dB（A）</w:t>
                  </w:r>
                </w:p>
              </w:tc>
              <w:tc>
                <w:tcPr>
                  <w:tcW w:w="251" w:type="pct"/>
                  <w:vMerge w:val="restart"/>
                  <w:noWrap w:val="0"/>
                  <w:vAlign w:val="center"/>
                </w:tcPr>
                <w:p w14:paraId="27CEF485">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运行时段</w:t>
                  </w:r>
                </w:p>
              </w:tc>
              <w:tc>
                <w:tcPr>
                  <w:tcW w:w="376" w:type="pct"/>
                  <w:vMerge w:val="restart"/>
                  <w:noWrap w:val="0"/>
                  <w:vAlign w:val="center"/>
                </w:tcPr>
                <w:p w14:paraId="6FCC10C2">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建筑物插入损失/dB（A）</w:t>
                  </w:r>
                </w:p>
              </w:tc>
              <w:tc>
                <w:tcPr>
                  <w:tcW w:w="731" w:type="pct"/>
                  <w:gridSpan w:val="2"/>
                  <w:noWrap w:val="0"/>
                  <w:vAlign w:val="center"/>
                </w:tcPr>
                <w:p w14:paraId="681FD9D7">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建筑物外噪声</w:t>
                  </w:r>
                </w:p>
              </w:tc>
            </w:tr>
            <w:tr w14:paraId="384E6096">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77" w:hRule="atLeast"/>
                <w:jc w:val="center"/>
              </w:trPr>
              <w:tc>
                <w:tcPr>
                  <w:tcW w:w="281" w:type="pct"/>
                  <w:vMerge w:val="continue"/>
                  <w:noWrap w:val="0"/>
                  <w:vAlign w:val="center"/>
                </w:tcPr>
                <w:p w14:paraId="17281DB2">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538972D3">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5EB6981C">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18F39AD7">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3D75AFAD">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7F301474">
                  <w:pPr>
                    <w:spacing w:line="240" w:lineRule="auto"/>
                    <w:jc w:val="center"/>
                    <w:rPr>
                      <w:rFonts w:hint="default" w:ascii="Times New Roman" w:hAnsi="Times New Roman" w:eastAsia="宋体" w:cs="Times New Roman"/>
                      <w:color w:val="auto"/>
                      <w:sz w:val="21"/>
                      <w:szCs w:val="21"/>
                      <w:highlight w:val="none"/>
                    </w:rPr>
                  </w:pPr>
                </w:p>
              </w:tc>
              <w:tc>
                <w:tcPr>
                  <w:tcW w:w="283" w:type="pct"/>
                  <w:noWrap w:val="0"/>
                  <w:vAlign w:val="center"/>
                </w:tcPr>
                <w:p w14:paraId="33A50AF6">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X</w:t>
                  </w:r>
                </w:p>
              </w:tc>
              <w:tc>
                <w:tcPr>
                  <w:tcW w:w="283" w:type="pct"/>
                  <w:noWrap w:val="0"/>
                  <w:vAlign w:val="center"/>
                </w:tcPr>
                <w:p w14:paraId="20D9DB29">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Y</w:t>
                  </w:r>
                </w:p>
              </w:tc>
              <w:tc>
                <w:tcPr>
                  <w:tcW w:w="254" w:type="pct"/>
                  <w:noWrap w:val="0"/>
                  <w:vAlign w:val="center"/>
                </w:tcPr>
                <w:p w14:paraId="20228885">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Z</w:t>
                  </w:r>
                </w:p>
              </w:tc>
              <w:tc>
                <w:tcPr>
                  <w:tcW w:w="342" w:type="pct"/>
                  <w:vMerge w:val="continue"/>
                  <w:noWrap w:val="0"/>
                  <w:vAlign w:val="center"/>
                </w:tcPr>
                <w:p w14:paraId="1F5190FF">
                  <w:pPr>
                    <w:spacing w:line="240" w:lineRule="auto"/>
                    <w:jc w:val="center"/>
                    <w:rPr>
                      <w:rFonts w:hint="default" w:ascii="Times New Roman" w:hAnsi="Times New Roman" w:eastAsia="宋体" w:cs="Times New Roman"/>
                      <w:color w:val="auto"/>
                      <w:sz w:val="21"/>
                      <w:szCs w:val="21"/>
                      <w:highlight w:val="none"/>
                    </w:rPr>
                  </w:pPr>
                </w:p>
              </w:tc>
              <w:tc>
                <w:tcPr>
                  <w:tcW w:w="416" w:type="pct"/>
                  <w:vMerge w:val="continue"/>
                  <w:noWrap w:val="0"/>
                  <w:vAlign w:val="center"/>
                </w:tcPr>
                <w:p w14:paraId="731E685B">
                  <w:pPr>
                    <w:spacing w:line="240" w:lineRule="auto"/>
                    <w:jc w:val="center"/>
                    <w:rPr>
                      <w:rFonts w:hint="default" w:ascii="Times New Roman" w:hAnsi="Times New Roman" w:eastAsia="宋体" w:cs="Times New Roman"/>
                      <w:color w:val="auto"/>
                      <w:sz w:val="21"/>
                      <w:szCs w:val="21"/>
                      <w:highlight w:val="none"/>
                    </w:rPr>
                  </w:pPr>
                </w:p>
              </w:tc>
              <w:tc>
                <w:tcPr>
                  <w:tcW w:w="251" w:type="pct"/>
                  <w:vMerge w:val="continue"/>
                  <w:noWrap w:val="0"/>
                  <w:vAlign w:val="center"/>
                </w:tcPr>
                <w:p w14:paraId="466AF0D8">
                  <w:pPr>
                    <w:spacing w:line="240" w:lineRule="auto"/>
                    <w:jc w:val="center"/>
                    <w:rPr>
                      <w:rFonts w:hint="default" w:ascii="Times New Roman" w:hAnsi="Times New Roman" w:eastAsia="宋体" w:cs="Times New Roman"/>
                      <w:color w:val="auto"/>
                      <w:sz w:val="21"/>
                      <w:szCs w:val="21"/>
                      <w:highlight w:val="none"/>
                    </w:rPr>
                  </w:pPr>
                </w:p>
              </w:tc>
              <w:tc>
                <w:tcPr>
                  <w:tcW w:w="376" w:type="pct"/>
                  <w:vMerge w:val="continue"/>
                  <w:noWrap w:val="0"/>
                  <w:vAlign w:val="center"/>
                </w:tcPr>
                <w:p w14:paraId="4D516BB1">
                  <w:pPr>
                    <w:spacing w:line="240" w:lineRule="auto"/>
                    <w:jc w:val="center"/>
                    <w:rPr>
                      <w:rFonts w:hint="default" w:ascii="Times New Roman" w:hAnsi="Times New Roman" w:eastAsia="宋体" w:cs="Times New Roman"/>
                      <w:color w:val="auto"/>
                      <w:sz w:val="21"/>
                      <w:szCs w:val="21"/>
                      <w:highlight w:val="none"/>
                    </w:rPr>
                  </w:pPr>
                </w:p>
              </w:tc>
              <w:tc>
                <w:tcPr>
                  <w:tcW w:w="335" w:type="pct"/>
                  <w:noWrap w:val="0"/>
                  <w:vAlign w:val="center"/>
                </w:tcPr>
                <w:p w14:paraId="57E3CB66">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声压级/dB（A）</w:t>
                  </w:r>
                </w:p>
              </w:tc>
              <w:tc>
                <w:tcPr>
                  <w:tcW w:w="396" w:type="pct"/>
                  <w:noWrap w:val="0"/>
                  <w:vAlign w:val="center"/>
                </w:tcPr>
                <w:p w14:paraId="35DB1C7A">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建筑物外距离/m</w:t>
                  </w:r>
                </w:p>
              </w:tc>
            </w:tr>
            <w:tr w14:paraId="0A8A0A23">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6" w:hRule="atLeast"/>
                <w:jc w:val="center"/>
              </w:trPr>
              <w:tc>
                <w:tcPr>
                  <w:tcW w:w="281" w:type="pct"/>
                  <w:vMerge w:val="restart"/>
                  <w:noWrap w:val="0"/>
                  <w:vAlign w:val="center"/>
                </w:tcPr>
                <w:p w14:paraId="1588CBEB">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269" w:type="pct"/>
                  <w:vMerge w:val="restart"/>
                  <w:noWrap w:val="0"/>
                  <w:vAlign w:val="center"/>
                </w:tcPr>
                <w:p w14:paraId="156B039A">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轧制钢球生产线</w:t>
                  </w:r>
                </w:p>
              </w:tc>
              <w:tc>
                <w:tcPr>
                  <w:tcW w:w="361" w:type="pct"/>
                  <w:vMerge w:val="restart"/>
                  <w:noWrap w:val="0"/>
                  <w:vAlign w:val="center"/>
                </w:tcPr>
                <w:p w14:paraId="5322F94E">
                  <w:pPr>
                    <w:pStyle w:val="139"/>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kern w:val="0"/>
                      <w:sz w:val="21"/>
                      <w:szCs w:val="21"/>
                      <w:highlight w:val="none"/>
                    </w:rPr>
                    <w:t>中频加热炉</w:t>
                  </w:r>
                </w:p>
              </w:tc>
              <w:tc>
                <w:tcPr>
                  <w:tcW w:w="299" w:type="pct"/>
                  <w:vMerge w:val="restart"/>
                  <w:noWrap w:val="0"/>
                  <w:vAlign w:val="center"/>
                </w:tcPr>
                <w:p w14:paraId="10EB2BB0">
                  <w:pPr>
                    <w:pStyle w:val="139"/>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rPr>
                    <w:t>1</w:t>
                  </w:r>
                </w:p>
              </w:tc>
              <w:tc>
                <w:tcPr>
                  <w:tcW w:w="410" w:type="pct"/>
                  <w:vMerge w:val="restart"/>
                  <w:noWrap w:val="0"/>
                  <w:vAlign w:val="center"/>
                </w:tcPr>
                <w:p w14:paraId="4B4C7814">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80/1</w:t>
                  </w:r>
                </w:p>
              </w:tc>
              <w:tc>
                <w:tcPr>
                  <w:tcW w:w="437" w:type="pct"/>
                  <w:vMerge w:val="restart"/>
                  <w:noWrap w:val="0"/>
                  <w:vAlign w:val="center"/>
                </w:tcPr>
                <w:p w14:paraId="21BE15C4">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选用低噪设备，采取基础减震、厂房隔声</w:t>
                  </w:r>
                </w:p>
              </w:tc>
              <w:tc>
                <w:tcPr>
                  <w:tcW w:w="283" w:type="pct"/>
                  <w:vMerge w:val="restart"/>
                  <w:noWrap w:val="0"/>
                  <w:vAlign w:val="center"/>
                </w:tcPr>
                <w:p w14:paraId="037DB2A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108.81</w:t>
                  </w:r>
                </w:p>
              </w:tc>
              <w:tc>
                <w:tcPr>
                  <w:tcW w:w="283" w:type="pct"/>
                  <w:vMerge w:val="restart"/>
                  <w:noWrap w:val="0"/>
                  <w:vAlign w:val="center"/>
                </w:tcPr>
                <w:p w14:paraId="3E55949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218.49</w:t>
                  </w:r>
                </w:p>
              </w:tc>
              <w:tc>
                <w:tcPr>
                  <w:tcW w:w="254" w:type="pct"/>
                  <w:vMerge w:val="restart"/>
                  <w:noWrap w:val="0"/>
                  <w:vAlign w:val="center"/>
                </w:tcPr>
                <w:p w14:paraId="7EE417B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c>
                <w:tcPr>
                  <w:tcW w:w="342" w:type="pct"/>
                  <w:noWrap w:val="0"/>
                  <w:vAlign w:val="center"/>
                </w:tcPr>
                <w:p w14:paraId="474EBD2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69.74</w:t>
                  </w:r>
                </w:p>
              </w:tc>
              <w:tc>
                <w:tcPr>
                  <w:tcW w:w="416" w:type="pct"/>
                  <w:noWrap w:val="0"/>
                  <w:vAlign w:val="center"/>
                </w:tcPr>
                <w:p w14:paraId="3E4229A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44.36</w:t>
                  </w:r>
                </w:p>
              </w:tc>
              <w:tc>
                <w:tcPr>
                  <w:tcW w:w="251" w:type="pct"/>
                  <w:vMerge w:val="restart"/>
                  <w:noWrap w:val="0"/>
                  <w:vAlign w:val="center"/>
                </w:tcPr>
                <w:p w14:paraId="6146F260">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昼间、夜间运行</w:t>
                  </w:r>
                </w:p>
              </w:tc>
              <w:tc>
                <w:tcPr>
                  <w:tcW w:w="376" w:type="pct"/>
                  <w:noWrap w:val="0"/>
                  <w:vAlign w:val="center"/>
                </w:tcPr>
                <w:p w14:paraId="5EAD22EE">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7ED4DD69">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24.36</w:t>
                  </w:r>
                </w:p>
              </w:tc>
              <w:tc>
                <w:tcPr>
                  <w:tcW w:w="396" w:type="pct"/>
                  <w:noWrap w:val="0"/>
                  <w:vAlign w:val="center"/>
                </w:tcPr>
                <w:p w14:paraId="358DA943">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2E942F32">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3" w:hRule="atLeast"/>
                <w:jc w:val="center"/>
              </w:trPr>
              <w:tc>
                <w:tcPr>
                  <w:tcW w:w="281" w:type="pct"/>
                  <w:vMerge w:val="continue"/>
                  <w:noWrap w:val="0"/>
                  <w:vAlign w:val="center"/>
                </w:tcPr>
                <w:p w14:paraId="0B8B5599">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37177DB7">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35E9AF9D">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72317D0E">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6FA7DDCB">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6607C677">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319FDF0B">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61D829CA">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77326270">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47B9726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123.33</w:t>
                  </w:r>
                </w:p>
              </w:tc>
              <w:tc>
                <w:tcPr>
                  <w:tcW w:w="416" w:type="pct"/>
                  <w:noWrap w:val="0"/>
                  <w:vAlign w:val="center"/>
                </w:tcPr>
                <w:p w14:paraId="6DD7194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44.18</w:t>
                  </w:r>
                </w:p>
              </w:tc>
              <w:tc>
                <w:tcPr>
                  <w:tcW w:w="251" w:type="pct"/>
                  <w:vMerge w:val="continue"/>
                  <w:noWrap w:val="0"/>
                  <w:vAlign w:val="center"/>
                </w:tcPr>
                <w:p w14:paraId="7D2DB14C">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33F95BA7">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64FC8B93">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24.18</w:t>
                  </w:r>
                </w:p>
              </w:tc>
              <w:tc>
                <w:tcPr>
                  <w:tcW w:w="396" w:type="pct"/>
                  <w:noWrap w:val="0"/>
                  <w:vAlign w:val="center"/>
                </w:tcPr>
                <w:p w14:paraId="1841EF43">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26150D53">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3" w:hRule="atLeast"/>
                <w:jc w:val="center"/>
              </w:trPr>
              <w:tc>
                <w:tcPr>
                  <w:tcW w:w="281" w:type="pct"/>
                  <w:vMerge w:val="continue"/>
                  <w:noWrap w:val="0"/>
                  <w:vAlign w:val="center"/>
                </w:tcPr>
                <w:p w14:paraId="08E6DFBC">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7735617E">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368C3910">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2712C6F2">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1A774A39">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63658C9F">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35328B6E">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0A3D4272">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75074179">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53438BE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33.68</w:t>
                  </w:r>
                </w:p>
              </w:tc>
              <w:tc>
                <w:tcPr>
                  <w:tcW w:w="416" w:type="pct"/>
                  <w:noWrap w:val="0"/>
                  <w:vAlign w:val="center"/>
                </w:tcPr>
                <w:p w14:paraId="30AB02E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45.14</w:t>
                  </w:r>
                </w:p>
              </w:tc>
              <w:tc>
                <w:tcPr>
                  <w:tcW w:w="251" w:type="pct"/>
                  <w:vMerge w:val="continue"/>
                  <w:noWrap w:val="0"/>
                  <w:vAlign w:val="center"/>
                </w:tcPr>
                <w:p w14:paraId="3AC8F6E8">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14CFEB89">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71234F93">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25.14</w:t>
                  </w:r>
                </w:p>
              </w:tc>
              <w:tc>
                <w:tcPr>
                  <w:tcW w:w="396" w:type="pct"/>
                  <w:noWrap w:val="0"/>
                  <w:vAlign w:val="center"/>
                </w:tcPr>
                <w:p w14:paraId="6FE03597">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24302880">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3" w:hRule="atLeast"/>
                <w:jc w:val="center"/>
              </w:trPr>
              <w:tc>
                <w:tcPr>
                  <w:tcW w:w="281" w:type="pct"/>
                  <w:vMerge w:val="continue"/>
                  <w:noWrap w:val="0"/>
                  <w:vAlign w:val="center"/>
                </w:tcPr>
                <w:p w14:paraId="22040B4D">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7734A5AD">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455A5DAF">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6B75C49E">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7DEB8264">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59FB1630">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07ACF68A">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11C66BEF">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0AF43BC5">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362C665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73.29</w:t>
                  </w:r>
                </w:p>
              </w:tc>
              <w:tc>
                <w:tcPr>
                  <w:tcW w:w="416" w:type="pct"/>
                  <w:noWrap w:val="0"/>
                  <w:vAlign w:val="center"/>
                </w:tcPr>
                <w:p w14:paraId="1F4F9E1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44.34</w:t>
                  </w:r>
                </w:p>
              </w:tc>
              <w:tc>
                <w:tcPr>
                  <w:tcW w:w="251" w:type="pct"/>
                  <w:vMerge w:val="continue"/>
                  <w:noWrap w:val="0"/>
                  <w:vAlign w:val="center"/>
                </w:tcPr>
                <w:p w14:paraId="6FC3EA45">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75998F1A">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43A6E84B">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24.34</w:t>
                  </w:r>
                </w:p>
              </w:tc>
              <w:tc>
                <w:tcPr>
                  <w:tcW w:w="396" w:type="pct"/>
                  <w:noWrap w:val="0"/>
                  <w:vAlign w:val="center"/>
                </w:tcPr>
                <w:p w14:paraId="3228E3C3">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0B5E81C6">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1" w:hRule="atLeast"/>
                <w:jc w:val="center"/>
              </w:trPr>
              <w:tc>
                <w:tcPr>
                  <w:tcW w:w="281" w:type="pct"/>
                  <w:vMerge w:val="continue"/>
                  <w:noWrap w:val="0"/>
                  <w:vAlign w:val="center"/>
                </w:tcPr>
                <w:p w14:paraId="5A337304">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7DF66B0A">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24D403B4">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595A6CB6">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36E79A6F">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37C88891">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5BF0B108">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0D9C45D2">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77689F9D">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29076FA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1.75</w:t>
                  </w:r>
                </w:p>
              </w:tc>
              <w:tc>
                <w:tcPr>
                  <w:tcW w:w="416" w:type="pct"/>
                  <w:noWrap w:val="0"/>
                  <w:vAlign w:val="center"/>
                </w:tcPr>
                <w:p w14:paraId="31DFEAF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64.19</w:t>
                  </w:r>
                </w:p>
              </w:tc>
              <w:tc>
                <w:tcPr>
                  <w:tcW w:w="251" w:type="pct"/>
                  <w:vMerge w:val="continue"/>
                  <w:noWrap w:val="0"/>
                  <w:vAlign w:val="center"/>
                </w:tcPr>
                <w:p w14:paraId="2FF17A1C">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2E7DCBCA">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57660B9E">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44.19</w:t>
                  </w:r>
                </w:p>
              </w:tc>
              <w:tc>
                <w:tcPr>
                  <w:tcW w:w="396" w:type="pct"/>
                  <w:noWrap w:val="0"/>
                  <w:vAlign w:val="center"/>
                </w:tcPr>
                <w:p w14:paraId="2EF7F4B1">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603EA442">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4" w:hRule="atLeast"/>
                <w:jc w:val="center"/>
              </w:trPr>
              <w:tc>
                <w:tcPr>
                  <w:tcW w:w="281" w:type="pct"/>
                  <w:vMerge w:val="continue"/>
                  <w:noWrap w:val="0"/>
                  <w:vAlign w:val="center"/>
                </w:tcPr>
                <w:p w14:paraId="54545CC0">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5E90A51D">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2E99ECF7">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7BBA5565">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29B10E75">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15252585">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01B6358B">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010383D5">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65DC8C89">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4B7802E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112.40</w:t>
                  </w:r>
                </w:p>
              </w:tc>
              <w:tc>
                <w:tcPr>
                  <w:tcW w:w="416" w:type="pct"/>
                  <w:noWrap w:val="0"/>
                  <w:vAlign w:val="center"/>
                </w:tcPr>
                <w:p w14:paraId="17CCE81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44.20</w:t>
                  </w:r>
                </w:p>
              </w:tc>
              <w:tc>
                <w:tcPr>
                  <w:tcW w:w="251" w:type="pct"/>
                  <w:vMerge w:val="continue"/>
                  <w:noWrap w:val="0"/>
                  <w:vAlign w:val="center"/>
                </w:tcPr>
                <w:p w14:paraId="58F15357">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4A6775E2">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0B6FFF9B">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24.2</w:t>
                  </w:r>
                </w:p>
              </w:tc>
              <w:tc>
                <w:tcPr>
                  <w:tcW w:w="396" w:type="pct"/>
                  <w:noWrap w:val="0"/>
                  <w:vAlign w:val="center"/>
                </w:tcPr>
                <w:p w14:paraId="32179ABC">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13499C49">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2" w:hRule="atLeast"/>
                <w:jc w:val="center"/>
              </w:trPr>
              <w:tc>
                <w:tcPr>
                  <w:tcW w:w="281" w:type="pct"/>
                  <w:vMerge w:val="restart"/>
                  <w:noWrap w:val="0"/>
                  <w:vAlign w:val="center"/>
                </w:tcPr>
                <w:p w14:paraId="3CFAD407">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269" w:type="pct"/>
                  <w:vMerge w:val="continue"/>
                  <w:noWrap w:val="0"/>
                  <w:vAlign w:val="center"/>
                </w:tcPr>
                <w:p w14:paraId="2BEC00BD">
                  <w:pPr>
                    <w:spacing w:line="240" w:lineRule="auto"/>
                    <w:jc w:val="center"/>
                    <w:rPr>
                      <w:rFonts w:hint="default" w:ascii="Times New Roman" w:hAnsi="Times New Roman" w:eastAsia="宋体" w:cs="Times New Roman"/>
                      <w:color w:val="auto"/>
                      <w:sz w:val="21"/>
                      <w:szCs w:val="21"/>
                      <w:highlight w:val="none"/>
                    </w:rPr>
                  </w:pPr>
                </w:p>
              </w:tc>
              <w:tc>
                <w:tcPr>
                  <w:tcW w:w="361" w:type="pct"/>
                  <w:vMerge w:val="restart"/>
                  <w:noWrap w:val="0"/>
                  <w:vAlign w:val="center"/>
                </w:tcPr>
                <w:p w14:paraId="4033B678">
                  <w:pPr>
                    <w:pStyle w:val="139"/>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kern w:val="0"/>
                      <w:sz w:val="21"/>
                      <w:szCs w:val="21"/>
                      <w:highlight w:val="none"/>
                    </w:rPr>
                    <w:t>轧机组</w:t>
                  </w:r>
                </w:p>
              </w:tc>
              <w:tc>
                <w:tcPr>
                  <w:tcW w:w="299" w:type="pct"/>
                  <w:vMerge w:val="restart"/>
                  <w:noWrap w:val="0"/>
                  <w:vAlign w:val="center"/>
                </w:tcPr>
                <w:p w14:paraId="2AFD1538">
                  <w:pPr>
                    <w:pStyle w:val="139"/>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rPr>
                    <w:t>1</w:t>
                  </w:r>
                </w:p>
              </w:tc>
              <w:tc>
                <w:tcPr>
                  <w:tcW w:w="410" w:type="pct"/>
                  <w:vMerge w:val="restart"/>
                  <w:noWrap w:val="0"/>
                  <w:vAlign w:val="center"/>
                </w:tcPr>
                <w:p w14:paraId="5F9F3785">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95/1</w:t>
                  </w:r>
                </w:p>
              </w:tc>
              <w:tc>
                <w:tcPr>
                  <w:tcW w:w="437" w:type="pct"/>
                  <w:vMerge w:val="continue"/>
                  <w:noWrap w:val="0"/>
                  <w:vAlign w:val="center"/>
                </w:tcPr>
                <w:p w14:paraId="6600A8D5">
                  <w:pPr>
                    <w:spacing w:line="240" w:lineRule="auto"/>
                    <w:jc w:val="center"/>
                    <w:rPr>
                      <w:rFonts w:hint="default" w:ascii="Times New Roman" w:hAnsi="Times New Roman" w:eastAsia="宋体" w:cs="Times New Roman"/>
                      <w:color w:val="auto"/>
                      <w:sz w:val="21"/>
                      <w:szCs w:val="21"/>
                      <w:highlight w:val="none"/>
                    </w:rPr>
                  </w:pPr>
                </w:p>
              </w:tc>
              <w:tc>
                <w:tcPr>
                  <w:tcW w:w="283" w:type="pct"/>
                  <w:vMerge w:val="restart"/>
                  <w:noWrap w:val="0"/>
                  <w:vAlign w:val="center"/>
                </w:tcPr>
                <w:p w14:paraId="43A8177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135.14</w:t>
                  </w:r>
                </w:p>
              </w:tc>
              <w:tc>
                <w:tcPr>
                  <w:tcW w:w="283" w:type="pct"/>
                  <w:vMerge w:val="restart"/>
                  <w:noWrap w:val="0"/>
                  <w:vAlign w:val="center"/>
                </w:tcPr>
                <w:p w14:paraId="70A4FCA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221.78</w:t>
                  </w:r>
                </w:p>
              </w:tc>
              <w:tc>
                <w:tcPr>
                  <w:tcW w:w="254" w:type="pct"/>
                  <w:vMerge w:val="restart"/>
                  <w:noWrap w:val="0"/>
                  <w:vAlign w:val="center"/>
                </w:tcPr>
                <w:p w14:paraId="63D55BC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c>
                <w:tcPr>
                  <w:tcW w:w="342" w:type="pct"/>
                  <w:noWrap w:val="0"/>
                  <w:vAlign w:val="center"/>
                </w:tcPr>
                <w:p w14:paraId="12CA7FD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69.12</w:t>
                  </w:r>
                </w:p>
              </w:tc>
              <w:tc>
                <w:tcPr>
                  <w:tcW w:w="416" w:type="pct"/>
                  <w:noWrap w:val="0"/>
                  <w:vAlign w:val="center"/>
                </w:tcPr>
                <w:p w14:paraId="0841D36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59.37</w:t>
                  </w:r>
                </w:p>
              </w:tc>
              <w:tc>
                <w:tcPr>
                  <w:tcW w:w="251" w:type="pct"/>
                  <w:vMerge w:val="continue"/>
                  <w:noWrap w:val="0"/>
                  <w:vAlign w:val="center"/>
                </w:tcPr>
                <w:p w14:paraId="599890EC">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618D021E">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10A86B67">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39.37</w:t>
                  </w:r>
                </w:p>
              </w:tc>
              <w:tc>
                <w:tcPr>
                  <w:tcW w:w="396" w:type="pct"/>
                  <w:noWrap w:val="0"/>
                  <w:vAlign w:val="center"/>
                </w:tcPr>
                <w:p w14:paraId="3D2229F4">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6C8B6CF2">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81" w:type="pct"/>
                  <w:vMerge w:val="continue"/>
                  <w:noWrap w:val="0"/>
                  <w:vAlign w:val="center"/>
                </w:tcPr>
                <w:p w14:paraId="52A9847D">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1AC3F52D">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4DACA201">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605599FE">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1F1D3759">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10EA57A7">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49A59BEF">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5A9932ED">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75AC1EF8">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0380EC7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149.86</w:t>
                  </w:r>
                </w:p>
              </w:tc>
              <w:tc>
                <w:tcPr>
                  <w:tcW w:w="416" w:type="pct"/>
                  <w:noWrap w:val="0"/>
                  <w:vAlign w:val="center"/>
                </w:tcPr>
                <w:p w14:paraId="097229D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59.15</w:t>
                  </w:r>
                </w:p>
              </w:tc>
              <w:tc>
                <w:tcPr>
                  <w:tcW w:w="251" w:type="pct"/>
                  <w:vMerge w:val="continue"/>
                  <w:noWrap w:val="0"/>
                  <w:vAlign w:val="center"/>
                </w:tcPr>
                <w:p w14:paraId="45C8CAC5">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496219D8">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48060DB8">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39.15</w:t>
                  </w:r>
                </w:p>
              </w:tc>
              <w:tc>
                <w:tcPr>
                  <w:tcW w:w="396" w:type="pct"/>
                  <w:noWrap w:val="0"/>
                  <w:vAlign w:val="center"/>
                </w:tcPr>
                <w:p w14:paraId="3633D0EE">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1B8B93E8">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81" w:type="pct"/>
                  <w:vMerge w:val="continue"/>
                  <w:noWrap w:val="0"/>
                  <w:vAlign w:val="center"/>
                </w:tcPr>
                <w:p w14:paraId="588E352C">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6D874619">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68D271BD">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18164E62">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2257DD5A">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58E4F006">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6A7D4D81">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1A57DB78">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2DB3B64D">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5910262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33.82</w:t>
                  </w:r>
                </w:p>
              </w:tc>
              <w:tc>
                <w:tcPr>
                  <w:tcW w:w="416" w:type="pct"/>
                  <w:noWrap w:val="0"/>
                  <w:vAlign w:val="center"/>
                </w:tcPr>
                <w:p w14:paraId="0138065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60.14</w:t>
                  </w:r>
                </w:p>
              </w:tc>
              <w:tc>
                <w:tcPr>
                  <w:tcW w:w="251" w:type="pct"/>
                  <w:vMerge w:val="continue"/>
                  <w:noWrap w:val="0"/>
                  <w:vAlign w:val="center"/>
                </w:tcPr>
                <w:p w14:paraId="3496B5E5">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074E9AA6">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26610FB9">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40.14</w:t>
                  </w:r>
                </w:p>
              </w:tc>
              <w:tc>
                <w:tcPr>
                  <w:tcW w:w="396" w:type="pct"/>
                  <w:noWrap w:val="0"/>
                  <w:vAlign w:val="center"/>
                </w:tcPr>
                <w:p w14:paraId="6594CAE1">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1C4C6DCF">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81" w:type="pct"/>
                  <w:vMerge w:val="continue"/>
                  <w:noWrap w:val="0"/>
                  <w:vAlign w:val="center"/>
                </w:tcPr>
                <w:p w14:paraId="35BA1656">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0CA014AC">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68E89FCA">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03152674">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14B36388">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04010FFF">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72DAADA1">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5A18A09A">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49D38D12">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58076F0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46.77</w:t>
                  </w:r>
                </w:p>
              </w:tc>
              <w:tc>
                <w:tcPr>
                  <w:tcW w:w="416" w:type="pct"/>
                  <w:noWrap w:val="0"/>
                  <w:vAlign w:val="center"/>
                </w:tcPr>
                <w:p w14:paraId="035A706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59.67</w:t>
                  </w:r>
                </w:p>
              </w:tc>
              <w:tc>
                <w:tcPr>
                  <w:tcW w:w="251" w:type="pct"/>
                  <w:vMerge w:val="continue"/>
                  <w:noWrap w:val="0"/>
                  <w:vAlign w:val="center"/>
                </w:tcPr>
                <w:p w14:paraId="682388FB">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5D596009">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74423608">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39.67</w:t>
                  </w:r>
                </w:p>
              </w:tc>
              <w:tc>
                <w:tcPr>
                  <w:tcW w:w="396" w:type="pct"/>
                  <w:noWrap w:val="0"/>
                  <w:vAlign w:val="center"/>
                </w:tcPr>
                <w:p w14:paraId="7A84289A">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22881A28">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281" w:type="pct"/>
                  <w:vMerge w:val="continue"/>
                  <w:noWrap w:val="0"/>
                  <w:vAlign w:val="center"/>
                </w:tcPr>
                <w:p w14:paraId="63B4A48C">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3442448A">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34CFC7F9">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5DF6DF57">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50989978">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4BB69CBC">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269DABA6">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244E12D2">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1AEE8987">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46E01D2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2.19</w:t>
                  </w:r>
                </w:p>
              </w:tc>
              <w:tc>
                <w:tcPr>
                  <w:tcW w:w="416" w:type="pct"/>
                  <w:noWrap w:val="0"/>
                  <w:vAlign w:val="center"/>
                </w:tcPr>
                <w:p w14:paraId="46E5C8C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77.27</w:t>
                  </w:r>
                </w:p>
              </w:tc>
              <w:tc>
                <w:tcPr>
                  <w:tcW w:w="251" w:type="pct"/>
                  <w:vMerge w:val="continue"/>
                  <w:noWrap w:val="0"/>
                  <w:vAlign w:val="center"/>
                </w:tcPr>
                <w:p w14:paraId="74ECDAF4">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56AF37D8">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447321A7">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57.27</w:t>
                  </w:r>
                </w:p>
              </w:tc>
              <w:tc>
                <w:tcPr>
                  <w:tcW w:w="396" w:type="pct"/>
                  <w:noWrap w:val="0"/>
                  <w:vAlign w:val="center"/>
                </w:tcPr>
                <w:p w14:paraId="3AD19BE2">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50E7D671">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0" w:hRule="atLeast"/>
                <w:jc w:val="center"/>
              </w:trPr>
              <w:tc>
                <w:tcPr>
                  <w:tcW w:w="281" w:type="pct"/>
                  <w:vMerge w:val="continue"/>
                  <w:noWrap w:val="0"/>
                  <w:vAlign w:val="center"/>
                </w:tcPr>
                <w:p w14:paraId="573D0738">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5C58CFCF">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05E7A43D">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09810473">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33D6A5D8">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59D611C5">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5EDB0754">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18A19BA0">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17DC0E13">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6B81C22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85.87</w:t>
                  </w:r>
                </w:p>
              </w:tc>
              <w:tc>
                <w:tcPr>
                  <w:tcW w:w="416" w:type="pct"/>
                  <w:noWrap w:val="0"/>
                  <w:vAlign w:val="center"/>
                </w:tcPr>
                <w:p w14:paraId="0BACCF6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59.27</w:t>
                  </w:r>
                </w:p>
              </w:tc>
              <w:tc>
                <w:tcPr>
                  <w:tcW w:w="251" w:type="pct"/>
                  <w:vMerge w:val="continue"/>
                  <w:noWrap w:val="0"/>
                  <w:vAlign w:val="center"/>
                </w:tcPr>
                <w:p w14:paraId="4ED08318">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4DEF969D">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06CF09B7">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39.27</w:t>
                  </w:r>
                </w:p>
              </w:tc>
              <w:tc>
                <w:tcPr>
                  <w:tcW w:w="396" w:type="pct"/>
                  <w:noWrap w:val="0"/>
                  <w:vAlign w:val="center"/>
                </w:tcPr>
                <w:p w14:paraId="5E9B9C42">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08DA1D5B">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5" w:hRule="atLeast"/>
                <w:jc w:val="center"/>
              </w:trPr>
              <w:tc>
                <w:tcPr>
                  <w:tcW w:w="281" w:type="pct"/>
                  <w:vMerge w:val="restart"/>
                  <w:noWrap w:val="0"/>
                  <w:vAlign w:val="center"/>
                </w:tcPr>
                <w:p w14:paraId="0827AF17">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269" w:type="pct"/>
                  <w:vMerge w:val="continue"/>
                  <w:noWrap w:val="0"/>
                  <w:vAlign w:val="center"/>
                </w:tcPr>
                <w:p w14:paraId="69128927">
                  <w:pPr>
                    <w:spacing w:line="240" w:lineRule="auto"/>
                    <w:jc w:val="center"/>
                    <w:rPr>
                      <w:rFonts w:hint="default" w:ascii="Times New Roman" w:hAnsi="Times New Roman" w:eastAsia="宋体" w:cs="Times New Roman"/>
                      <w:color w:val="auto"/>
                      <w:sz w:val="21"/>
                      <w:szCs w:val="21"/>
                      <w:highlight w:val="none"/>
                    </w:rPr>
                  </w:pPr>
                </w:p>
              </w:tc>
              <w:tc>
                <w:tcPr>
                  <w:tcW w:w="361" w:type="pct"/>
                  <w:vMerge w:val="restart"/>
                  <w:shd w:val="clear" w:color="auto" w:fill="auto"/>
                  <w:noWrap w:val="0"/>
                  <w:vAlign w:val="center"/>
                </w:tcPr>
                <w:p w14:paraId="01A1E91C">
                  <w:pPr>
                    <w:keepNext w:val="0"/>
                    <w:keepLines w:val="0"/>
                    <w:pageBreakBefore w:val="0"/>
                    <w:widowControl/>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rPr>
                    <w:t>1#提升输送机</w:t>
                  </w:r>
                </w:p>
              </w:tc>
              <w:tc>
                <w:tcPr>
                  <w:tcW w:w="299" w:type="pct"/>
                  <w:vMerge w:val="restart"/>
                  <w:shd w:val="clear" w:color="auto" w:fill="auto"/>
                  <w:noWrap w:val="0"/>
                  <w:vAlign w:val="center"/>
                </w:tcPr>
                <w:p w14:paraId="3E2BCF60">
                  <w:pPr>
                    <w:pStyle w:val="139"/>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rPr>
                    <w:t>1</w:t>
                  </w:r>
                </w:p>
              </w:tc>
              <w:tc>
                <w:tcPr>
                  <w:tcW w:w="410" w:type="pct"/>
                  <w:vMerge w:val="restart"/>
                  <w:shd w:val="clear" w:color="auto" w:fill="auto"/>
                  <w:noWrap w:val="0"/>
                  <w:vAlign w:val="center"/>
                </w:tcPr>
                <w:p w14:paraId="7FC7D07B">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w:t>
                  </w:r>
                  <w:r>
                    <w:rPr>
                      <w:rFonts w:hint="default" w:ascii="Times New Roman" w:hAnsi="Times New Roman" w:eastAsia="宋体" w:cs="Times New Roman"/>
                      <w:color w:val="auto"/>
                      <w:sz w:val="21"/>
                      <w:szCs w:val="21"/>
                      <w:highlight w:val="none"/>
                      <w:lang w:val="en-US" w:eastAsia="zh-CN"/>
                    </w:rPr>
                    <w:t>5/1</w:t>
                  </w:r>
                </w:p>
              </w:tc>
              <w:tc>
                <w:tcPr>
                  <w:tcW w:w="437" w:type="pct"/>
                  <w:vMerge w:val="continue"/>
                  <w:noWrap w:val="0"/>
                  <w:vAlign w:val="center"/>
                </w:tcPr>
                <w:p w14:paraId="3DF05011">
                  <w:pPr>
                    <w:spacing w:line="240" w:lineRule="auto"/>
                    <w:jc w:val="center"/>
                    <w:rPr>
                      <w:rFonts w:hint="default" w:ascii="Times New Roman" w:hAnsi="Times New Roman" w:eastAsia="宋体" w:cs="Times New Roman"/>
                      <w:color w:val="auto"/>
                      <w:sz w:val="21"/>
                      <w:szCs w:val="21"/>
                      <w:highlight w:val="none"/>
                    </w:rPr>
                  </w:pPr>
                </w:p>
              </w:tc>
              <w:tc>
                <w:tcPr>
                  <w:tcW w:w="283" w:type="pct"/>
                  <w:vMerge w:val="restart"/>
                  <w:noWrap w:val="0"/>
                  <w:vAlign w:val="center"/>
                </w:tcPr>
                <w:p w14:paraId="5306241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150.6</w:t>
                  </w:r>
                </w:p>
              </w:tc>
              <w:tc>
                <w:tcPr>
                  <w:tcW w:w="283" w:type="pct"/>
                  <w:vMerge w:val="restart"/>
                  <w:noWrap w:val="0"/>
                  <w:vAlign w:val="center"/>
                </w:tcPr>
                <w:p w14:paraId="2B47201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210.92</w:t>
                  </w:r>
                </w:p>
              </w:tc>
              <w:tc>
                <w:tcPr>
                  <w:tcW w:w="254" w:type="pct"/>
                  <w:vMerge w:val="restart"/>
                  <w:noWrap w:val="0"/>
                  <w:vAlign w:val="center"/>
                </w:tcPr>
                <w:p w14:paraId="241813C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c>
                <w:tcPr>
                  <w:tcW w:w="342" w:type="pct"/>
                  <w:noWrap w:val="0"/>
                  <w:vAlign w:val="center"/>
                </w:tcPr>
                <w:p w14:paraId="4E3BA37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56.11</w:t>
                  </w:r>
                </w:p>
              </w:tc>
              <w:tc>
                <w:tcPr>
                  <w:tcW w:w="416" w:type="pct"/>
                  <w:noWrap w:val="0"/>
                  <w:vAlign w:val="center"/>
                </w:tcPr>
                <w:p w14:paraId="7CD2D71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49.50</w:t>
                  </w:r>
                </w:p>
              </w:tc>
              <w:tc>
                <w:tcPr>
                  <w:tcW w:w="251" w:type="pct"/>
                  <w:vMerge w:val="continue"/>
                  <w:noWrap w:val="0"/>
                  <w:vAlign w:val="center"/>
                </w:tcPr>
                <w:p w14:paraId="079E9F10">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614E79E8">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6F2414A5">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29.5</w:t>
                  </w:r>
                </w:p>
              </w:tc>
              <w:tc>
                <w:tcPr>
                  <w:tcW w:w="396" w:type="pct"/>
                  <w:noWrap w:val="0"/>
                  <w:vAlign w:val="center"/>
                </w:tcPr>
                <w:p w14:paraId="2B9AEF3D">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5005B2F3">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281" w:type="pct"/>
                  <w:vMerge w:val="continue"/>
                  <w:noWrap w:val="0"/>
                  <w:vAlign w:val="center"/>
                </w:tcPr>
                <w:p w14:paraId="69D8515F">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653505ED">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5C1B0AE3">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4D8C5883">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1B581210">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0230432B">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545AFC53">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286C8CF4">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343C0908">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0988A6C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163.57</w:t>
                  </w:r>
                </w:p>
              </w:tc>
              <w:tc>
                <w:tcPr>
                  <w:tcW w:w="416" w:type="pct"/>
                  <w:noWrap w:val="0"/>
                  <w:vAlign w:val="center"/>
                </w:tcPr>
                <w:p w14:paraId="18D7104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49.14</w:t>
                  </w:r>
                </w:p>
              </w:tc>
              <w:tc>
                <w:tcPr>
                  <w:tcW w:w="251" w:type="pct"/>
                  <w:vMerge w:val="continue"/>
                  <w:noWrap w:val="0"/>
                  <w:vAlign w:val="center"/>
                </w:tcPr>
                <w:p w14:paraId="1A3B6953">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2E879C21">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0CE0EDFD">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29.14</w:t>
                  </w:r>
                </w:p>
              </w:tc>
              <w:tc>
                <w:tcPr>
                  <w:tcW w:w="396" w:type="pct"/>
                  <w:noWrap w:val="0"/>
                  <w:vAlign w:val="center"/>
                </w:tcPr>
                <w:p w14:paraId="60AB3142">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392DFDED">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281" w:type="pct"/>
                  <w:vMerge w:val="continue"/>
                  <w:noWrap w:val="0"/>
                  <w:vAlign w:val="center"/>
                </w:tcPr>
                <w:p w14:paraId="42A48956">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6DB6C4E5">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71F60022">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0DA3C884">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7D0076B0">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59139231">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6DAE1FA8">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0DABFE58">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14575B8C">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6C99591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46.59</w:t>
                  </w:r>
                </w:p>
              </w:tc>
              <w:tc>
                <w:tcPr>
                  <w:tcW w:w="416" w:type="pct"/>
                  <w:noWrap w:val="0"/>
                  <w:vAlign w:val="center"/>
                </w:tcPr>
                <w:p w14:paraId="3340075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49.67</w:t>
                  </w:r>
                </w:p>
              </w:tc>
              <w:tc>
                <w:tcPr>
                  <w:tcW w:w="251" w:type="pct"/>
                  <w:vMerge w:val="continue"/>
                  <w:noWrap w:val="0"/>
                  <w:vAlign w:val="center"/>
                </w:tcPr>
                <w:p w14:paraId="638207E8">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4F28283E">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0A3EF53F">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29.67</w:t>
                  </w:r>
                </w:p>
              </w:tc>
              <w:tc>
                <w:tcPr>
                  <w:tcW w:w="396" w:type="pct"/>
                  <w:noWrap w:val="0"/>
                  <w:vAlign w:val="center"/>
                </w:tcPr>
                <w:p w14:paraId="0BDE0EC4">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23F5DD64">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281" w:type="pct"/>
                  <w:vMerge w:val="continue"/>
                  <w:noWrap w:val="0"/>
                  <w:vAlign w:val="center"/>
                </w:tcPr>
                <w:p w14:paraId="2317FA68">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76ED023C">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47FBBAEF">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265D4945">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4E083ED9">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2DA807DE">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0A02DB01">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5D6EDEF9">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33ED033A">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282D038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33.24</w:t>
                  </w:r>
                </w:p>
              </w:tc>
              <w:tc>
                <w:tcPr>
                  <w:tcW w:w="416" w:type="pct"/>
                  <w:noWrap w:val="0"/>
                  <w:vAlign w:val="center"/>
                </w:tcPr>
                <w:p w14:paraId="36D110E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50.17</w:t>
                  </w:r>
                </w:p>
              </w:tc>
              <w:tc>
                <w:tcPr>
                  <w:tcW w:w="251" w:type="pct"/>
                  <w:vMerge w:val="continue"/>
                  <w:noWrap w:val="0"/>
                  <w:vAlign w:val="center"/>
                </w:tcPr>
                <w:p w14:paraId="32E42558">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006CCB4D">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564CBA7F">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30.17</w:t>
                  </w:r>
                </w:p>
              </w:tc>
              <w:tc>
                <w:tcPr>
                  <w:tcW w:w="396" w:type="pct"/>
                  <w:noWrap w:val="0"/>
                  <w:vAlign w:val="center"/>
                </w:tcPr>
                <w:p w14:paraId="5059239E">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09B2C13D">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8" w:hRule="atLeast"/>
                <w:jc w:val="center"/>
              </w:trPr>
              <w:tc>
                <w:tcPr>
                  <w:tcW w:w="281" w:type="pct"/>
                  <w:vMerge w:val="continue"/>
                  <w:noWrap w:val="0"/>
                  <w:vAlign w:val="center"/>
                </w:tcPr>
                <w:p w14:paraId="2EA9CB5D">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0B2CE971">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235009DC">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42D9A306">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3559210B">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7DBC89DA">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1440ADAB">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554026FF">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1460D894">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2927042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15.11</w:t>
                  </w:r>
                </w:p>
              </w:tc>
              <w:tc>
                <w:tcPr>
                  <w:tcW w:w="416" w:type="pct"/>
                  <w:noWrap w:val="0"/>
                  <w:vAlign w:val="center"/>
                </w:tcPr>
                <w:p w14:paraId="7290192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52.82</w:t>
                  </w:r>
                </w:p>
              </w:tc>
              <w:tc>
                <w:tcPr>
                  <w:tcW w:w="251" w:type="pct"/>
                  <w:vMerge w:val="continue"/>
                  <w:noWrap w:val="0"/>
                  <w:vAlign w:val="center"/>
                </w:tcPr>
                <w:p w14:paraId="308E3124">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4DB8279B">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39C9D2C9">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32.82</w:t>
                  </w:r>
                </w:p>
              </w:tc>
              <w:tc>
                <w:tcPr>
                  <w:tcW w:w="396" w:type="pct"/>
                  <w:noWrap w:val="0"/>
                  <w:vAlign w:val="center"/>
                </w:tcPr>
                <w:p w14:paraId="6DEB53F9">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40B3C79A">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3" w:hRule="atLeast"/>
                <w:jc w:val="center"/>
              </w:trPr>
              <w:tc>
                <w:tcPr>
                  <w:tcW w:w="281" w:type="pct"/>
                  <w:vMerge w:val="continue"/>
                  <w:noWrap w:val="0"/>
                  <w:vAlign w:val="center"/>
                </w:tcPr>
                <w:p w14:paraId="55B60556">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63ED4C56">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6C52C3F8">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162AC67D">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1D73CD28">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5B26F378">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3B4F2C68">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4DAAF7F0">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09738DC2">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087DEF9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71.75</w:t>
                  </w:r>
                </w:p>
              </w:tc>
              <w:tc>
                <w:tcPr>
                  <w:tcW w:w="416" w:type="pct"/>
                  <w:noWrap w:val="0"/>
                  <w:vAlign w:val="center"/>
                </w:tcPr>
                <w:p w14:paraId="0F277FA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49.35</w:t>
                  </w:r>
                </w:p>
              </w:tc>
              <w:tc>
                <w:tcPr>
                  <w:tcW w:w="251" w:type="pct"/>
                  <w:vMerge w:val="continue"/>
                  <w:noWrap w:val="0"/>
                  <w:vAlign w:val="center"/>
                </w:tcPr>
                <w:p w14:paraId="6EA728F4">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12F84B04">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64B183E3">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29.35</w:t>
                  </w:r>
                </w:p>
              </w:tc>
              <w:tc>
                <w:tcPr>
                  <w:tcW w:w="396" w:type="pct"/>
                  <w:noWrap w:val="0"/>
                  <w:vAlign w:val="center"/>
                </w:tcPr>
                <w:p w14:paraId="7AA95C91">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2B6A45C4">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2" w:hRule="atLeast"/>
                <w:jc w:val="center"/>
              </w:trPr>
              <w:tc>
                <w:tcPr>
                  <w:tcW w:w="281" w:type="pct"/>
                  <w:vMerge w:val="restart"/>
                  <w:noWrap w:val="0"/>
                  <w:vAlign w:val="center"/>
                </w:tcPr>
                <w:p w14:paraId="5C38F56F">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269" w:type="pct"/>
                  <w:vMerge w:val="continue"/>
                  <w:noWrap w:val="0"/>
                  <w:vAlign w:val="center"/>
                </w:tcPr>
                <w:p w14:paraId="50617F82">
                  <w:pPr>
                    <w:spacing w:line="240" w:lineRule="auto"/>
                    <w:jc w:val="center"/>
                    <w:rPr>
                      <w:rFonts w:hint="default" w:ascii="Times New Roman" w:hAnsi="Times New Roman" w:eastAsia="宋体" w:cs="Times New Roman"/>
                      <w:color w:val="auto"/>
                      <w:sz w:val="21"/>
                      <w:szCs w:val="21"/>
                      <w:highlight w:val="none"/>
                    </w:rPr>
                  </w:pPr>
                </w:p>
              </w:tc>
              <w:tc>
                <w:tcPr>
                  <w:tcW w:w="361" w:type="pct"/>
                  <w:vMerge w:val="restart"/>
                  <w:shd w:val="clear" w:color="auto" w:fill="auto"/>
                  <w:noWrap w:val="0"/>
                  <w:vAlign w:val="center"/>
                </w:tcPr>
                <w:p w14:paraId="396E9E5F">
                  <w:pPr>
                    <w:keepNext w:val="0"/>
                    <w:keepLines w:val="0"/>
                    <w:pageBreakBefore w:val="0"/>
                    <w:widowControl/>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rPr>
                    <w:t>筛选机</w:t>
                  </w:r>
                </w:p>
              </w:tc>
              <w:tc>
                <w:tcPr>
                  <w:tcW w:w="299" w:type="pct"/>
                  <w:vMerge w:val="restart"/>
                  <w:shd w:val="clear" w:color="auto" w:fill="auto"/>
                  <w:noWrap w:val="0"/>
                  <w:vAlign w:val="center"/>
                </w:tcPr>
                <w:p w14:paraId="12A7233E">
                  <w:pPr>
                    <w:pStyle w:val="139"/>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rPr>
                    <w:t>1</w:t>
                  </w:r>
                </w:p>
              </w:tc>
              <w:tc>
                <w:tcPr>
                  <w:tcW w:w="410" w:type="pct"/>
                  <w:vMerge w:val="restart"/>
                  <w:shd w:val="clear" w:color="auto" w:fill="auto"/>
                  <w:noWrap w:val="0"/>
                  <w:vAlign w:val="center"/>
                </w:tcPr>
                <w:p w14:paraId="12D98CE5">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95/1</w:t>
                  </w:r>
                </w:p>
              </w:tc>
              <w:tc>
                <w:tcPr>
                  <w:tcW w:w="437" w:type="pct"/>
                  <w:vMerge w:val="continue"/>
                  <w:noWrap w:val="0"/>
                  <w:vAlign w:val="center"/>
                </w:tcPr>
                <w:p w14:paraId="0933111A">
                  <w:pPr>
                    <w:spacing w:line="240" w:lineRule="auto"/>
                    <w:jc w:val="center"/>
                    <w:rPr>
                      <w:rFonts w:hint="default" w:ascii="Times New Roman" w:hAnsi="Times New Roman" w:eastAsia="宋体" w:cs="Times New Roman"/>
                      <w:color w:val="auto"/>
                      <w:sz w:val="21"/>
                      <w:szCs w:val="21"/>
                      <w:highlight w:val="none"/>
                    </w:rPr>
                  </w:pPr>
                </w:p>
              </w:tc>
              <w:tc>
                <w:tcPr>
                  <w:tcW w:w="283" w:type="pct"/>
                  <w:vMerge w:val="restart"/>
                  <w:noWrap w:val="0"/>
                  <w:vAlign w:val="center"/>
                </w:tcPr>
                <w:p w14:paraId="7CACC02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142.7</w:t>
                  </w:r>
                </w:p>
              </w:tc>
              <w:tc>
                <w:tcPr>
                  <w:tcW w:w="283" w:type="pct"/>
                  <w:vMerge w:val="restart"/>
                  <w:noWrap w:val="0"/>
                  <w:vAlign w:val="center"/>
                </w:tcPr>
                <w:p w14:paraId="33AC213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203.02</w:t>
                  </w:r>
                </w:p>
              </w:tc>
              <w:tc>
                <w:tcPr>
                  <w:tcW w:w="254" w:type="pct"/>
                  <w:vMerge w:val="restart"/>
                  <w:noWrap w:val="0"/>
                  <w:vAlign w:val="center"/>
                </w:tcPr>
                <w:p w14:paraId="65597E0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c>
                <w:tcPr>
                  <w:tcW w:w="342" w:type="pct"/>
                  <w:noWrap w:val="0"/>
                  <w:vAlign w:val="center"/>
                </w:tcPr>
                <w:p w14:paraId="30EEFE6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49.46</w:t>
                  </w:r>
                </w:p>
              </w:tc>
              <w:tc>
                <w:tcPr>
                  <w:tcW w:w="416" w:type="pct"/>
                  <w:noWrap w:val="0"/>
                  <w:vAlign w:val="center"/>
                </w:tcPr>
                <w:p w14:paraId="27EBBBB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59.61</w:t>
                  </w:r>
                </w:p>
              </w:tc>
              <w:tc>
                <w:tcPr>
                  <w:tcW w:w="251" w:type="pct"/>
                  <w:vMerge w:val="continue"/>
                  <w:noWrap w:val="0"/>
                  <w:vAlign w:val="center"/>
                </w:tcPr>
                <w:p w14:paraId="182417D6">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097FFE91">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07358592">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39.61</w:t>
                  </w:r>
                </w:p>
              </w:tc>
              <w:tc>
                <w:tcPr>
                  <w:tcW w:w="396" w:type="pct"/>
                  <w:noWrap w:val="0"/>
                  <w:vAlign w:val="center"/>
                </w:tcPr>
                <w:p w14:paraId="52E06893">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3C43E1C6">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4" w:hRule="atLeast"/>
                <w:jc w:val="center"/>
              </w:trPr>
              <w:tc>
                <w:tcPr>
                  <w:tcW w:w="281" w:type="pct"/>
                  <w:vMerge w:val="continue"/>
                  <w:noWrap w:val="0"/>
                  <w:vAlign w:val="center"/>
                </w:tcPr>
                <w:p w14:paraId="5515B42D">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243642DB">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6A23FC1F">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24D0D579">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0D0833F6">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25A0B75B">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204D259B">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510BED31">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7522BE7A">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6B1AD1C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154.60</w:t>
                  </w:r>
                </w:p>
              </w:tc>
              <w:tc>
                <w:tcPr>
                  <w:tcW w:w="416" w:type="pct"/>
                  <w:noWrap w:val="0"/>
                  <w:vAlign w:val="center"/>
                </w:tcPr>
                <w:p w14:paraId="3B14E5F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59.15</w:t>
                  </w:r>
                </w:p>
              </w:tc>
              <w:tc>
                <w:tcPr>
                  <w:tcW w:w="251" w:type="pct"/>
                  <w:vMerge w:val="continue"/>
                  <w:noWrap w:val="0"/>
                  <w:vAlign w:val="center"/>
                </w:tcPr>
                <w:p w14:paraId="604F8A8C">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1FF8FAB1">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76872B27">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39.15</w:t>
                  </w:r>
                </w:p>
              </w:tc>
              <w:tc>
                <w:tcPr>
                  <w:tcW w:w="396" w:type="pct"/>
                  <w:noWrap w:val="0"/>
                  <w:vAlign w:val="center"/>
                </w:tcPr>
                <w:p w14:paraId="28EEE56A">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75B49D27">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4" w:hRule="atLeast"/>
                <w:jc w:val="center"/>
              </w:trPr>
              <w:tc>
                <w:tcPr>
                  <w:tcW w:w="281" w:type="pct"/>
                  <w:vMerge w:val="continue"/>
                  <w:noWrap w:val="0"/>
                  <w:vAlign w:val="center"/>
                </w:tcPr>
                <w:p w14:paraId="26DB5760">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7C6AA0EA">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0D513A11">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264964BE">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4878C582">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3AFD153A">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6CF71CBB">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1B28EC05">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44030FFB">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4DA0A99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53.40</w:t>
                  </w:r>
                </w:p>
              </w:tc>
              <w:tc>
                <w:tcPr>
                  <w:tcW w:w="416" w:type="pct"/>
                  <w:noWrap w:val="0"/>
                  <w:vAlign w:val="center"/>
                </w:tcPr>
                <w:p w14:paraId="63C1292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59.54</w:t>
                  </w:r>
                </w:p>
              </w:tc>
              <w:tc>
                <w:tcPr>
                  <w:tcW w:w="251" w:type="pct"/>
                  <w:vMerge w:val="continue"/>
                  <w:noWrap w:val="0"/>
                  <w:vAlign w:val="center"/>
                </w:tcPr>
                <w:p w14:paraId="37691A22">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71BB3852">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38EEA60A">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39.54</w:t>
                  </w:r>
                </w:p>
              </w:tc>
              <w:tc>
                <w:tcPr>
                  <w:tcW w:w="396" w:type="pct"/>
                  <w:noWrap w:val="0"/>
                  <w:vAlign w:val="center"/>
                </w:tcPr>
                <w:p w14:paraId="3B60E6C8">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229F68F1">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4" w:hRule="atLeast"/>
                <w:jc w:val="center"/>
              </w:trPr>
              <w:tc>
                <w:tcPr>
                  <w:tcW w:w="281" w:type="pct"/>
                  <w:vMerge w:val="continue"/>
                  <w:noWrap w:val="0"/>
                  <w:vAlign w:val="center"/>
                </w:tcPr>
                <w:p w14:paraId="0C46D5F4">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59C4641A">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2D1E325B">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6EA364EC">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75B98031">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32A6EDAD">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3363FFE3">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1C02ECE4">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377E2EB7">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4FB451F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42.30</w:t>
                  </w:r>
                </w:p>
              </w:tc>
              <w:tc>
                <w:tcPr>
                  <w:tcW w:w="416" w:type="pct"/>
                  <w:noWrap w:val="0"/>
                  <w:vAlign w:val="center"/>
                </w:tcPr>
                <w:p w14:paraId="07BF018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59.79</w:t>
                  </w:r>
                </w:p>
              </w:tc>
              <w:tc>
                <w:tcPr>
                  <w:tcW w:w="251" w:type="pct"/>
                  <w:vMerge w:val="continue"/>
                  <w:noWrap w:val="0"/>
                  <w:vAlign w:val="center"/>
                </w:tcPr>
                <w:p w14:paraId="6F29D8AD">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3FB89484">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6AC77B60">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39.79</w:t>
                  </w:r>
                </w:p>
              </w:tc>
              <w:tc>
                <w:tcPr>
                  <w:tcW w:w="396" w:type="pct"/>
                  <w:noWrap w:val="0"/>
                  <w:vAlign w:val="center"/>
                </w:tcPr>
                <w:p w14:paraId="6678BC22">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7FBAC41B">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81" w:type="pct"/>
                  <w:vMerge w:val="continue"/>
                  <w:noWrap w:val="0"/>
                  <w:vAlign w:val="center"/>
                </w:tcPr>
                <w:p w14:paraId="33843195">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08D14468">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73B2F06D">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4C757717">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02F02D75">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18A3D56A">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6FC31547">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2C7A206B">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353FEE90">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2D9E3A2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21.82</w:t>
                  </w:r>
                </w:p>
              </w:tc>
              <w:tc>
                <w:tcPr>
                  <w:tcW w:w="416" w:type="pct"/>
                  <w:noWrap w:val="0"/>
                  <w:vAlign w:val="center"/>
                </w:tcPr>
                <w:p w14:paraId="201F819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61.27</w:t>
                  </w:r>
                </w:p>
              </w:tc>
              <w:tc>
                <w:tcPr>
                  <w:tcW w:w="251" w:type="pct"/>
                  <w:vMerge w:val="continue"/>
                  <w:noWrap w:val="0"/>
                  <w:vAlign w:val="center"/>
                </w:tcPr>
                <w:p w14:paraId="3E61A3C1">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6CFBEB0A">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779B5558">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41.27</w:t>
                  </w:r>
                </w:p>
              </w:tc>
              <w:tc>
                <w:tcPr>
                  <w:tcW w:w="396" w:type="pct"/>
                  <w:noWrap w:val="0"/>
                  <w:vAlign w:val="center"/>
                </w:tcPr>
                <w:p w14:paraId="13408DF6">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30446C2A">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3" w:hRule="atLeast"/>
                <w:jc w:val="center"/>
              </w:trPr>
              <w:tc>
                <w:tcPr>
                  <w:tcW w:w="281" w:type="pct"/>
                  <w:vMerge w:val="continue"/>
                  <w:noWrap w:val="0"/>
                  <w:vAlign w:val="center"/>
                </w:tcPr>
                <w:p w14:paraId="023F193A">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6EE59B19">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466DB0A5">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67E220A9">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00605D2F">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196CE87C">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5C18302F">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454D41EB">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7DDF8DC8">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416C290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80.49</w:t>
                  </w:r>
                </w:p>
              </w:tc>
              <w:tc>
                <w:tcPr>
                  <w:tcW w:w="416" w:type="pct"/>
                  <w:noWrap w:val="0"/>
                  <w:vAlign w:val="center"/>
                </w:tcPr>
                <w:p w14:paraId="3034E54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59.30</w:t>
                  </w:r>
                </w:p>
              </w:tc>
              <w:tc>
                <w:tcPr>
                  <w:tcW w:w="251" w:type="pct"/>
                  <w:vMerge w:val="continue"/>
                  <w:noWrap w:val="0"/>
                  <w:vAlign w:val="center"/>
                </w:tcPr>
                <w:p w14:paraId="58229458">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102276F5">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2083A891">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39.3</w:t>
                  </w:r>
                </w:p>
              </w:tc>
              <w:tc>
                <w:tcPr>
                  <w:tcW w:w="396" w:type="pct"/>
                  <w:noWrap w:val="0"/>
                  <w:vAlign w:val="center"/>
                </w:tcPr>
                <w:p w14:paraId="184D7CD9">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79F1CE03">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281" w:type="pct"/>
                  <w:vMerge w:val="restart"/>
                  <w:noWrap w:val="0"/>
                  <w:vAlign w:val="center"/>
                </w:tcPr>
                <w:p w14:paraId="27B456CE">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269" w:type="pct"/>
                  <w:vMerge w:val="continue"/>
                  <w:noWrap w:val="0"/>
                  <w:vAlign w:val="center"/>
                </w:tcPr>
                <w:p w14:paraId="4F0D135F">
                  <w:pPr>
                    <w:spacing w:line="240" w:lineRule="auto"/>
                    <w:jc w:val="center"/>
                    <w:rPr>
                      <w:rFonts w:hint="default" w:ascii="Times New Roman" w:hAnsi="Times New Roman" w:eastAsia="宋体" w:cs="Times New Roman"/>
                      <w:color w:val="auto"/>
                      <w:sz w:val="21"/>
                      <w:szCs w:val="21"/>
                      <w:highlight w:val="none"/>
                    </w:rPr>
                  </w:pPr>
                </w:p>
              </w:tc>
              <w:tc>
                <w:tcPr>
                  <w:tcW w:w="361" w:type="pct"/>
                  <w:vMerge w:val="restart"/>
                  <w:shd w:val="clear" w:color="auto" w:fill="auto"/>
                  <w:noWrap w:val="0"/>
                  <w:vAlign w:val="center"/>
                </w:tcPr>
                <w:p w14:paraId="660D43D8">
                  <w:pPr>
                    <w:keepNext w:val="0"/>
                    <w:keepLines w:val="0"/>
                    <w:pageBreakBefore w:val="0"/>
                    <w:widowControl/>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rPr>
                    <w:t>链式缓冷机</w:t>
                  </w:r>
                </w:p>
              </w:tc>
              <w:tc>
                <w:tcPr>
                  <w:tcW w:w="299" w:type="pct"/>
                  <w:vMerge w:val="restart"/>
                  <w:shd w:val="clear" w:color="auto" w:fill="auto"/>
                  <w:noWrap w:val="0"/>
                  <w:vAlign w:val="center"/>
                </w:tcPr>
                <w:p w14:paraId="69136E21">
                  <w:pPr>
                    <w:pStyle w:val="139"/>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rPr>
                    <w:t>1</w:t>
                  </w:r>
                </w:p>
              </w:tc>
              <w:tc>
                <w:tcPr>
                  <w:tcW w:w="410" w:type="pct"/>
                  <w:vMerge w:val="restart"/>
                  <w:shd w:val="clear" w:color="auto" w:fill="auto"/>
                  <w:noWrap w:val="0"/>
                  <w:vAlign w:val="center"/>
                </w:tcPr>
                <w:p w14:paraId="23B4F4AC">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90/1</w:t>
                  </w:r>
                </w:p>
              </w:tc>
              <w:tc>
                <w:tcPr>
                  <w:tcW w:w="437" w:type="pct"/>
                  <w:vMerge w:val="continue"/>
                  <w:noWrap w:val="0"/>
                  <w:vAlign w:val="center"/>
                </w:tcPr>
                <w:p w14:paraId="037B60DA">
                  <w:pPr>
                    <w:spacing w:line="240" w:lineRule="auto"/>
                    <w:jc w:val="center"/>
                    <w:rPr>
                      <w:rFonts w:hint="default" w:ascii="Times New Roman" w:hAnsi="Times New Roman" w:eastAsia="宋体" w:cs="Times New Roman"/>
                      <w:color w:val="auto"/>
                      <w:sz w:val="21"/>
                      <w:szCs w:val="21"/>
                      <w:highlight w:val="none"/>
                    </w:rPr>
                  </w:pPr>
                </w:p>
              </w:tc>
              <w:tc>
                <w:tcPr>
                  <w:tcW w:w="283" w:type="pct"/>
                  <w:vMerge w:val="restart"/>
                  <w:noWrap w:val="0"/>
                  <w:vAlign w:val="center"/>
                </w:tcPr>
                <w:p w14:paraId="72B9EC8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124.94</w:t>
                  </w:r>
                </w:p>
              </w:tc>
              <w:tc>
                <w:tcPr>
                  <w:tcW w:w="283" w:type="pct"/>
                  <w:vMerge w:val="restart"/>
                  <w:noWrap w:val="0"/>
                  <w:vAlign w:val="center"/>
                </w:tcPr>
                <w:p w14:paraId="5CF6261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202.03</w:t>
                  </w:r>
                </w:p>
              </w:tc>
              <w:tc>
                <w:tcPr>
                  <w:tcW w:w="254" w:type="pct"/>
                  <w:vMerge w:val="restart"/>
                  <w:noWrap w:val="0"/>
                  <w:vAlign w:val="center"/>
                </w:tcPr>
                <w:p w14:paraId="1C47A79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c>
                <w:tcPr>
                  <w:tcW w:w="342" w:type="pct"/>
                  <w:noWrap w:val="0"/>
                  <w:vAlign w:val="center"/>
                </w:tcPr>
                <w:p w14:paraId="78DFC22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51.09</w:t>
                  </w:r>
                </w:p>
              </w:tc>
              <w:tc>
                <w:tcPr>
                  <w:tcW w:w="416" w:type="pct"/>
                  <w:noWrap w:val="0"/>
                  <w:vAlign w:val="center"/>
                </w:tcPr>
                <w:p w14:paraId="013272B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54.58</w:t>
                  </w:r>
                </w:p>
              </w:tc>
              <w:tc>
                <w:tcPr>
                  <w:tcW w:w="251" w:type="pct"/>
                  <w:vMerge w:val="continue"/>
                  <w:noWrap w:val="0"/>
                  <w:vAlign w:val="center"/>
                </w:tcPr>
                <w:p w14:paraId="4F94EE26">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4865DDF9">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0C848CA3">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34.58</w:t>
                  </w:r>
                </w:p>
              </w:tc>
              <w:tc>
                <w:tcPr>
                  <w:tcW w:w="396" w:type="pct"/>
                  <w:noWrap w:val="0"/>
                  <w:vAlign w:val="center"/>
                </w:tcPr>
                <w:p w14:paraId="3DACE230">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1DD7A84C">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8" w:hRule="atLeast"/>
                <w:jc w:val="center"/>
              </w:trPr>
              <w:tc>
                <w:tcPr>
                  <w:tcW w:w="281" w:type="pct"/>
                  <w:vMerge w:val="continue"/>
                  <w:noWrap w:val="0"/>
                  <w:vAlign w:val="center"/>
                </w:tcPr>
                <w:p w14:paraId="2C69A198">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290F9285">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0817D3A0">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71CC6C1D">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7735D301">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0DC456E9">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73905E7A">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7D948744">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2C074069">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01A67CE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136.89</w:t>
                  </w:r>
                </w:p>
              </w:tc>
              <w:tc>
                <w:tcPr>
                  <w:tcW w:w="416" w:type="pct"/>
                  <w:noWrap w:val="0"/>
                  <w:vAlign w:val="center"/>
                </w:tcPr>
                <w:p w14:paraId="2AA2ED2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54.17</w:t>
                  </w:r>
                </w:p>
              </w:tc>
              <w:tc>
                <w:tcPr>
                  <w:tcW w:w="251" w:type="pct"/>
                  <w:vMerge w:val="continue"/>
                  <w:noWrap w:val="0"/>
                  <w:vAlign w:val="center"/>
                </w:tcPr>
                <w:p w14:paraId="3403A832">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738EC575">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0E676FF4">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34.17</w:t>
                  </w:r>
                </w:p>
              </w:tc>
              <w:tc>
                <w:tcPr>
                  <w:tcW w:w="396" w:type="pct"/>
                  <w:noWrap w:val="0"/>
                  <w:vAlign w:val="center"/>
                </w:tcPr>
                <w:p w14:paraId="4684A51E">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1943D0DE">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8" w:hRule="atLeast"/>
                <w:jc w:val="center"/>
              </w:trPr>
              <w:tc>
                <w:tcPr>
                  <w:tcW w:w="281" w:type="pct"/>
                  <w:vMerge w:val="continue"/>
                  <w:noWrap w:val="0"/>
                  <w:vAlign w:val="center"/>
                </w:tcPr>
                <w:p w14:paraId="6C92E605">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5439CFBD">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4F7B1531">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2B1A32CF">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3F8F4121">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7B8AE2EB">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44F2FFA5">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4EE7EF6A">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08DC71B5">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5F74F39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52.09</w:t>
                  </w:r>
                </w:p>
              </w:tc>
              <w:tc>
                <w:tcPr>
                  <w:tcW w:w="416" w:type="pct"/>
                  <w:noWrap w:val="0"/>
                  <w:vAlign w:val="center"/>
                </w:tcPr>
                <w:p w14:paraId="12A1D62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54.56</w:t>
                  </w:r>
                </w:p>
              </w:tc>
              <w:tc>
                <w:tcPr>
                  <w:tcW w:w="251" w:type="pct"/>
                  <w:vMerge w:val="continue"/>
                  <w:noWrap w:val="0"/>
                  <w:vAlign w:val="center"/>
                </w:tcPr>
                <w:p w14:paraId="6EE0E6B4">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4E956A2B">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20291FAB">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34.56</w:t>
                  </w:r>
                </w:p>
              </w:tc>
              <w:tc>
                <w:tcPr>
                  <w:tcW w:w="396" w:type="pct"/>
                  <w:noWrap w:val="0"/>
                  <w:vAlign w:val="center"/>
                </w:tcPr>
                <w:p w14:paraId="7D05FCA8">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3FD4F31B">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8" w:hRule="atLeast"/>
                <w:jc w:val="center"/>
              </w:trPr>
              <w:tc>
                <w:tcPr>
                  <w:tcW w:w="281" w:type="pct"/>
                  <w:vMerge w:val="continue"/>
                  <w:noWrap w:val="0"/>
                  <w:vAlign w:val="center"/>
                </w:tcPr>
                <w:p w14:paraId="612FC69B">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5AC6AD2F">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3325BD09">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7D88DD00">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640EF49B">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1A4850C3">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1D70FA58">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3BE072C6">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461CCE60">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2C4C8DB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59.99</w:t>
                  </w:r>
                </w:p>
              </w:tc>
              <w:tc>
                <w:tcPr>
                  <w:tcW w:w="416" w:type="pct"/>
                  <w:noWrap w:val="0"/>
                  <w:vAlign w:val="center"/>
                </w:tcPr>
                <w:p w14:paraId="6E3AC23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54.45</w:t>
                  </w:r>
                </w:p>
              </w:tc>
              <w:tc>
                <w:tcPr>
                  <w:tcW w:w="251" w:type="pct"/>
                  <w:vMerge w:val="continue"/>
                  <w:noWrap w:val="0"/>
                  <w:vAlign w:val="center"/>
                </w:tcPr>
                <w:p w14:paraId="65E0B8F8">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6D23A065">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1C33D7CF">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34.45</w:t>
                  </w:r>
                </w:p>
              </w:tc>
              <w:tc>
                <w:tcPr>
                  <w:tcW w:w="396" w:type="pct"/>
                  <w:noWrap w:val="0"/>
                  <w:vAlign w:val="center"/>
                </w:tcPr>
                <w:p w14:paraId="1DB51ED5">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650E8A37">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81" w:type="pct"/>
                  <w:vMerge w:val="continue"/>
                  <w:noWrap w:val="0"/>
                  <w:vAlign w:val="center"/>
                </w:tcPr>
                <w:p w14:paraId="1D8FBB36">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2922CAAE">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009B0E12">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51E9E806">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3C63ED8D">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03475E84">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7FF6E72B">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5BDC7CCD">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322B7DDF">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0BFD9AF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20.31</w:t>
                  </w:r>
                </w:p>
              </w:tc>
              <w:tc>
                <w:tcPr>
                  <w:tcW w:w="416" w:type="pct"/>
                  <w:noWrap w:val="0"/>
                  <w:vAlign w:val="center"/>
                </w:tcPr>
                <w:p w14:paraId="71B3C6B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56.53</w:t>
                  </w:r>
                </w:p>
              </w:tc>
              <w:tc>
                <w:tcPr>
                  <w:tcW w:w="251" w:type="pct"/>
                  <w:vMerge w:val="continue"/>
                  <w:noWrap w:val="0"/>
                  <w:vAlign w:val="center"/>
                </w:tcPr>
                <w:p w14:paraId="4FF6BA74">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323866A1">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46D36AF4">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36.53</w:t>
                  </w:r>
                </w:p>
              </w:tc>
              <w:tc>
                <w:tcPr>
                  <w:tcW w:w="396" w:type="pct"/>
                  <w:noWrap w:val="0"/>
                  <w:vAlign w:val="center"/>
                </w:tcPr>
                <w:p w14:paraId="3745580B">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268DDD50">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71" w:hRule="atLeast"/>
                <w:jc w:val="center"/>
              </w:trPr>
              <w:tc>
                <w:tcPr>
                  <w:tcW w:w="281" w:type="pct"/>
                  <w:vMerge w:val="continue"/>
                  <w:noWrap w:val="0"/>
                  <w:vAlign w:val="center"/>
                </w:tcPr>
                <w:p w14:paraId="46164903">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637F779A">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3B04BE85">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7521CB8E">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16BF2C6C">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2D1DF133">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678EB3B2">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05BB6D3C">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5576D871">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4B353D8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98.25</w:t>
                  </w:r>
                </w:p>
              </w:tc>
              <w:tc>
                <w:tcPr>
                  <w:tcW w:w="416" w:type="pct"/>
                  <w:noWrap w:val="0"/>
                  <w:vAlign w:val="center"/>
                </w:tcPr>
                <w:p w14:paraId="011114A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54.23</w:t>
                  </w:r>
                </w:p>
              </w:tc>
              <w:tc>
                <w:tcPr>
                  <w:tcW w:w="251" w:type="pct"/>
                  <w:vMerge w:val="continue"/>
                  <w:noWrap w:val="0"/>
                  <w:vAlign w:val="center"/>
                </w:tcPr>
                <w:p w14:paraId="4C0C8D98">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2DFBFDA5">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5D291947">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34.23</w:t>
                  </w:r>
                </w:p>
              </w:tc>
              <w:tc>
                <w:tcPr>
                  <w:tcW w:w="396" w:type="pct"/>
                  <w:noWrap w:val="0"/>
                  <w:vAlign w:val="center"/>
                </w:tcPr>
                <w:p w14:paraId="28E6093F">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25C0F6E1">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2" w:hRule="atLeast"/>
                <w:jc w:val="center"/>
              </w:trPr>
              <w:tc>
                <w:tcPr>
                  <w:tcW w:w="281" w:type="pct"/>
                  <w:vMerge w:val="restart"/>
                  <w:noWrap w:val="0"/>
                  <w:vAlign w:val="center"/>
                </w:tcPr>
                <w:p w14:paraId="308B23B0">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269" w:type="pct"/>
                  <w:vMerge w:val="continue"/>
                  <w:noWrap w:val="0"/>
                  <w:vAlign w:val="center"/>
                </w:tcPr>
                <w:p w14:paraId="28FC0452">
                  <w:pPr>
                    <w:spacing w:line="240" w:lineRule="auto"/>
                    <w:jc w:val="center"/>
                    <w:rPr>
                      <w:rFonts w:hint="default" w:ascii="Times New Roman" w:hAnsi="Times New Roman" w:eastAsia="宋体" w:cs="Times New Roman"/>
                      <w:color w:val="auto"/>
                      <w:sz w:val="21"/>
                      <w:szCs w:val="21"/>
                      <w:highlight w:val="none"/>
                    </w:rPr>
                  </w:pPr>
                </w:p>
              </w:tc>
              <w:tc>
                <w:tcPr>
                  <w:tcW w:w="361" w:type="pct"/>
                  <w:vMerge w:val="restart"/>
                  <w:shd w:val="clear" w:color="auto" w:fill="auto"/>
                  <w:noWrap w:val="0"/>
                  <w:vAlign w:val="center"/>
                </w:tcPr>
                <w:p w14:paraId="4B6C7D21">
                  <w:pPr>
                    <w:keepNext w:val="0"/>
                    <w:keepLines w:val="0"/>
                    <w:pageBreakBefore w:val="0"/>
                    <w:widowControl/>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kern w:val="0"/>
                      <w:sz w:val="21"/>
                      <w:szCs w:val="21"/>
                      <w:highlight w:val="none"/>
                    </w:rPr>
                    <w:t>分球机</w:t>
                  </w:r>
                </w:p>
              </w:tc>
              <w:tc>
                <w:tcPr>
                  <w:tcW w:w="299" w:type="pct"/>
                  <w:vMerge w:val="restart"/>
                  <w:shd w:val="clear" w:color="auto" w:fill="auto"/>
                  <w:noWrap w:val="0"/>
                  <w:vAlign w:val="center"/>
                </w:tcPr>
                <w:p w14:paraId="5034FA41">
                  <w:pPr>
                    <w:pStyle w:val="139"/>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rPr>
                    <w:t>1</w:t>
                  </w:r>
                </w:p>
              </w:tc>
              <w:tc>
                <w:tcPr>
                  <w:tcW w:w="410" w:type="pct"/>
                  <w:vMerge w:val="restart"/>
                  <w:shd w:val="clear" w:color="auto" w:fill="auto"/>
                  <w:noWrap w:val="0"/>
                  <w:vAlign w:val="center"/>
                </w:tcPr>
                <w:p w14:paraId="52BB7B83">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5</w:t>
                  </w:r>
                  <w:r>
                    <w:rPr>
                      <w:rFonts w:hint="default" w:ascii="Times New Roman" w:hAnsi="Times New Roman" w:eastAsia="宋体" w:cs="Times New Roman"/>
                      <w:color w:val="auto"/>
                      <w:sz w:val="21"/>
                      <w:szCs w:val="21"/>
                      <w:highlight w:val="none"/>
                      <w:lang w:val="en-US" w:eastAsia="zh-CN"/>
                    </w:rPr>
                    <w:t>/1</w:t>
                  </w:r>
                </w:p>
              </w:tc>
              <w:tc>
                <w:tcPr>
                  <w:tcW w:w="437" w:type="pct"/>
                  <w:vMerge w:val="continue"/>
                  <w:noWrap w:val="0"/>
                  <w:vAlign w:val="center"/>
                </w:tcPr>
                <w:p w14:paraId="747E1CB6">
                  <w:pPr>
                    <w:spacing w:line="240" w:lineRule="auto"/>
                    <w:jc w:val="center"/>
                    <w:rPr>
                      <w:rFonts w:hint="default" w:ascii="Times New Roman" w:hAnsi="Times New Roman" w:eastAsia="宋体" w:cs="Times New Roman"/>
                      <w:color w:val="auto"/>
                      <w:sz w:val="21"/>
                      <w:szCs w:val="21"/>
                      <w:highlight w:val="none"/>
                    </w:rPr>
                  </w:pPr>
                </w:p>
              </w:tc>
              <w:tc>
                <w:tcPr>
                  <w:tcW w:w="283" w:type="pct"/>
                  <w:vMerge w:val="restart"/>
                  <w:noWrap w:val="0"/>
                  <w:vAlign w:val="center"/>
                </w:tcPr>
                <w:p w14:paraId="6E78053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112.1</w:t>
                  </w:r>
                </w:p>
              </w:tc>
              <w:tc>
                <w:tcPr>
                  <w:tcW w:w="283" w:type="pct"/>
                  <w:vMerge w:val="restart"/>
                  <w:noWrap w:val="0"/>
                  <w:vAlign w:val="center"/>
                </w:tcPr>
                <w:p w14:paraId="235F032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200.06</w:t>
                  </w:r>
                </w:p>
              </w:tc>
              <w:tc>
                <w:tcPr>
                  <w:tcW w:w="254" w:type="pct"/>
                  <w:vMerge w:val="restart"/>
                  <w:noWrap w:val="0"/>
                  <w:vAlign w:val="center"/>
                </w:tcPr>
                <w:p w14:paraId="062A744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c>
                <w:tcPr>
                  <w:tcW w:w="342" w:type="pct"/>
                  <w:noWrap w:val="0"/>
                  <w:vAlign w:val="center"/>
                </w:tcPr>
                <w:p w14:paraId="0094FB3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51.03</w:t>
                  </w:r>
                </w:p>
              </w:tc>
              <w:tc>
                <w:tcPr>
                  <w:tcW w:w="416" w:type="pct"/>
                  <w:noWrap w:val="0"/>
                  <w:vAlign w:val="center"/>
                </w:tcPr>
                <w:p w14:paraId="4EF47F4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59.58</w:t>
                  </w:r>
                </w:p>
              </w:tc>
              <w:tc>
                <w:tcPr>
                  <w:tcW w:w="251" w:type="pct"/>
                  <w:vMerge w:val="continue"/>
                  <w:noWrap w:val="0"/>
                  <w:vAlign w:val="center"/>
                </w:tcPr>
                <w:p w14:paraId="49F78DED">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1577155E">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301F03B3">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39.58</w:t>
                  </w:r>
                </w:p>
              </w:tc>
              <w:tc>
                <w:tcPr>
                  <w:tcW w:w="396" w:type="pct"/>
                  <w:noWrap w:val="0"/>
                  <w:vAlign w:val="center"/>
                </w:tcPr>
                <w:p w14:paraId="1FF83B15">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0C2BEB5B">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81" w:type="pct"/>
                  <w:vMerge w:val="continue"/>
                  <w:noWrap w:val="0"/>
                  <w:vAlign w:val="center"/>
                </w:tcPr>
                <w:p w14:paraId="62C9F8EA">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3630B497">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436D7B46">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39A98EDA">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797BB51B">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26B2CD91">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6EF2D9C5">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4907313F">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6240EABB">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2F77FC0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123.90</w:t>
                  </w:r>
                </w:p>
              </w:tc>
              <w:tc>
                <w:tcPr>
                  <w:tcW w:w="416" w:type="pct"/>
                  <w:noWrap w:val="0"/>
                  <w:vAlign w:val="center"/>
                </w:tcPr>
                <w:p w14:paraId="61A2988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59.18</w:t>
                  </w:r>
                </w:p>
              </w:tc>
              <w:tc>
                <w:tcPr>
                  <w:tcW w:w="251" w:type="pct"/>
                  <w:vMerge w:val="continue"/>
                  <w:noWrap w:val="0"/>
                  <w:vAlign w:val="center"/>
                </w:tcPr>
                <w:p w14:paraId="6A0AF900">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43EAEA13">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6B8F5BB3">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39.18</w:t>
                  </w:r>
                </w:p>
              </w:tc>
              <w:tc>
                <w:tcPr>
                  <w:tcW w:w="396" w:type="pct"/>
                  <w:noWrap w:val="0"/>
                  <w:vAlign w:val="center"/>
                </w:tcPr>
                <w:p w14:paraId="192DC7E2">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719C2462">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81" w:type="pct"/>
                  <w:vMerge w:val="continue"/>
                  <w:noWrap w:val="0"/>
                  <w:vAlign w:val="center"/>
                </w:tcPr>
                <w:p w14:paraId="4A1E055E">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68A023E3">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7A281AF1">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7362BDDC">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769A3AEA">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4EC1FEFA">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60D50A97">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27368567">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651AD84D">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4C2274F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52.38</w:t>
                  </w:r>
                </w:p>
              </w:tc>
              <w:tc>
                <w:tcPr>
                  <w:tcW w:w="416" w:type="pct"/>
                  <w:noWrap w:val="0"/>
                  <w:vAlign w:val="center"/>
                </w:tcPr>
                <w:p w14:paraId="256AB6F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59.56</w:t>
                  </w:r>
                </w:p>
              </w:tc>
              <w:tc>
                <w:tcPr>
                  <w:tcW w:w="251" w:type="pct"/>
                  <w:vMerge w:val="continue"/>
                  <w:noWrap w:val="0"/>
                  <w:vAlign w:val="center"/>
                </w:tcPr>
                <w:p w14:paraId="3153CC36">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74BB2176">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41C2E24D">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39.56</w:t>
                  </w:r>
                </w:p>
              </w:tc>
              <w:tc>
                <w:tcPr>
                  <w:tcW w:w="396" w:type="pct"/>
                  <w:noWrap w:val="0"/>
                  <w:vAlign w:val="center"/>
                </w:tcPr>
                <w:p w14:paraId="0DA9C395">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4BFC7443">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81" w:type="pct"/>
                  <w:vMerge w:val="continue"/>
                  <w:noWrap w:val="0"/>
                  <w:vAlign w:val="center"/>
                </w:tcPr>
                <w:p w14:paraId="4B21AD62">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05C4D131">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3105ECAA">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658B93D8">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227872CC">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6C516CEC">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582E08B5">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262F6668">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1A9B94CB">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40F40A2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72.98</w:t>
                  </w:r>
                </w:p>
              </w:tc>
              <w:tc>
                <w:tcPr>
                  <w:tcW w:w="416" w:type="pct"/>
                  <w:noWrap w:val="0"/>
                  <w:vAlign w:val="center"/>
                </w:tcPr>
                <w:p w14:paraId="3FFA5D0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59.34</w:t>
                  </w:r>
                </w:p>
              </w:tc>
              <w:tc>
                <w:tcPr>
                  <w:tcW w:w="251" w:type="pct"/>
                  <w:vMerge w:val="continue"/>
                  <w:noWrap w:val="0"/>
                  <w:vAlign w:val="center"/>
                </w:tcPr>
                <w:p w14:paraId="5BB10ED9">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216C0E31">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382D1BDB">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39.34</w:t>
                  </w:r>
                </w:p>
              </w:tc>
              <w:tc>
                <w:tcPr>
                  <w:tcW w:w="396" w:type="pct"/>
                  <w:noWrap w:val="0"/>
                  <w:vAlign w:val="center"/>
                </w:tcPr>
                <w:p w14:paraId="7A9EDAAC">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1D5FC97C">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1" w:hRule="atLeast"/>
                <w:jc w:val="center"/>
              </w:trPr>
              <w:tc>
                <w:tcPr>
                  <w:tcW w:w="281" w:type="pct"/>
                  <w:vMerge w:val="continue"/>
                  <w:noWrap w:val="0"/>
                  <w:vAlign w:val="center"/>
                </w:tcPr>
                <w:p w14:paraId="15D37BC3">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3E5141F0">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04EC5E24">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64AF7ACE">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2AAAB4DE">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495C0555">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19E39AFB">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1233DA8E">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2F48DEED">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13FE1FB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20.46</w:t>
                  </w:r>
                </w:p>
              </w:tc>
              <w:tc>
                <w:tcPr>
                  <w:tcW w:w="416" w:type="pct"/>
                  <w:noWrap w:val="0"/>
                  <w:vAlign w:val="center"/>
                </w:tcPr>
                <w:p w14:paraId="593050C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61.50</w:t>
                  </w:r>
                </w:p>
              </w:tc>
              <w:tc>
                <w:tcPr>
                  <w:tcW w:w="251" w:type="pct"/>
                  <w:vMerge w:val="continue"/>
                  <w:noWrap w:val="0"/>
                  <w:vAlign w:val="center"/>
                </w:tcPr>
                <w:p w14:paraId="7EC3994C">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740C0173">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19237FD7">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41.5</w:t>
                  </w:r>
                </w:p>
              </w:tc>
              <w:tc>
                <w:tcPr>
                  <w:tcW w:w="396" w:type="pct"/>
                  <w:noWrap w:val="0"/>
                  <w:vAlign w:val="center"/>
                </w:tcPr>
                <w:p w14:paraId="33A77360">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7DDD65CB">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7" w:hRule="atLeast"/>
                <w:jc w:val="center"/>
              </w:trPr>
              <w:tc>
                <w:tcPr>
                  <w:tcW w:w="281" w:type="pct"/>
                  <w:vMerge w:val="continue"/>
                  <w:noWrap w:val="0"/>
                  <w:vAlign w:val="center"/>
                </w:tcPr>
                <w:p w14:paraId="2D9D5AAD">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6C3A24A0">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22A68D61">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702A6498">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600D4056">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38229E71">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4B44C136">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558F0FA9">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1527F9F6">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086B148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111.23</w:t>
                  </w:r>
                </w:p>
              </w:tc>
              <w:tc>
                <w:tcPr>
                  <w:tcW w:w="416" w:type="pct"/>
                  <w:noWrap w:val="0"/>
                  <w:vAlign w:val="center"/>
                </w:tcPr>
                <w:p w14:paraId="2A78DA9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59.20</w:t>
                  </w:r>
                </w:p>
              </w:tc>
              <w:tc>
                <w:tcPr>
                  <w:tcW w:w="251" w:type="pct"/>
                  <w:vMerge w:val="continue"/>
                  <w:noWrap w:val="0"/>
                  <w:vAlign w:val="center"/>
                </w:tcPr>
                <w:p w14:paraId="590E4CD9">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6F542916">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34614DAD">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39.2</w:t>
                  </w:r>
                </w:p>
              </w:tc>
              <w:tc>
                <w:tcPr>
                  <w:tcW w:w="396" w:type="pct"/>
                  <w:noWrap w:val="0"/>
                  <w:vAlign w:val="center"/>
                </w:tcPr>
                <w:p w14:paraId="6C7026BE">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242B2E61">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87" w:hRule="atLeast"/>
                <w:jc w:val="center"/>
              </w:trPr>
              <w:tc>
                <w:tcPr>
                  <w:tcW w:w="281" w:type="pct"/>
                  <w:vMerge w:val="restart"/>
                  <w:noWrap w:val="0"/>
                  <w:vAlign w:val="center"/>
                </w:tcPr>
                <w:p w14:paraId="4F9C6964">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w:t>
                  </w:r>
                </w:p>
              </w:tc>
              <w:tc>
                <w:tcPr>
                  <w:tcW w:w="269" w:type="pct"/>
                  <w:vMerge w:val="continue"/>
                  <w:noWrap w:val="0"/>
                  <w:vAlign w:val="center"/>
                </w:tcPr>
                <w:p w14:paraId="0F935B55">
                  <w:pPr>
                    <w:spacing w:line="240" w:lineRule="auto"/>
                    <w:jc w:val="center"/>
                    <w:rPr>
                      <w:rFonts w:hint="default" w:ascii="Times New Roman" w:hAnsi="Times New Roman" w:eastAsia="宋体" w:cs="Times New Roman"/>
                      <w:color w:val="auto"/>
                      <w:sz w:val="21"/>
                      <w:szCs w:val="21"/>
                      <w:highlight w:val="none"/>
                    </w:rPr>
                  </w:pPr>
                </w:p>
              </w:tc>
              <w:tc>
                <w:tcPr>
                  <w:tcW w:w="361" w:type="pct"/>
                  <w:vMerge w:val="restart"/>
                  <w:shd w:val="clear" w:color="auto" w:fill="auto"/>
                  <w:noWrap w:val="0"/>
                  <w:vAlign w:val="center"/>
                </w:tcPr>
                <w:p w14:paraId="04D7B6A6">
                  <w:pPr>
                    <w:keepNext w:val="0"/>
                    <w:keepLines w:val="0"/>
                    <w:pageBreakBefore w:val="0"/>
                    <w:widowControl/>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kern w:val="0"/>
                      <w:sz w:val="21"/>
                      <w:szCs w:val="21"/>
                      <w:highlight w:val="none"/>
                    </w:rPr>
                    <w:t>绞笼式淬火机</w:t>
                  </w:r>
                </w:p>
              </w:tc>
              <w:tc>
                <w:tcPr>
                  <w:tcW w:w="299" w:type="pct"/>
                  <w:vMerge w:val="restart"/>
                  <w:shd w:val="clear" w:color="auto" w:fill="auto"/>
                  <w:noWrap w:val="0"/>
                  <w:vAlign w:val="center"/>
                </w:tcPr>
                <w:p w14:paraId="04C07E19">
                  <w:pPr>
                    <w:pStyle w:val="139"/>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rPr>
                    <w:t>2</w:t>
                  </w:r>
                </w:p>
              </w:tc>
              <w:tc>
                <w:tcPr>
                  <w:tcW w:w="410" w:type="pct"/>
                  <w:vMerge w:val="restart"/>
                  <w:shd w:val="clear" w:color="auto" w:fill="auto"/>
                  <w:noWrap w:val="0"/>
                  <w:vAlign w:val="center"/>
                </w:tcPr>
                <w:p w14:paraId="039E82F3">
                  <w:pPr>
                    <w:widowControl/>
                    <w:spacing w:line="240" w:lineRule="auto"/>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0</w:t>
                  </w:r>
                  <w:r>
                    <w:rPr>
                      <w:rFonts w:hint="default" w:ascii="Times New Roman" w:hAnsi="Times New Roman" w:eastAsia="宋体" w:cs="Times New Roman"/>
                      <w:color w:val="auto"/>
                      <w:sz w:val="21"/>
                      <w:szCs w:val="21"/>
                      <w:highlight w:val="none"/>
                      <w:lang w:val="en-US" w:eastAsia="zh-CN"/>
                    </w:rPr>
                    <w:t>/1</w:t>
                  </w:r>
                </w:p>
              </w:tc>
              <w:tc>
                <w:tcPr>
                  <w:tcW w:w="437" w:type="pct"/>
                  <w:vMerge w:val="continue"/>
                  <w:noWrap w:val="0"/>
                  <w:vAlign w:val="center"/>
                </w:tcPr>
                <w:p w14:paraId="2D89FAA2">
                  <w:pPr>
                    <w:spacing w:line="240" w:lineRule="auto"/>
                    <w:jc w:val="center"/>
                    <w:rPr>
                      <w:rFonts w:hint="default" w:ascii="Times New Roman" w:hAnsi="Times New Roman" w:eastAsia="宋体" w:cs="Times New Roman"/>
                      <w:color w:val="auto"/>
                      <w:sz w:val="21"/>
                      <w:szCs w:val="21"/>
                      <w:highlight w:val="none"/>
                    </w:rPr>
                  </w:pPr>
                </w:p>
              </w:tc>
              <w:tc>
                <w:tcPr>
                  <w:tcW w:w="283" w:type="pct"/>
                  <w:vMerge w:val="restart"/>
                  <w:noWrap w:val="0"/>
                  <w:vAlign w:val="center"/>
                </w:tcPr>
                <w:p w14:paraId="3EB04AC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97.63</w:t>
                  </w:r>
                </w:p>
              </w:tc>
              <w:tc>
                <w:tcPr>
                  <w:tcW w:w="283" w:type="pct"/>
                  <w:vMerge w:val="restart"/>
                  <w:noWrap w:val="0"/>
                  <w:vAlign w:val="center"/>
                </w:tcPr>
                <w:p w14:paraId="47CB095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197.43</w:t>
                  </w:r>
                </w:p>
              </w:tc>
              <w:tc>
                <w:tcPr>
                  <w:tcW w:w="254" w:type="pct"/>
                  <w:vMerge w:val="restart"/>
                  <w:noWrap w:val="0"/>
                  <w:vAlign w:val="center"/>
                </w:tcPr>
                <w:p w14:paraId="32D8CBC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c>
                <w:tcPr>
                  <w:tcW w:w="342" w:type="pct"/>
                  <w:noWrap w:val="0"/>
                  <w:vAlign w:val="center"/>
                </w:tcPr>
                <w:p w14:paraId="32514D9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50.55</w:t>
                  </w:r>
                </w:p>
              </w:tc>
              <w:tc>
                <w:tcPr>
                  <w:tcW w:w="416" w:type="pct"/>
                  <w:noWrap w:val="0"/>
                  <w:vAlign w:val="center"/>
                </w:tcPr>
                <w:p w14:paraId="3C9FE49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57.59</w:t>
                  </w:r>
                </w:p>
              </w:tc>
              <w:tc>
                <w:tcPr>
                  <w:tcW w:w="251" w:type="pct"/>
                  <w:vMerge w:val="continue"/>
                  <w:noWrap w:val="0"/>
                  <w:vAlign w:val="center"/>
                </w:tcPr>
                <w:p w14:paraId="4855EF8A">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15A9FB8A">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11290E55">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37.59</w:t>
                  </w:r>
                </w:p>
              </w:tc>
              <w:tc>
                <w:tcPr>
                  <w:tcW w:w="396" w:type="pct"/>
                  <w:noWrap w:val="0"/>
                  <w:vAlign w:val="center"/>
                </w:tcPr>
                <w:p w14:paraId="206178F7">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6732F2AA">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13" w:hRule="atLeast"/>
                <w:jc w:val="center"/>
              </w:trPr>
              <w:tc>
                <w:tcPr>
                  <w:tcW w:w="281" w:type="pct"/>
                  <w:vMerge w:val="continue"/>
                  <w:noWrap w:val="0"/>
                  <w:vAlign w:val="center"/>
                </w:tcPr>
                <w:p w14:paraId="2AAD9EDA">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007AFA19">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5600647C">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3817E013">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7BF11A13">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715A5BEC">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1367C9C2">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57957FFD">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6ADF9D7F">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10AA3D9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109.20</w:t>
                  </w:r>
                </w:p>
              </w:tc>
              <w:tc>
                <w:tcPr>
                  <w:tcW w:w="416" w:type="pct"/>
                  <w:noWrap w:val="0"/>
                  <w:vAlign w:val="center"/>
                </w:tcPr>
                <w:p w14:paraId="21FD8ED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57.21</w:t>
                  </w:r>
                </w:p>
              </w:tc>
              <w:tc>
                <w:tcPr>
                  <w:tcW w:w="251" w:type="pct"/>
                  <w:vMerge w:val="continue"/>
                  <w:noWrap w:val="0"/>
                  <w:vAlign w:val="center"/>
                </w:tcPr>
                <w:p w14:paraId="417497CF">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57AF1493">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246DFCAB">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37.21</w:t>
                  </w:r>
                </w:p>
              </w:tc>
              <w:tc>
                <w:tcPr>
                  <w:tcW w:w="396" w:type="pct"/>
                  <w:noWrap w:val="0"/>
                  <w:vAlign w:val="center"/>
                </w:tcPr>
                <w:p w14:paraId="1897F9A4">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1F398147">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7" w:hRule="atLeast"/>
                <w:jc w:val="center"/>
              </w:trPr>
              <w:tc>
                <w:tcPr>
                  <w:tcW w:w="281" w:type="pct"/>
                  <w:vMerge w:val="continue"/>
                  <w:noWrap w:val="0"/>
                  <w:vAlign w:val="center"/>
                </w:tcPr>
                <w:p w14:paraId="349C3EA5">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618814EA">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0E3C38B9">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0FFAF388">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1661156F">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609538EA">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3B3C8D2A">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1AAA31BA">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7466E264">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72743A4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53.12</w:t>
                  </w:r>
                </w:p>
              </w:tc>
              <w:tc>
                <w:tcPr>
                  <w:tcW w:w="416" w:type="pct"/>
                  <w:noWrap w:val="0"/>
                  <w:vAlign w:val="center"/>
                </w:tcPr>
                <w:p w14:paraId="14BFC0E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57.55</w:t>
                  </w:r>
                </w:p>
              </w:tc>
              <w:tc>
                <w:tcPr>
                  <w:tcW w:w="251" w:type="pct"/>
                  <w:vMerge w:val="continue"/>
                  <w:noWrap w:val="0"/>
                  <w:vAlign w:val="center"/>
                </w:tcPr>
                <w:p w14:paraId="7844EB89">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2565653F">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3C5C8D94">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37.55</w:t>
                  </w:r>
                </w:p>
              </w:tc>
              <w:tc>
                <w:tcPr>
                  <w:tcW w:w="396" w:type="pct"/>
                  <w:noWrap w:val="0"/>
                  <w:vAlign w:val="center"/>
                </w:tcPr>
                <w:p w14:paraId="36E32032">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155ADFFF">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7" w:hRule="atLeast"/>
                <w:jc w:val="center"/>
              </w:trPr>
              <w:tc>
                <w:tcPr>
                  <w:tcW w:w="281" w:type="pct"/>
                  <w:vMerge w:val="continue"/>
                  <w:noWrap w:val="0"/>
                  <w:vAlign w:val="center"/>
                </w:tcPr>
                <w:p w14:paraId="6546AED1">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0F9329B4">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1308081A">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071B0D97">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36B46F87">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23918600">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63F42170">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6C302F1D">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49D12AC7">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2B08C66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87.68</w:t>
                  </w:r>
                </w:p>
              </w:tc>
              <w:tc>
                <w:tcPr>
                  <w:tcW w:w="416" w:type="pct"/>
                  <w:noWrap w:val="0"/>
                  <w:vAlign w:val="center"/>
                </w:tcPr>
                <w:p w14:paraId="06F8999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57.27</w:t>
                  </w:r>
                </w:p>
              </w:tc>
              <w:tc>
                <w:tcPr>
                  <w:tcW w:w="251" w:type="pct"/>
                  <w:vMerge w:val="continue"/>
                  <w:noWrap w:val="0"/>
                  <w:vAlign w:val="center"/>
                </w:tcPr>
                <w:p w14:paraId="65CC20A3">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3C4F23C3">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0BFE0110">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37.27</w:t>
                  </w:r>
                </w:p>
              </w:tc>
              <w:tc>
                <w:tcPr>
                  <w:tcW w:w="396" w:type="pct"/>
                  <w:noWrap w:val="0"/>
                  <w:vAlign w:val="center"/>
                </w:tcPr>
                <w:p w14:paraId="0E2C27E5">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3196D6D4">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7" w:hRule="atLeast"/>
                <w:jc w:val="center"/>
              </w:trPr>
              <w:tc>
                <w:tcPr>
                  <w:tcW w:w="281" w:type="pct"/>
                  <w:vMerge w:val="continue"/>
                  <w:noWrap w:val="0"/>
                  <w:vAlign w:val="center"/>
                </w:tcPr>
                <w:p w14:paraId="3E315164">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1D9C2222">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7387169F">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1B652DA9">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73D347BF">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5E7FB7D3">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6F18BA6B">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25A14DCE">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1A3E3559">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56DEE32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21.04</w:t>
                  </w:r>
                </w:p>
              </w:tc>
              <w:tc>
                <w:tcPr>
                  <w:tcW w:w="416" w:type="pct"/>
                  <w:noWrap w:val="0"/>
                  <w:vAlign w:val="center"/>
                </w:tcPr>
                <w:p w14:paraId="7CF4BB7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59.40</w:t>
                  </w:r>
                </w:p>
              </w:tc>
              <w:tc>
                <w:tcPr>
                  <w:tcW w:w="251" w:type="pct"/>
                  <w:vMerge w:val="continue"/>
                  <w:noWrap w:val="0"/>
                  <w:vAlign w:val="center"/>
                </w:tcPr>
                <w:p w14:paraId="14637992">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4649ED66">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5C594C22">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39.4</w:t>
                  </w:r>
                </w:p>
              </w:tc>
              <w:tc>
                <w:tcPr>
                  <w:tcW w:w="396" w:type="pct"/>
                  <w:noWrap w:val="0"/>
                  <w:vAlign w:val="center"/>
                </w:tcPr>
                <w:p w14:paraId="35B527E5">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30FBE3CC">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8" w:hRule="atLeast"/>
                <w:jc w:val="center"/>
              </w:trPr>
              <w:tc>
                <w:tcPr>
                  <w:tcW w:w="281" w:type="pct"/>
                  <w:vMerge w:val="continue"/>
                  <w:noWrap w:val="0"/>
                  <w:vAlign w:val="center"/>
                </w:tcPr>
                <w:p w14:paraId="48009149">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38A66FE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6EF2BDB8">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29727D2B">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75D0FDC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28D53128">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7D26943B">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21FD4288">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3EDB6EB9">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5FB4FD9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125.91</w:t>
                  </w:r>
                </w:p>
              </w:tc>
              <w:tc>
                <w:tcPr>
                  <w:tcW w:w="416" w:type="pct"/>
                  <w:noWrap w:val="0"/>
                  <w:vAlign w:val="center"/>
                </w:tcPr>
                <w:p w14:paraId="6B1AFCF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57.18</w:t>
                  </w:r>
                </w:p>
              </w:tc>
              <w:tc>
                <w:tcPr>
                  <w:tcW w:w="251" w:type="pct"/>
                  <w:vMerge w:val="continue"/>
                  <w:noWrap w:val="0"/>
                  <w:vAlign w:val="center"/>
                </w:tcPr>
                <w:p w14:paraId="1C432AA9">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1A4BECDF">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7A95B352">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37.18</w:t>
                  </w:r>
                </w:p>
              </w:tc>
              <w:tc>
                <w:tcPr>
                  <w:tcW w:w="396" w:type="pct"/>
                  <w:noWrap w:val="0"/>
                  <w:vAlign w:val="center"/>
                </w:tcPr>
                <w:p w14:paraId="29314DFA">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31149C95">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5" w:hRule="atLeast"/>
                <w:jc w:val="center"/>
              </w:trPr>
              <w:tc>
                <w:tcPr>
                  <w:tcW w:w="281" w:type="pct"/>
                  <w:vMerge w:val="restart"/>
                  <w:noWrap w:val="0"/>
                  <w:vAlign w:val="center"/>
                </w:tcPr>
                <w:p w14:paraId="72E91F0F">
                  <w:pPr>
                    <w:widowControl/>
                    <w:spacing w:line="240" w:lineRule="auto"/>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w:t>
                  </w:r>
                </w:p>
              </w:tc>
              <w:tc>
                <w:tcPr>
                  <w:tcW w:w="269" w:type="pct"/>
                  <w:vMerge w:val="continue"/>
                  <w:noWrap w:val="0"/>
                  <w:vAlign w:val="center"/>
                </w:tcPr>
                <w:p w14:paraId="36E1E82B">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restart"/>
                  <w:shd w:val="clear" w:color="auto" w:fill="auto"/>
                  <w:noWrap w:val="0"/>
                  <w:vAlign w:val="center"/>
                </w:tcPr>
                <w:p w14:paraId="5979DA29">
                  <w:pPr>
                    <w:keepNext w:val="0"/>
                    <w:keepLines w:val="0"/>
                    <w:pageBreakBefore w:val="0"/>
                    <w:widowControl/>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kern w:val="0"/>
                      <w:sz w:val="21"/>
                      <w:szCs w:val="21"/>
                      <w:highlight w:val="none"/>
                    </w:rPr>
                    <w:t>淬后风</w:t>
                  </w:r>
                  <w:r>
                    <w:rPr>
                      <w:rFonts w:hint="default" w:ascii="Times New Roman" w:hAnsi="Times New Roman" w:eastAsia="宋体" w:cs="Times New Roman"/>
                      <w:b w:val="0"/>
                      <w:bCs w:val="0"/>
                      <w:color w:val="auto"/>
                      <w:sz w:val="21"/>
                      <w:szCs w:val="21"/>
                      <w:highlight w:val="none"/>
                    </w:rPr>
                    <w:t>冷机</w:t>
                  </w:r>
                </w:p>
              </w:tc>
              <w:tc>
                <w:tcPr>
                  <w:tcW w:w="299" w:type="pct"/>
                  <w:vMerge w:val="restart"/>
                  <w:shd w:val="clear" w:color="auto" w:fill="auto"/>
                  <w:noWrap w:val="0"/>
                  <w:vAlign w:val="center"/>
                </w:tcPr>
                <w:p w14:paraId="5C5D7400">
                  <w:pPr>
                    <w:pStyle w:val="139"/>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rPr>
                    <w:t>1</w:t>
                  </w:r>
                </w:p>
              </w:tc>
              <w:tc>
                <w:tcPr>
                  <w:tcW w:w="410" w:type="pct"/>
                  <w:vMerge w:val="restart"/>
                  <w:shd w:val="clear" w:color="auto" w:fill="auto"/>
                  <w:noWrap w:val="0"/>
                  <w:vAlign w:val="center"/>
                </w:tcPr>
                <w:p w14:paraId="469C4864">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90/1</w:t>
                  </w:r>
                </w:p>
              </w:tc>
              <w:tc>
                <w:tcPr>
                  <w:tcW w:w="437" w:type="pct"/>
                  <w:vMerge w:val="continue"/>
                  <w:noWrap w:val="0"/>
                  <w:vAlign w:val="center"/>
                </w:tcPr>
                <w:p w14:paraId="6A11D488">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restart"/>
                  <w:noWrap w:val="0"/>
                  <w:vAlign w:val="center"/>
                </w:tcPr>
                <w:p w14:paraId="0355FD7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122.96</w:t>
                  </w:r>
                </w:p>
              </w:tc>
              <w:tc>
                <w:tcPr>
                  <w:tcW w:w="283" w:type="pct"/>
                  <w:vMerge w:val="restart"/>
                  <w:noWrap w:val="0"/>
                  <w:vAlign w:val="center"/>
                </w:tcPr>
                <w:p w14:paraId="6F46EBB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194.14</w:t>
                  </w:r>
                </w:p>
              </w:tc>
              <w:tc>
                <w:tcPr>
                  <w:tcW w:w="254" w:type="pct"/>
                  <w:vMerge w:val="restart"/>
                  <w:noWrap w:val="0"/>
                  <w:vAlign w:val="center"/>
                </w:tcPr>
                <w:p w14:paraId="0C7D90D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c>
                <w:tcPr>
                  <w:tcW w:w="342" w:type="pct"/>
                  <w:noWrap w:val="0"/>
                  <w:vAlign w:val="center"/>
                </w:tcPr>
                <w:p w14:paraId="46ECB28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43.58</w:t>
                  </w:r>
                </w:p>
              </w:tc>
              <w:tc>
                <w:tcPr>
                  <w:tcW w:w="416" w:type="pct"/>
                  <w:noWrap w:val="0"/>
                  <w:vAlign w:val="center"/>
                </w:tcPr>
                <w:p w14:paraId="090DF60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54.75</w:t>
                  </w:r>
                </w:p>
              </w:tc>
              <w:tc>
                <w:tcPr>
                  <w:tcW w:w="251" w:type="pct"/>
                  <w:vMerge w:val="continue"/>
                  <w:noWrap w:val="0"/>
                  <w:vAlign w:val="center"/>
                </w:tcPr>
                <w:p w14:paraId="61DCD8C7">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7E7E0E02">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5CC98F7D">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34.75</w:t>
                  </w:r>
                </w:p>
              </w:tc>
              <w:tc>
                <w:tcPr>
                  <w:tcW w:w="396" w:type="pct"/>
                  <w:noWrap w:val="0"/>
                  <w:vAlign w:val="center"/>
                </w:tcPr>
                <w:p w14:paraId="421C5DCD">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65DFA80C">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3" w:hRule="atLeast"/>
                <w:jc w:val="center"/>
              </w:trPr>
              <w:tc>
                <w:tcPr>
                  <w:tcW w:w="281" w:type="pct"/>
                  <w:vMerge w:val="continue"/>
                  <w:noWrap w:val="0"/>
                  <w:vAlign w:val="center"/>
                </w:tcPr>
                <w:p w14:paraId="16385D16">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0DCB9059">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25ACFAD3">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453D9934">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2A08257D">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0904740F">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00166AF4">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792AC9D0">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4DA0C5E0">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4E431F7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133.78</w:t>
                  </w:r>
                </w:p>
              </w:tc>
              <w:tc>
                <w:tcPr>
                  <w:tcW w:w="416" w:type="pct"/>
                  <w:noWrap w:val="0"/>
                  <w:vAlign w:val="center"/>
                </w:tcPr>
                <w:p w14:paraId="6CFE8C2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54.17</w:t>
                  </w:r>
                </w:p>
              </w:tc>
              <w:tc>
                <w:tcPr>
                  <w:tcW w:w="251" w:type="pct"/>
                  <w:vMerge w:val="continue"/>
                  <w:noWrap w:val="0"/>
                  <w:vAlign w:val="center"/>
                </w:tcPr>
                <w:p w14:paraId="32A41C31">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1246B98C">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749BEDA2">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34.17</w:t>
                  </w:r>
                </w:p>
              </w:tc>
              <w:tc>
                <w:tcPr>
                  <w:tcW w:w="396" w:type="pct"/>
                  <w:noWrap w:val="0"/>
                  <w:vAlign w:val="center"/>
                </w:tcPr>
                <w:p w14:paraId="613ED23F">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2BFED3F4">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3" w:hRule="atLeast"/>
                <w:jc w:val="center"/>
              </w:trPr>
              <w:tc>
                <w:tcPr>
                  <w:tcW w:w="281" w:type="pct"/>
                  <w:vMerge w:val="continue"/>
                  <w:noWrap w:val="0"/>
                  <w:vAlign w:val="center"/>
                </w:tcPr>
                <w:p w14:paraId="3FB9AFAF">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199429EA">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2F53827E">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2AFBA7F3">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29FDE001">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02F71A96">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62FDB709">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4679F372">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628FBCB3">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7A32F31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59.66</w:t>
                  </w:r>
                </w:p>
              </w:tc>
              <w:tc>
                <w:tcPr>
                  <w:tcW w:w="416" w:type="pct"/>
                  <w:noWrap w:val="0"/>
                  <w:vAlign w:val="center"/>
                </w:tcPr>
                <w:p w14:paraId="13E3667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54.46</w:t>
                  </w:r>
                </w:p>
              </w:tc>
              <w:tc>
                <w:tcPr>
                  <w:tcW w:w="251" w:type="pct"/>
                  <w:vMerge w:val="continue"/>
                  <w:noWrap w:val="0"/>
                  <w:vAlign w:val="center"/>
                </w:tcPr>
                <w:p w14:paraId="15273AAB">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70C065EC">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3D08C8A7">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34.46</w:t>
                  </w:r>
                </w:p>
              </w:tc>
              <w:tc>
                <w:tcPr>
                  <w:tcW w:w="396" w:type="pct"/>
                  <w:noWrap w:val="0"/>
                  <w:vAlign w:val="center"/>
                </w:tcPr>
                <w:p w14:paraId="3E120C4D">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45F6508D">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3" w:hRule="atLeast"/>
                <w:jc w:val="center"/>
              </w:trPr>
              <w:tc>
                <w:tcPr>
                  <w:tcW w:w="281" w:type="pct"/>
                  <w:vMerge w:val="continue"/>
                  <w:noWrap w:val="0"/>
                  <w:vAlign w:val="center"/>
                </w:tcPr>
                <w:p w14:paraId="1DE03B91">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11792555">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083B6771">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2B48C020">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1F3BA160">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7F7A1D18">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2D6D9592">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0AA22A94">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06D85E59">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78E2F19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63.20</w:t>
                  </w:r>
                </w:p>
              </w:tc>
              <w:tc>
                <w:tcPr>
                  <w:tcW w:w="416" w:type="pct"/>
                  <w:noWrap w:val="0"/>
                  <w:vAlign w:val="center"/>
                </w:tcPr>
                <w:p w14:paraId="1F7ED8F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54.42</w:t>
                  </w:r>
                </w:p>
              </w:tc>
              <w:tc>
                <w:tcPr>
                  <w:tcW w:w="251" w:type="pct"/>
                  <w:vMerge w:val="continue"/>
                  <w:noWrap w:val="0"/>
                  <w:vAlign w:val="center"/>
                </w:tcPr>
                <w:p w14:paraId="35EED36F">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40595D0F">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30D2C5A8">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34.42</w:t>
                  </w:r>
                </w:p>
              </w:tc>
              <w:tc>
                <w:tcPr>
                  <w:tcW w:w="396" w:type="pct"/>
                  <w:noWrap w:val="0"/>
                  <w:vAlign w:val="center"/>
                </w:tcPr>
                <w:p w14:paraId="4A5CD109">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42C1E56E">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8" w:hRule="atLeast"/>
                <w:jc w:val="center"/>
              </w:trPr>
              <w:tc>
                <w:tcPr>
                  <w:tcW w:w="281" w:type="pct"/>
                  <w:vMerge w:val="restart"/>
                  <w:noWrap w:val="0"/>
                  <w:vAlign w:val="center"/>
                </w:tcPr>
                <w:p w14:paraId="39B2D2F7">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w:t>
                  </w:r>
                </w:p>
              </w:tc>
              <w:tc>
                <w:tcPr>
                  <w:tcW w:w="269" w:type="pct"/>
                  <w:vMerge w:val="continue"/>
                  <w:noWrap w:val="0"/>
                  <w:vAlign w:val="center"/>
                </w:tcPr>
                <w:p w14:paraId="176E19DE">
                  <w:pPr>
                    <w:spacing w:line="240" w:lineRule="auto"/>
                    <w:jc w:val="center"/>
                    <w:rPr>
                      <w:rFonts w:hint="default" w:ascii="Times New Roman" w:hAnsi="Times New Roman" w:eastAsia="宋体" w:cs="Times New Roman"/>
                      <w:color w:val="auto"/>
                      <w:sz w:val="21"/>
                      <w:szCs w:val="21"/>
                      <w:highlight w:val="none"/>
                    </w:rPr>
                  </w:pPr>
                </w:p>
              </w:tc>
              <w:tc>
                <w:tcPr>
                  <w:tcW w:w="361" w:type="pct"/>
                  <w:vMerge w:val="restart"/>
                  <w:shd w:val="clear" w:color="auto" w:fill="auto"/>
                  <w:noWrap w:val="0"/>
                  <w:vAlign w:val="center"/>
                </w:tcPr>
                <w:p w14:paraId="085D36D0">
                  <w:pPr>
                    <w:keepNext w:val="0"/>
                    <w:keepLines w:val="0"/>
                    <w:pageBreakBefore w:val="0"/>
                    <w:widowControl/>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rPr>
                    <w:t>2#提升输送机</w:t>
                  </w:r>
                </w:p>
              </w:tc>
              <w:tc>
                <w:tcPr>
                  <w:tcW w:w="299" w:type="pct"/>
                  <w:vMerge w:val="restart"/>
                  <w:shd w:val="clear" w:color="auto" w:fill="auto"/>
                  <w:noWrap w:val="0"/>
                  <w:vAlign w:val="center"/>
                </w:tcPr>
                <w:p w14:paraId="1550B503">
                  <w:pPr>
                    <w:pStyle w:val="139"/>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rPr>
                    <w:t>1</w:t>
                  </w:r>
                </w:p>
              </w:tc>
              <w:tc>
                <w:tcPr>
                  <w:tcW w:w="410" w:type="pct"/>
                  <w:vMerge w:val="restart"/>
                  <w:shd w:val="clear" w:color="auto" w:fill="auto"/>
                  <w:noWrap w:val="0"/>
                  <w:vAlign w:val="center"/>
                </w:tcPr>
                <w:p w14:paraId="35C030AB">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rPr>
                    <w:t>5</w:t>
                  </w:r>
                  <w:r>
                    <w:rPr>
                      <w:rFonts w:hint="default" w:ascii="Times New Roman" w:hAnsi="Times New Roman" w:eastAsia="宋体" w:cs="Times New Roman"/>
                      <w:color w:val="auto"/>
                      <w:sz w:val="21"/>
                      <w:szCs w:val="21"/>
                      <w:highlight w:val="none"/>
                      <w:lang w:val="en-US" w:eastAsia="zh-CN"/>
                    </w:rPr>
                    <w:t>/1</w:t>
                  </w:r>
                </w:p>
              </w:tc>
              <w:tc>
                <w:tcPr>
                  <w:tcW w:w="437" w:type="pct"/>
                  <w:vMerge w:val="continue"/>
                  <w:noWrap w:val="0"/>
                  <w:vAlign w:val="center"/>
                </w:tcPr>
                <w:p w14:paraId="491AA41B">
                  <w:pPr>
                    <w:spacing w:line="240" w:lineRule="auto"/>
                    <w:jc w:val="center"/>
                    <w:rPr>
                      <w:rFonts w:hint="default" w:ascii="Times New Roman" w:hAnsi="Times New Roman" w:eastAsia="宋体" w:cs="Times New Roman"/>
                      <w:color w:val="auto"/>
                      <w:sz w:val="21"/>
                      <w:szCs w:val="21"/>
                      <w:highlight w:val="none"/>
                    </w:rPr>
                  </w:pPr>
                </w:p>
              </w:tc>
              <w:tc>
                <w:tcPr>
                  <w:tcW w:w="283" w:type="pct"/>
                  <w:vMerge w:val="restart"/>
                  <w:noWrap w:val="0"/>
                  <w:vAlign w:val="center"/>
                </w:tcPr>
                <w:p w14:paraId="38350A6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164.42</w:t>
                  </w:r>
                </w:p>
              </w:tc>
              <w:tc>
                <w:tcPr>
                  <w:tcW w:w="283" w:type="pct"/>
                  <w:vMerge w:val="restart"/>
                  <w:noWrap w:val="0"/>
                  <w:vAlign w:val="center"/>
                </w:tcPr>
                <w:p w14:paraId="1499AE0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206.31</w:t>
                  </w:r>
                </w:p>
              </w:tc>
              <w:tc>
                <w:tcPr>
                  <w:tcW w:w="254" w:type="pct"/>
                  <w:vMerge w:val="restart"/>
                  <w:noWrap w:val="0"/>
                  <w:vAlign w:val="center"/>
                </w:tcPr>
                <w:p w14:paraId="0554406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c>
                <w:tcPr>
                  <w:tcW w:w="342" w:type="pct"/>
                  <w:noWrap w:val="0"/>
                  <w:vAlign w:val="center"/>
                </w:tcPr>
                <w:p w14:paraId="4C750C1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49.52</w:t>
                  </w:r>
                </w:p>
              </w:tc>
              <w:tc>
                <w:tcPr>
                  <w:tcW w:w="416" w:type="pct"/>
                  <w:noWrap w:val="0"/>
                  <w:vAlign w:val="center"/>
                </w:tcPr>
                <w:p w14:paraId="4EFED4B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49.61</w:t>
                  </w:r>
                </w:p>
              </w:tc>
              <w:tc>
                <w:tcPr>
                  <w:tcW w:w="251" w:type="pct"/>
                  <w:vMerge w:val="continue"/>
                  <w:noWrap w:val="0"/>
                  <w:vAlign w:val="center"/>
                </w:tcPr>
                <w:p w14:paraId="66922F6D">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71253D79">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795128E2">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29.61</w:t>
                  </w:r>
                </w:p>
              </w:tc>
              <w:tc>
                <w:tcPr>
                  <w:tcW w:w="396" w:type="pct"/>
                  <w:noWrap w:val="0"/>
                  <w:vAlign w:val="center"/>
                </w:tcPr>
                <w:p w14:paraId="6BCAE80D">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2046F46E">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84" w:hRule="atLeast"/>
                <w:jc w:val="center"/>
              </w:trPr>
              <w:tc>
                <w:tcPr>
                  <w:tcW w:w="281" w:type="pct"/>
                  <w:vMerge w:val="continue"/>
                  <w:noWrap w:val="0"/>
                  <w:vAlign w:val="center"/>
                </w:tcPr>
                <w:p w14:paraId="008232C6">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0A841210">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061B30B4">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69BF77F6">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4D04A321">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5F3D5951">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20CE0FDE">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52ED9020">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2C99FBBB">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7492897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176.57</w:t>
                  </w:r>
                </w:p>
              </w:tc>
              <w:tc>
                <w:tcPr>
                  <w:tcW w:w="416" w:type="pct"/>
                  <w:noWrap w:val="0"/>
                  <w:vAlign w:val="center"/>
                </w:tcPr>
                <w:p w14:paraId="7B16CA3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49.14</w:t>
                  </w:r>
                </w:p>
              </w:tc>
              <w:tc>
                <w:tcPr>
                  <w:tcW w:w="251" w:type="pct"/>
                  <w:vMerge w:val="continue"/>
                  <w:noWrap w:val="0"/>
                  <w:vAlign w:val="center"/>
                </w:tcPr>
                <w:p w14:paraId="358AA7AD">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731E9E90">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51CF660E">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29.14</w:t>
                  </w:r>
                </w:p>
              </w:tc>
              <w:tc>
                <w:tcPr>
                  <w:tcW w:w="396" w:type="pct"/>
                  <w:noWrap w:val="0"/>
                  <w:vAlign w:val="center"/>
                </w:tcPr>
                <w:p w14:paraId="0788467A">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7ADDC2A2">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84" w:hRule="atLeast"/>
                <w:jc w:val="center"/>
              </w:trPr>
              <w:tc>
                <w:tcPr>
                  <w:tcW w:w="281" w:type="pct"/>
                  <w:vMerge w:val="continue"/>
                  <w:noWrap w:val="0"/>
                  <w:vAlign w:val="center"/>
                </w:tcPr>
                <w:p w14:paraId="2BC33388">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3D9CF7CD">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38D20C58">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5335FA80">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4D0F2C08">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72F0E7D0">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6C32B380">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006AF22B">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55EA2158">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271CD76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52.95</w:t>
                  </w:r>
                </w:p>
              </w:tc>
              <w:tc>
                <w:tcPr>
                  <w:tcW w:w="416" w:type="pct"/>
                  <w:noWrap w:val="0"/>
                  <w:vAlign w:val="center"/>
                </w:tcPr>
                <w:p w14:paraId="7187BE0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49.55</w:t>
                  </w:r>
                </w:p>
              </w:tc>
              <w:tc>
                <w:tcPr>
                  <w:tcW w:w="251" w:type="pct"/>
                  <w:vMerge w:val="continue"/>
                  <w:noWrap w:val="0"/>
                  <w:vAlign w:val="center"/>
                </w:tcPr>
                <w:p w14:paraId="5EF9A326">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08E1D6FE">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61C6EFD5">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29.55</w:t>
                  </w:r>
                </w:p>
              </w:tc>
              <w:tc>
                <w:tcPr>
                  <w:tcW w:w="396" w:type="pct"/>
                  <w:noWrap w:val="0"/>
                  <w:vAlign w:val="center"/>
                </w:tcPr>
                <w:p w14:paraId="6EB7DD1B">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025E19D3">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84" w:hRule="atLeast"/>
                <w:jc w:val="center"/>
              </w:trPr>
              <w:tc>
                <w:tcPr>
                  <w:tcW w:w="281" w:type="pct"/>
                  <w:vMerge w:val="continue"/>
                  <w:noWrap w:val="0"/>
                  <w:vAlign w:val="center"/>
                </w:tcPr>
                <w:p w14:paraId="4CC2F3C0">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6F6A3EDF">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204D80A5">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4C729E3F">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209B82A5">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71E88C13">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36DA4D06">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6CE1CA8A">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015A39CF">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4F78D00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20.33</w:t>
                  </w:r>
                </w:p>
              </w:tc>
              <w:tc>
                <w:tcPr>
                  <w:tcW w:w="416" w:type="pct"/>
                  <w:noWrap w:val="0"/>
                  <w:vAlign w:val="center"/>
                </w:tcPr>
                <w:p w14:paraId="2781CC7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51.52</w:t>
                  </w:r>
                </w:p>
              </w:tc>
              <w:tc>
                <w:tcPr>
                  <w:tcW w:w="251" w:type="pct"/>
                  <w:vMerge w:val="continue"/>
                  <w:noWrap w:val="0"/>
                  <w:vAlign w:val="center"/>
                </w:tcPr>
                <w:p w14:paraId="312987AC">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26641F7E">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7660D675">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31.52</w:t>
                  </w:r>
                </w:p>
              </w:tc>
              <w:tc>
                <w:tcPr>
                  <w:tcW w:w="396" w:type="pct"/>
                  <w:noWrap w:val="0"/>
                  <w:vAlign w:val="center"/>
                </w:tcPr>
                <w:p w14:paraId="7D04AA9D">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3CB1C309">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87" w:hRule="atLeast"/>
                <w:jc w:val="center"/>
              </w:trPr>
              <w:tc>
                <w:tcPr>
                  <w:tcW w:w="281" w:type="pct"/>
                  <w:vMerge w:val="continue"/>
                  <w:noWrap w:val="0"/>
                  <w:vAlign w:val="center"/>
                </w:tcPr>
                <w:p w14:paraId="11810610">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1D385459">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6B96D02F">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1BE3C0E3">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02D0BABA">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14E6358A">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52DA727A">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59DAB227">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5DAE71ED">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679B3D1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21.61</w:t>
                  </w:r>
                </w:p>
              </w:tc>
              <w:tc>
                <w:tcPr>
                  <w:tcW w:w="416" w:type="pct"/>
                  <w:noWrap w:val="0"/>
                  <w:vAlign w:val="center"/>
                </w:tcPr>
                <w:p w14:paraId="5C976A0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51.31</w:t>
                  </w:r>
                </w:p>
              </w:tc>
              <w:tc>
                <w:tcPr>
                  <w:tcW w:w="251" w:type="pct"/>
                  <w:vMerge w:val="continue"/>
                  <w:noWrap w:val="0"/>
                  <w:vAlign w:val="center"/>
                </w:tcPr>
                <w:p w14:paraId="4B746F9C">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10B243E0">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5358B191">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31.31</w:t>
                  </w:r>
                </w:p>
              </w:tc>
              <w:tc>
                <w:tcPr>
                  <w:tcW w:w="396" w:type="pct"/>
                  <w:noWrap w:val="0"/>
                  <w:vAlign w:val="center"/>
                </w:tcPr>
                <w:p w14:paraId="708FF1BE">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1545CD32">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50" w:hRule="atLeast"/>
                <w:jc w:val="center"/>
              </w:trPr>
              <w:tc>
                <w:tcPr>
                  <w:tcW w:w="281" w:type="pct"/>
                  <w:vMerge w:val="continue"/>
                  <w:noWrap w:val="0"/>
                  <w:vAlign w:val="center"/>
                </w:tcPr>
                <w:p w14:paraId="364666F9">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47065342">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272E9192">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477DA6E7">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17DD1B38">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45D03EEB">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537C5526">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176D8688">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3C21DF1B">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54A7A59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58.54</w:t>
                  </w:r>
                </w:p>
              </w:tc>
              <w:tc>
                <w:tcPr>
                  <w:tcW w:w="416" w:type="pct"/>
                  <w:noWrap w:val="0"/>
                  <w:vAlign w:val="center"/>
                </w:tcPr>
                <w:p w14:paraId="401E002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49.47</w:t>
                  </w:r>
                </w:p>
              </w:tc>
              <w:tc>
                <w:tcPr>
                  <w:tcW w:w="251" w:type="pct"/>
                  <w:vMerge w:val="continue"/>
                  <w:noWrap w:val="0"/>
                  <w:vAlign w:val="center"/>
                </w:tcPr>
                <w:p w14:paraId="2B17D537">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1862DA64">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59EAACC2">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29.47</w:t>
                  </w:r>
                </w:p>
              </w:tc>
              <w:tc>
                <w:tcPr>
                  <w:tcW w:w="396" w:type="pct"/>
                  <w:noWrap w:val="0"/>
                  <w:vAlign w:val="center"/>
                </w:tcPr>
                <w:p w14:paraId="2B879589">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5E8C73E6">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2" w:hRule="atLeast"/>
                <w:jc w:val="center"/>
              </w:trPr>
              <w:tc>
                <w:tcPr>
                  <w:tcW w:w="281" w:type="pct"/>
                  <w:vMerge w:val="restart"/>
                  <w:noWrap w:val="0"/>
                  <w:vAlign w:val="center"/>
                </w:tcPr>
                <w:p w14:paraId="0CDD01FE">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269" w:type="pct"/>
                  <w:vMerge w:val="continue"/>
                  <w:noWrap w:val="0"/>
                  <w:vAlign w:val="center"/>
                </w:tcPr>
                <w:p w14:paraId="6852A8F7">
                  <w:pPr>
                    <w:spacing w:line="240" w:lineRule="auto"/>
                    <w:jc w:val="center"/>
                    <w:rPr>
                      <w:rFonts w:hint="default" w:ascii="Times New Roman" w:hAnsi="Times New Roman" w:eastAsia="宋体" w:cs="Times New Roman"/>
                      <w:color w:val="auto"/>
                      <w:sz w:val="21"/>
                      <w:szCs w:val="21"/>
                      <w:highlight w:val="none"/>
                    </w:rPr>
                  </w:pPr>
                </w:p>
              </w:tc>
              <w:tc>
                <w:tcPr>
                  <w:tcW w:w="361" w:type="pct"/>
                  <w:vMerge w:val="restart"/>
                  <w:shd w:val="clear" w:color="auto" w:fill="auto"/>
                  <w:noWrap w:val="0"/>
                  <w:vAlign w:val="center"/>
                </w:tcPr>
                <w:p w14:paraId="774EFC13">
                  <w:pPr>
                    <w:keepNext w:val="0"/>
                    <w:keepLines w:val="0"/>
                    <w:pageBreakBefore w:val="0"/>
                    <w:widowControl/>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布料机</w:t>
                  </w:r>
                </w:p>
              </w:tc>
              <w:tc>
                <w:tcPr>
                  <w:tcW w:w="299" w:type="pct"/>
                  <w:vMerge w:val="restart"/>
                  <w:shd w:val="clear" w:color="auto" w:fill="auto"/>
                  <w:noWrap w:val="0"/>
                  <w:vAlign w:val="center"/>
                </w:tcPr>
                <w:p w14:paraId="2B77B679">
                  <w:pPr>
                    <w:pStyle w:val="139"/>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410" w:type="pct"/>
                  <w:vMerge w:val="restart"/>
                  <w:shd w:val="clear" w:color="auto" w:fill="auto"/>
                  <w:noWrap w:val="0"/>
                  <w:vAlign w:val="center"/>
                </w:tcPr>
                <w:p w14:paraId="53866CC1">
                  <w:pPr>
                    <w:spacing w:line="240" w:lineRule="auto"/>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85/1</w:t>
                  </w:r>
                </w:p>
              </w:tc>
              <w:tc>
                <w:tcPr>
                  <w:tcW w:w="437" w:type="pct"/>
                  <w:vMerge w:val="continue"/>
                  <w:noWrap w:val="0"/>
                  <w:vAlign w:val="center"/>
                </w:tcPr>
                <w:p w14:paraId="187B5100">
                  <w:pPr>
                    <w:spacing w:line="240" w:lineRule="auto"/>
                    <w:jc w:val="center"/>
                    <w:rPr>
                      <w:rFonts w:hint="default" w:ascii="Times New Roman" w:hAnsi="Times New Roman" w:eastAsia="宋体" w:cs="Times New Roman"/>
                      <w:color w:val="auto"/>
                      <w:sz w:val="21"/>
                      <w:szCs w:val="21"/>
                      <w:highlight w:val="none"/>
                    </w:rPr>
                  </w:pPr>
                </w:p>
              </w:tc>
              <w:tc>
                <w:tcPr>
                  <w:tcW w:w="283" w:type="pct"/>
                  <w:vMerge w:val="restart"/>
                  <w:noWrap w:val="0"/>
                  <w:vAlign w:val="center"/>
                </w:tcPr>
                <w:p w14:paraId="4F41BD1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167.38</w:t>
                  </w:r>
                </w:p>
              </w:tc>
              <w:tc>
                <w:tcPr>
                  <w:tcW w:w="283" w:type="pct"/>
                  <w:vMerge w:val="restart"/>
                  <w:noWrap w:val="0"/>
                  <w:vAlign w:val="center"/>
                </w:tcPr>
                <w:p w14:paraId="567AA51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224.74</w:t>
                  </w:r>
                </w:p>
              </w:tc>
              <w:tc>
                <w:tcPr>
                  <w:tcW w:w="254" w:type="pct"/>
                  <w:vMerge w:val="restart"/>
                  <w:noWrap w:val="0"/>
                  <w:vAlign w:val="center"/>
                </w:tcPr>
                <w:p w14:paraId="78C4CF7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c>
                <w:tcPr>
                  <w:tcW w:w="342" w:type="pct"/>
                  <w:noWrap w:val="0"/>
                  <w:vAlign w:val="center"/>
                </w:tcPr>
                <w:p w14:paraId="16C31D2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67.31</w:t>
                  </w:r>
                </w:p>
              </w:tc>
              <w:tc>
                <w:tcPr>
                  <w:tcW w:w="416" w:type="pct"/>
                  <w:noWrap w:val="0"/>
                  <w:vAlign w:val="center"/>
                </w:tcPr>
                <w:p w14:paraId="56F44B3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49.38</w:t>
                  </w:r>
                </w:p>
              </w:tc>
              <w:tc>
                <w:tcPr>
                  <w:tcW w:w="251" w:type="pct"/>
                  <w:vMerge w:val="continue"/>
                  <w:noWrap w:val="0"/>
                  <w:vAlign w:val="center"/>
                </w:tcPr>
                <w:p w14:paraId="194EB9FA">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4E5342E8">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44987B85">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29.38</w:t>
                  </w:r>
                </w:p>
              </w:tc>
              <w:tc>
                <w:tcPr>
                  <w:tcW w:w="396" w:type="pct"/>
                  <w:noWrap w:val="0"/>
                  <w:vAlign w:val="center"/>
                </w:tcPr>
                <w:p w14:paraId="088C13B5">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314FADA2">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7" w:hRule="atLeast"/>
                <w:jc w:val="center"/>
              </w:trPr>
              <w:tc>
                <w:tcPr>
                  <w:tcW w:w="281" w:type="pct"/>
                  <w:vMerge w:val="continue"/>
                  <w:noWrap w:val="0"/>
                  <w:vAlign w:val="center"/>
                </w:tcPr>
                <w:p w14:paraId="5C9D1FDC">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19A82D52">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5B6AE1B0">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48CCD9D3">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719F4151">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54AB91A4">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3EBC8A44">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5C93F1BA">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612885EE">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6608B94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182.19</w:t>
                  </w:r>
                </w:p>
              </w:tc>
              <w:tc>
                <w:tcPr>
                  <w:tcW w:w="416" w:type="pct"/>
                  <w:noWrap w:val="0"/>
                  <w:vAlign w:val="center"/>
                </w:tcPr>
                <w:p w14:paraId="1EC913A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49.13</w:t>
                  </w:r>
                </w:p>
              </w:tc>
              <w:tc>
                <w:tcPr>
                  <w:tcW w:w="251" w:type="pct"/>
                  <w:vMerge w:val="continue"/>
                  <w:noWrap w:val="0"/>
                  <w:vAlign w:val="center"/>
                </w:tcPr>
                <w:p w14:paraId="75D324C1">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09F9EE12">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2CC6AD50">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29.13</w:t>
                  </w:r>
                </w:p>
              </w:tc>
              <w:tc>
                <w:tcPr>
                  <w:tcW w:w="396" w:type="pct"/>
                  <w:noWrap w:val="0"/>
                  <w:vAlign w:val="center"/>
                </w:tcPr>
                <w:p w14:paraId="41815C34">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04C9FD0C">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7" w:hRule="atLeast"/>
                <w:jc w:val="center"/>
              </w:trPr>
              <w:tc>
                <w:tcPr>
                  <w:tcW w:w="281" w:type="pct"/>
                  <w:vMerge w:val="continue"/>
                  <w:noWrap w:val="0"/>
                  <w:vAlign w:val="center"/>
                </w:tcPr>
                <w:p w14:paraId="382D36F8">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1625B448">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3E9C2C7F">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639D6416">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426F37F6">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43EF80B6">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5FD55DE2">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05DEEF31">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373AFAEE">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6C12B92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35.06</w:t>
                  </w:r>
                </w:p>
              </w:tc>
              <w:tc>
                <w:tcPr>
                  <w:tcW w:w="416" w:type="pct"/>
                  <w:noWrap w:val="0"/>
                  <w:vAlign w:val="center"/>
                </w:tcPr>
                <w:p w14:paraId="1160E35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50.07</w:t>
                  </w:r>
                </w:p>
              </w:tc>
              <w:tc>
                <w:tcPr>
                  <w:tcW w:w="251" w:type="pct"/>
                  <w:vMerge w:val="continue"/>
                  <w:noWrap w:val="0"/>
                  <w:vAlign w:val="center"/>
                </w:tcPr>
                <w:p w14:paraId="36B05AC2">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4150C928">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69FA1D0C">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30.07</w:t>
                  </w:r>
                </w:p>
              </w:tc>
              <w:tc>
                <w:tcPr>
                  <w:tcW w:w="396" w:type="pct"/>
                  <w:noWrap w:val="0"/>
                  <w:vAlign w:val="center"/>
                </w:tcPr>
                <w:p w14:paraId="213E73E9">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3487292F">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7" w:hRule="atLeast"/>
                <w:jc w:val="center"/>
              </w:trPr>
              <w:tc>
                <w:tcPr>
                  <w:tcW w:w="281" w:type="pct"/>
                  <w:vMerge w:val="continue"/>
                  <w:noWrap w:val="0"/>
                  <w:vAlign w:val="center"/>
                </w:tcPr>
                <w:p w14:paraId="4C921942">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4C42F171">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39F8260F">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43A4A7AD">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13CEBF26">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72D2B9A7">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31C07BC4">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676BAAD7">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6F5765DC">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629D232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14.47</w:t>
                  </w:r>
                </w:p>
              </w:tc>
              <w:tc>
                <w:tcPr>
                  <w:tcW w:w="416" w:type="pct"/>
                  <w:noWrap w:val="0"/>
                  <w:vAlign w:val="center"/>
                </w:tcPr>
                <w:p w14:paraId="0FAF8C7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53.04</w:t>
                  </w:r>
                </w:p>
              </w:tc>
              <w:tc>
                <w:tcPr>
                  <w:tcW w:w="251" w:type="pct"/>
                  <w:vMerge w:val="continue"/>
                  <w:noWrap w:val="0"/>
                  <w:vAlign w:val="center"/>
                </w:tcPr>
                <w:p w14:paraId="31F42EA6">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73C7A57B">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087F104E">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33.04</w:t>
                  </w:r>
                </w:p>
              </w:tc>
              <w:tc>
                <w:tcPr>
                  <w:tcW w:w="396" w:type="pct"/>
                  <w:noWrap w:val="0"/>
                  <w:vAlign w:val="center"/>
                </w:tcPr>
                <w:p w14:paraId="73834E00">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66A13565">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9" w:hRule="atLeast"/>
                <w:jc w:val="center"/>
              </w:trPr>
              <w:tc>
                <w:tcPr>
                  <w:tcW w:w="281" w:type="pct"/>
                  <w:vMerge w:val="continue"/>
                  <w:noWrap w:val="0"/>
                  <w:vAlign w:val="center"/>
                </w:tcPr>
                <w:p w14:paraId="42068ECC">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7F9111A1">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3E322CAC">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23969FEA">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2FCB22E5">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01FE911B">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55AE7584">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7D857FE7">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25FFEAA5">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029CEE9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3.78</w:t>
                  </w:r>
                </w:p>
              </w:tc>
              <w:tc>
                <w:tcPr>
                  <w:tcW w:w="416" w:type="pct"/>
                  <w:noWrap w:val="0"/>
                  <w:vAlign w:val="center"/>
                </w:tcPr>
                <w:p w14:paraId="5972FE3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62.65</w:t>
                  </w:r>
                </w:p>
              </w:tc>
              <w:tc>
                <w:tcPr>
                  <w:tcW w:w="251" w:type="pct"/>
                  <w:vMerge w:val="continue"/>
                  <w:noWrap w:val="0"/>
                  <w:vAlign w:val="center"/>
                </w:tcPr>
                <w:p w14:paraId="234C4FC9">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28C73ED2">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5A8FEF56">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42.65</w:t>
                  </w:r>
                </w:p>
              </w:tc>
              <w:tc>
                <w:tcPr>
                  <w:tcW w:w="396" w:type="pct"/>
                  <w:noWrap w:val="0"/>
                  <w:vAlign w:val="center"/>
                </w:tcPr>
                <w:p w14:paraId="5B016F8E">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740EF8CC">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281" w:type="pct"/>
                  <w:vMerge w:val="continue"/>
                  <w:noWrap w:val="0"/>
                  <w:vAlign w:val="center"/>
                </w:tcPr>
                <w:p w14:paraId="1D8F3D09">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63BCF4EF">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3097A34C">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40C0299C">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400377E1">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0E69FE9B">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2EA06F16">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10300BA9">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6E2CDB2A">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036311F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53.50</w:t>
                  </w:r>
                </w:p>
              </w:tc>
              <w:tc>
                <w:tcPr>
                  <w:tcW w:w="416" w:type="pct"/>
                  <w:noWrap w:val="0"/>
                  <w:vAlign w:val="center"/>
                </w:tcPr>
                <w:p w14:paraId="430F083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49.54</w:t>
                  </w:r>
                </w:p>
              </w:tc>
              <w:tc>
                <w:tcPr>
                  <w:tcW w:w="251" w:type="pct"/>
                  <w:vMerge w:val="continue"/>
                  <w:noWrap w:val="0"/>
                  <w:vAlign w:val="center"/>
                </w:tcPr>
                <w:p w14:paraId="69DCD84C">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5591CCAA">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397F08A9">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29.54</w:t>
                  </w:r>
                </w:p>
              </w:tc>
              <w:tc>
                <w:tcPr>
                  <w:tcW w:w="396" w:type="pct"/>
                  <w:noWrap w:val="0"/>
                  <w:vAlign w:val="center"/>
                </w:tcPr>
                <w:p w14:paraId="39A6B010">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2AFD656B">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281" w:type="pct"/>
                  <w:vMerge w:val="restart"/>
                  <w:noWrap w:val="0"/>
                  <w:vAlign w:val="center"/>
                </w:tcPr>
                <w:p w14:paraId="23ED3E4D">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w:t>
                  </w:r>
                </w:p>
              </w:tc>
              <w:tc>
                <w:tcPr>
                  <w:tcW w:w="269" w:type="pct"/>
                  <w:vMerge w:val="continue"/>
                  <w:noWrap w:val="0"/>
                  <w:vAlign w:val="center"/>
                </w:tcPr>
                <w:p w14:paraId="734B6FE0">
                  <w:pPr>
                    <w:spacing w:line="240" w:lineRule="auto"/>
                    <w:jc w:val="center"/>
                    <w:rPr>
                      <w:rFonts w:hint="default" w:ascii="Times New Roman" w:hAnsi="Times New Roman" w:eastAsia="宋体" w:cs="Times New Roman"/>
                      <w:color w:val="auto"/>
                      <w:sz w:val="21"/>
                      <w:szCs w:val="21"/>
                      <w:highlight w:val="none"/>
                    </w:rPr>
                  </w:pPr>
                </w:p>
              </w:tc>
              <w:tc>
                <w:tcPr>
                  <w:tcW w:w="361" w:type="pct"/>
                  <w:vMerge w:val="restart"/>
                  <w:shd w:val="clear" w:color="auto" w:fill="auto"/>
                  <w:noWrap w:val="0"/>
                  <w:vAlign w:val="center"/>
                </w:tcPr>
                <w:p w14:paraId="7051C4AB">
                  <w:pPr>
                    <w:keepNext w:val="0"/>
                    <w:keepLines w:val="0"/>
                    <w:pageBreakBefore w:val="0"/>
                    <w:widowControl/>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kern w:val="0"/>
                      <w:sz w:val="21"/>
                      <w:szCs w:val="21"/>
                      <w:highlight w:val="none"/>
                    </w:rPr>
                    <w:t>在线回火炉</w:t>
                  </w:r>
                  <w:r>
                    <w:rPr>
                      <w:rFonts w:hint="default" w:ascii="Times New Roman" w:hAnsi="Times New Roman" w:eastAsia="宋体" w:cs="Times New Roman"/>
                      <w:b w:val="0"/>
                      <w:bCs w:val="0"/>
                      <w:color w:val="auto"/>
                      <w:kern w:val="0"/>
                      <w:sz w:val="21"/>
                      <w:szCs w:val="21"/>
                      <w:highlight w:val="none"/>
                      <w:lang w:val="en-US" w:eastAsia="zh-CN"/>
                    </w:rPr>
                    <w:t>1#</w:t>
                  </w:r>
                </w:p>
              </w:tc>
              <w:tc>
                <w:tcPr>
                  <w:tcW w:w="299" w:type="pct"/>
                  <w:vMerge w:val="restart"/>
                  <w:shd w:val="clear" w:color="auto" w:fill="auto"/>
                  <w:noWrap w:val="0"/>
                  <w:vAlign w:val="center"/>
                </w:tcPr>
                <w:p w14:paraId="167A07F8">
                  <w:pPr>
                    <w:pStyle w:val="139"/>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rPr>
                    <w:t>1</w:t>
                  </w:r>
                </w:p>
              </w:tc>
              <w:tc>
                <w:tcPr>
                  <w:tcW w:w="410" w:type="pct"/>
                  <w:vMerge w:val="restart"/>
                  <w:shd w:val="clear" w:color="auto" w:fill="auto"/>
                  <w:noWrap w:val="0"/>
                  <w:vAlign w:val="center"/>
                </w:tcPr>
                <w:p w14:paraId="7F336629">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90/1</w:t>
                  </w:r>
                </w:p>
              </w:tc>
              <w:tc>
                <w:tcPr>
                  <w:tcW w:w="437" w:type="pct"/>
                  <w:vMerge w:val="continue"/>
                  <w:noWrap w:val="0"/>
                  <w:vAlign w:val="center"/>
                </w:tcPr>
                <w:p w14:paraId="77BB215E">
                  <w:pPr>
                    <w:spacing w:line="240" w:lineRule="auto"/>
                    <w:jc w:val="center"/>
                    <w:rPr>
                      <w:rFonts w:hint="default" w:ascii="Times New Roman" w:hAnsi="Times New Roman" w:eastAsia="宋体" w:cs="Times New Roman"/>
                      <w:color w:val="auto"/>
                      <w:sz w:val="21"/>
                      <w:szCs w:val="21"/>
                      <w:highlight w:val="none"/>
                    </w:rPr>
                  </w:pPr>
                </w:p>
              </w:tc>
              <w:tc>
                <w:tcPr>
                  <w:tcW w:w="283" w:type="pct"/>
                  <w:vMerge w:val="restart"/>
                  <w:noWrap w:val="0"/>
                  <w:vAlign w:val="center"/>
                </w:tcPr>
                <w:p w14:paraId="255EC4E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178.9</w:t>
                  </w:r>
                </w:p>
              </w:tc>
              <w:tc>
                <w:tcPr>
                  <w:tcW w:w="283" w:type="pct"/>
                  <w:vMerge w:val="restart"/>
                  <w:noWrap w:val="0"/>
                  <w:vAlign w:val="center"/>
                </w:tcPr>
                <w:p w14:paraId="6B0329B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225.4</w:t>
                  </w:r>
                </w:p>
              </w:tc>
              <w:tc>
                <w:tcPr>
                  <w:tcW w:w="254" w:type="pct"/>
                  <w:vMerge w:val="restart"/>
                  <w:noWrap w:val="0"/>
                  <w:vAlign w:val="center"/>
                </w:tcPr>
                <w:p w14:paraId="0E55090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c>
                <w:tcPr>
                  <w:tcW w:w="342" w:type="pct"/>
                  <w:noWrap w:val="0"/>
                  <w:vAlign w:val="center"/>
                </w:tcPr>
                <w:p w14:paraId="064610E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66.27</w:t>
                  </w:r>
                </w:p>
              </w:tc>
              <w:tc>
                <w:tcPr>
                  <w:tcW w:w="416" w:type="pct"/>
                  <w:noWrap w:val="0"/>
                  <w:vAlign w:val="center"/>
                </w:tcPr>
                <w:p w14:paraId="7EBCDAA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54.39</w:t>
                  </w:r>
                </w:p>
              </w:tc>
              <w:tc>
                <w:tcPr>
                  <w:tcW w:w="251" w:type="pct"/>
                  <w:vMerge w:val="continue"/>
                  <w:noWrap w:val="0"/>
                  <w:vAlign w:val="center"/>
                </w:tcPr>
                <w:p w14:paraId="602BBC4E">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0450B500">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769BB040">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34.39</w:t>
                  </w:r>
                </w:p>
              </w:tc>
              <w:tc>
                <w:tcPr>
                  <w:tcW w:w="396" w:type="pct"/>
                  <w:noWrap w:val="0"/>
                  <w:vAlign w:val="center"/>
                </w:tcPr>
                <w:p w14:paraId="4B078B15">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3391617A">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281" w:type="pct"/>
                  <w:vMerge w:val="continue"/>
                  <w:noWrap w:val="0"/>
                  <w:vAlign w:val="center"/>
                </w:tcPr>
                <w:p w14:paraId="6685B0A3">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588C9B7F">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59472A9C">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209BA457">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5ED14E07">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7A44D904">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65D6C32A">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0059712B">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1E02C6CC">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5C7226D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193.68</w:t>
                  </w:r>
                </w:p>
              </w:tc>
              <w:tc>
                <w:tcPr>
                  <w:tcW w:w="416" w:type="pct"/>
                  <w:noWrap w:val="0"/>
                  <w:vAlign w:val="center"/>
                </w:tcPr>
                <w:p w14:paraId="4B0243E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54.13</w:t>
                  </w:r>
                </w:p>
              </w:tc>
              <w:tc>
                <w:tcPr>
                  <w:tcW w:w="251" w:type="pct"/>
                  <w:vMerge w:val="continue"/>
                  <w:noWrap w:val="0"/>
                  <w:vAlign w:val="center"/>
                </w:tcPr>
                <w:p w14:paraId="2C49C0F8">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192F620A">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5955883C">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34.13</w:t>
                  </w:r>
                </w:p>
              </w:tc>
              <w:tc>
                <w:tcPr>
                  <w:tcW w:w="396" w:type="pct"/>
                  <w:noWrap w:val="0"/>
                  <w:vAlign w:val="center"/>
                </w:tcPr>
                <w:p w14:paraId="472222E4">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5A016160">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281" w:type="pct"/>
                  <w:vMerge w:val="continue"/>
                  <w:noWrap w:val="0"/>
                  <w:vAlign w:val="center"/>
                </w:tcPr>
                <w:p w14:paraId="5BE1912D">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7834E33D">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458A2633">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7F04B9D6">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77020D1D">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444613B2">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519B6C59">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02EB374F">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09783C28">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1625704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35.89</w:t>
                  </w:r>
                </w:p>
              </w:tc>
              <w:tc>
                <w:tcPr>
                  <w:tcW w:w="416" w:type="pct"/>
                  <w:noWrap w:val="0"/>
                  <w:vAlign w:val="center"/>
                </w:tcPr>
                <w:p w14:paraId="6F894B6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55.03</w:t>
                  </w:r>
                </w:p>
              </w:tc>
              <w:tc>
                <w:tcPr>
                  <w:tcW w:w="251" w:type="pct"/>
                  <w:vMerge w:val="continue"/>
                  <w:noWrap w:val="0"/>
                  <w:vAlign w:val="center"/>
                </w:tcPr>
                <w:p w14:paraId="2D266BF6">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5428C88B">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12DC6782">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35.03</w:t>
                  </w:r>
                </w:p>
              </w:tc>
              <w:tc>
                <w:tcPr>
                  <w:tcW w:w="396" w:type="pct"/>
                  <w:noWrap w:val="0"/>
                  <w:vAlign w:val="center"/>
                </w:tcPr>
                <w:p w14:paraId="0C8D9B06">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001382E3">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281" w:type="pct"/>
                  <w:vMerge w:val="continue"/>
                  <w:noWrap w:val="0"/>
                  <w:vAlign w:val="center"/>
                </w:tcPr>
                <w:p w14:paraId="6CE0A039">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42A763EF">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3E77D9BF">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3C7B68EC">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7D5E41AD">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2F8340F6">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1323579E">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621CEB72">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6D2815D0">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3DBC90C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2.99</w:t>
                  </w:r>
                </w:p>
              </w:tc>
              <w:tc>
                <w:tcPr>
                  <w:tcW w:w="416" w:type="pct"/>
                  <w:noWrap w:val="0"/>
                  <w:vAlign w:val="center"/>
                </w:tcPr>
                <w:p w14:paraId="3A0C552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69.62</w:t>
                  </w:r>
                </w:p>
              </w:tc>
              <w:tc>
                <w:tcPr>
                  <w:tcW w:w="251" w:type="pct"/>
                  <w:vMerge w:val="continue"/>
                  <w:noWrap w:val="0"/>
                  <w:vAlign w:val="center"/>
                </w:tcPr>
                <w:p w14:paraId="41788CF3">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7D456801">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42D394BD">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49.62</w:t>
                  </w:r>
                </w:p>
              </w:tc>
              <w:tc>
                <w:tcPr>
                  <w:tcW w:w="396" w:type="pct"/>
                  <w:noWrap w:val="0"/>
                  <w:vAlign w:val="center"/>
                </w:tcPr>
                <w:p w14:paraId="6E65AF47">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39D7494D">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281" w:type="pct"/>
                  <w:vMerge w:val="continue"/>
                  <w:noWrap w:val="0"/>
                  <w:vAlign w:val="center"/>
                </w:tcPr>
                <w:p w14:paraId="7641CFD8">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3508FA60">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6C462494">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24D0C921">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245126DA">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25F71677">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345AF391">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5AE8EFB7">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68104127">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45C2AC7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4.74</w:t>
                  </w:r>
                </w:p>
              </w:tc>
              <w:tc>
                <w:tcPr>
                  <w:tcW w:w="416" w:type="pct"/>
                  <w:noWrap w:val="0"/>
                  <w:vAlign w:val="center"/>
                </w:tcPr>
                <w:p w14:paraId="103F677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65.80</w:t>
                  </w:r>
                </w:p>
              </w:tc>
              <w:tc>
                <w:tcPr>
                  <w:tcW w:w="251" w:type="pct"/>
                  <w:vMerge w:val="continue"/>
                  <w:noWrap w:val="0"/>
                  <w:vAlign w:val="center"/>
                </w:tcPr>
                <w:p w14:paraId="16621010">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5ECEFEDE">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79F51887">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45.8</w:t>
                  </w:r>
                </w:p>
              </w:tc>
              <w:tc>
                <w:tcPr>
                  <w:tcW w:w="396" w:type="pct"/>
                  <w:noWrap w:val="0"/>
                  <w:vAlign w:val="center"/>
                </w:tcPr>
                <w:p w14:paraId="1C27D252">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0A57BE59">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281" w:type="pct"/>
                  <w:vMerge w:val="continue"/>
                  <w:noWrap w:val="0"/>
                  <w:vAlign w:val="center"/>
                </w:tcPr>
                <w:p w14:paraId="43827F87">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2D8D8AEF">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14EBD86A">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63C47376">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3001FE72">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4322E095">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0082A87D">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05A70EEE">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6A67F908">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14E5356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41.98</w:t>
                  </w:r>
                </w:p>
              </w:tc>
              <w:tc>
                <w:tcPr>
                  <w:tcW w:w="416" w:type="pct"/>
                  <w:noWrap w:val="0"/>
                  <w:vAlign w:val="center"/>
                </w:tcPr>
                <w:p w14:paraId="2365FD8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54.80</w:t>
                  </w:r>
                </w:p>
              </w:tc>
              <w:tc>
                <w:tcPr>
                  <w:tcW w:w="251" w:type="pct"/>
                  <w:vMerge w:val="continue"/>
                  <w:noWrap w:val="0"/>
                  <w:vAlign w:val="center"/>
                </w:tcPr>
                <w:p w14:paraId="1A845ED9">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52085E06">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27E2CB19">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34.8</w:t>
                  </w:r>
                </w:p>
              </w:tc>
              <w:tc>
                <w:tcPr>
                  <w:tcW w:w="396" w:type="pct"/>
                  <w:noWrap w:val="0"/>
                  <w:vAlign w:val="center"/>
                </w:tcPr>
                <w:p w14:paraId="20EFBA15">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34E283F3">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281" w:type="pct"/>
                  <w:vMerge w:val="restart"/>
                  <w:noWrap w:val="0"/>
                  <w:vAlign w:val="center"/>
                </w:tcPr>
                <w:p w14:paraId="7DDAEE4C">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w:t>
                  </w:r>
                </w:p>
              </w:tc>
              <w:tc>
                <w:tcPr>
                  <w:tcW w:w="269" w:type="pct"/>
                  <w:vMerge w:val="continue"/>
                  <w:noWrap w:val="0"/>
                  <w:vAlign w:val="center"/>
                </w:tcPr>
                <w:p w14:paraId="3FE97F93">
                  <w:pPr>
                    <w:spacing w:line="240" w:lineRule="auto"/>
                    <w:jc w:val="center"/>
                    <w:rPr>
                      <w:rFonts w:hint="default" w:ascii="Times New Roman" w:hAnsi="Times New Roman" w:eastAsia="宋体" w:cs="Times New Roman"/>
                      <w:color w:val="auto"/>
                      <w:sz w:val="21"/>
                      <w:szCs w:val="21"/>
                      <w:highlight w:val="none"/>
                    </w:rPr>
                  </w:pPr>
                </w:p>
              </w:tc>
              <w:tc>
                <w:tcPr>
                  <w:tcW w:w="361" w:type="pct"/>
                  <w:vMerge w:val="restart"/>
                  <w:shd w:val="clear" w:color="auto" w:fill="auto"/>
                  <w:noWrap w:val="0"/>
                  <w:vAlign w:val="center"/>
                </w:tcPr>
                <w:p w14:paraId="5ED07F03">
                  <w:pPr>
                    <w:keepNext w:val="0"/>
                    <w:keepLines w:val="0"/>
                    <w:pageBreakBefore w:val="0"/>
                    <w:widowControl/>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仓储包装系统</w:t>
                  </w:r>
                </w:p>
              </w:tc>
              <w:tc>
                <w:tcPr>
                  <w:tcW w:w="299" w:type="pct"/>
                  <w:vMerge w:val="restart"/>
                  <w:shd w:val="clear" w:color="auto" w:fill="auto"/>
                  <w:noWrap w:val="0"/>
                  <w:vAlign w:val="center"/>
                </w:tcPr>
                <w:p w14:paraId="2EB3B7BB">
                  <w:pPr>
                    <w:pStyle w:val="139"/>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410" w:type="pct"/>
                  <w:vMerge w:val="restart"/>
                  <w:shd w:val="clear" w:color="auto" w:fill="auto"/>
                  <w:noWrap w:val="0"/>
                  <w:vAlign w:val="center"/>
                </w:tcPr>
                <w:p w14:paraId="50635CF7">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85/1</w:t>
                  </w:r>
                </w:p>
              </w:tc>
              <w:tc>
                <w:tcPr>
                  <w:tcW w:w="437" w:type="pct"/>
                  <w:vMerge w:val="continue"/>
                  <w:noWrap w:val="0"/>
                  <w:vAlign w:val="center"/>
                </w:tcPr>
                <w:p w14:paraId="1C6B2DAD">
                  <w:pPr>
                    <w:spacing w:line="240" w:lineRule="auto"/>
                    <w:jc w:val="center"/>
                    <w:rPr>
                      <w:rFonts w:hint="default" w:ascii="Times New Roman" w:hAnsi="Times New Roman" w:eastAsia="宋体" w:cs="Times New Roman"/>
                      <w:color w:val="auto"/>
                      <w:sz w:val="21"/>
                      <w:szCs w:val="21"/>
                      <w:highlight w:val="none"/>
                    </w:rPr>
                  </w:pPr>
                </w:p>
              </w:tc>
              <w:tc>
                <w:tcPr>
                  <w:tcW w:w="283" w:type="pct"/>
                  <w:vMerge w:val="restart"/>
                  <w:noWrap w:val="0"/>
                  <w:vAlign w:val="center"/>
                </w:tcPr>
                <w:p w14:paraId="5A48BE0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188.11</w:t>
                  </w:r>
                </w:p>
              </w:tc>
              <w:tc>
                <w:tcPr>
                  <w:tcW w:w="283" w:type="pct"/>
                  <w:vMerge w:val="restart"/>
                  <w:noWrap w:val="0"/>
                  <w:vAlign w:val="center"/>
                </w:tcPr>
                <w:p w14:paraId="22BFAC0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214.87</w:t>
                  </w:r>
                </w:p>
              </w:tc>
              <w:tc>
                <w:tcPr>
                  <w:tcW w:w="254" w:type="pct"/>
                  <w:vMerge w:val="restart"/>
                  <w:noWrap w:val="0"/>
                  <w:vAlign w:val="center"/>
                </w:tcPr>
                <w:p w14:paraId="5875B28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c>
                <w:tcPr>
                  <w:tcW w:w="342" w:type="pct"/>
                  <w:noWrap w:val="0"/>
                  <w:vAlign w:val="center"/>
                </w:tcPr>
                <w:p w14:paraId="7141A62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54.50</w:t>
                  </w:r>
                </w:p>
              </w:tc>
              <w:tc>
                <w:tcPr>
                  <w:tcW w:w="416" w:type="pct"/>
                  <w:noWrap w:val="0"/>
                  <w:vAlign w:val="center"/>
                </w:tcPr>
                <w:p w14:paraId="5EADC18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49.53</w:t>
                  </w:r>
                </w:p>
              </w:tc>
              <w:tc>
                <w:tcPr>
                  <w:tcW w:w="251" w:type="pct"/>
                  <w:vMerge w:val="continue"/>
                  <w:noWrap w:val="0"/>
                  <w:vAlign w:val="center"/>
                </w:tcPr>
                <w:p w14:paraId="0D87D5BD">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51843DBA">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5A15030A">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29.53</w:t>
                  </w:r>
                </w:p>
              </w:tc>
              <w:tc>
                <w:tcPr>
                  <w:tcW w:w="396" w:type="pct"/>
                  <w:noWrap w:val="0"/>
                  <w:vAlign w:val="center"/>
                </w:tcPr>
                <w:p w14:paraId="698647C9">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1694D3C0">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281" w:type="pct"/>
                  <w:vMerge w:val="continue"/>
                  <w:noWrap w:val="0"/>
                  <w:vAlign w:val="center"/>
                </w:tcPr>
                <w:p w14:paraId="3219CE15">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72A3759D">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50A026C8">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5D8AD982">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64539210">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3E48AA6D">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15863C89">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40C454D2">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3E18858D">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41132AC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201.25</w:t>
                  </w:r>
                </w:p>
              </w:tc>
              <w:tc>
                <w:tcPr>
                  <w:tcW w:w="416" w:type="pct"/>
                  <w:noWrap w:val="0"/>
                  <w:vAlign w:val="center"/>
                </w:tcPr>
                <w:p w14:paraId="00DA833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49.13</w:t>
                  </w:r>
                </w:p>
              </w:tc>
              <w:tc>
                <w:tcPr>
                  <w:tcW w:w="251" w:type="pct"/>
                  <w:vMerge w:val="continue"/>
                  <w:noWrap w:val="0"/>
                  <w:vAlign w:val="center"/>
                </w:tcPr>
                <w:p w14:paraId="36572E2F">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7BFF3A3F">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6161317F">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29.13</w:t>
                  </w:r>
                </w:p>
              </w:tc>
              <w:tc>
                <w:tcPr>
                  <w:tcW w:w="396" w:type="pct"/>
                  <w:noWrap w:val="0"/>
                  <w:vAlign w:val="center"/>
                </w:tcPr>
                <w:p w14:paraId="3BFD8096">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73767BF3">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281" w:type="pct"/>
                  <w:vMerge w:val="continue"/>
                  <w:noWrap w:val="0"/>
                  <w:vAlign w:val="center"/>
                </w:tcPr>
                <w:p w14:paraId="0204613F">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0ABB58E1">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1AF8E6C8">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55E7F0F6">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240A64B3">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60FB824B">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49B05C0C">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77C27460">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52AC7C04">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5A2BEBD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47.53</w:t>
                  </w:r>
                </w:p>
              </w:tc>
              <w:tc>
                <w:tcPr>
                  <w:tcW w:w="416" w:type="pct"/>
                  <w:noWrap w:val="0"/>
                  <w:vAlign w:val="center"/>
                </w:tcPr>
                <w:p w14:paraId="7E62DFE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49.65</w:t>
                  </w:r>
                </w:p>
              </w:tc>
              <w:tc>
                <w:tcPr>
                  <w:tcW w:w="251" w:type="pct"/>
                  <w:vMerge w:val="continue"/>
                  <w:noWrap w:val="0"/>
                  <w:vAlign w:val="center"/>
                </w:tcPr>
                <w:p w14:paraId="653CC141">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1D17B103">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3FBA9BF2">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29.65</w:t>
                  </w:r>
                </w:p>
              </w:tc>
              <w:tc>
                <w:tcPr>
                  <w:tcW w:w="396" w:type="pct"/>
                  <w:noWrap w:val="0"/>
                  <w:vAlign w:val="center"/>
                </w:tcPr>
                <w:p w14:paraId="535080B7">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027D8AF5">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281" w:type="pct"/>
                  <w:vMerge w:val="continue"/>
                  <w:noWrap w:val="0"/>
                  <w:vAlign w:val="center"/>
                </w:tcPr>
                <w:p w14:paraId="5935BEC9">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25F9B715">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38BDA939">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61EA37E0">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10147A57">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0FD39A8F">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3C362B74">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73BFF472">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4F5622D1">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1246D22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4.42</w:t>
                  </w:r>
                </w:p>
              </w:tc>
              <w:tc>
                <w:tcPr>
                  <w:tcW w:w="416" w:type="pct"/>
                  <w:noWrap w:val="0"/>
                  <w:vAlign w:val="center"/>
                </w:tcPr>
                <w:p w14:paraId="009E922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61.36</w:t>
                  </w:r>
                </w:p>
              </w:tc>
              <w:tc>
                <w:tcPr>
                  <w:tcW w:w="251" w:type="pct"/>
                  <w:vMerge w:val="continue"/>
                  <w:noWrap w:val="0"/>
                  <w:vAlign w:val="center"/>
                </w:tcPr>
                <w:p w14:paraId="79A7F139">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21940E65">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3049020A">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41.36</w:t>
                  </w:r>
                </w:p>
              </w:tc>
              <w:tc>
                <w:tcPr>
                  <w:tcW w:w="396" w:type="pct"/>
                  <w:noWrap w:val="0"/>
                  <w:vAlign w:val="center"/>
                </w:tcPr>
                <w:p w14:paraId="5A31F12A">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15CA4617">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281" w:type="pct"/>
                  <w:vMerge w:val="continue"/>
                  <w:noWrap w:val="0"/>
                  <w:vAlign w:val="center"/>
                </w:tcPr>
                <w:p w14:paraId="10ABCDA3">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089BCE28">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5CA6FC6C">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1CFB4192">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1273618A">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19B5AD55">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70DE4A9D">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745B0178">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1B586CCC">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7774A37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16.46</w:t>
                  </w:r>
                </w:p>
              </w:tc>
              <w:tc>
                <w:tcPr>
                  <w:tcW w:w="416" w:type="pct"/>
                  <w:noWrap w:val="0"/>
                  <w:vAlign w:val="center"/>
                </w:tcPr>
                <w:p w14:paraId="38E0949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52.41</w:t>
                  </w:r>
                </w:p>
              </w:tc>
              <w:tc>
                <w:tcPr>
                  <w:tcW w:w="251" w:type="pct"/>
                  <w:vMerge w:val="continue"/>
                  <w:noWrap w:val="0"/>
                  <w:vAlign w:val="center"/>
                </w:tcPr>
                <w:p w14:paraId="76AB4D42">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6FF4A82D">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1BEE0AF5">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32.41</w:t>
                  </w:r>
                </w:p>
              </w:tc>
              <w:tc>
                <w:tcPr>
                  <w:tcW w:w="396" w:type="pct"/>
                  <w:noWrap w:val="0"/>
                  <w:vAlign w:val="center"/>
                </w:tcPr>
                <w:p w14:paraId="44E7955E">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54A09BD9">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281" w:type="pct"/>
                  <w:vMerge w:val="continue"/>
                  <w:noWrap w:val="0"/>
                  <w:vAlign w:val="center"/>
                </w:tcPr>
                <w:p w14:paraId="414575B7">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5602105E">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5F4A05C5">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305E47F0">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2D0ABA49">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3B0DBFDD">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2D765286">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30C21578">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27BC69C1">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21F85F8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34.03</w:t>
                  </w:r>
                </w:p>
              </w:tc>
              <w:tc>
                <w:tcPr>
                  <w:tcW w:w="416" w:type="pct"/>
                  <w:noWrap w:val="0"/>
                  <w:vAlign w:val="center"/>
                </w:tcPr>
                <w:p w14:paraId="1CA01FF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50.12</w:t>
                  </w:r>
                </w:p>
              </w:tc>
              <w:tc>
                <w:tcPr>
                  <w:tcW w:w="251" w:type="pct"/>
                  <w:vMerge w:val="continue"/>
                  <w:noWrap w:val="0"/>
                  <w:vAlign w:val="center"/>
                </w:tcPr>
                <w:p w14:paraId="315D5193">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11138DCE">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4B6425A5">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30.12</w:t>
                  </w:r>
                </w:p>
              </w:tc>
              <w:tc>
                <w:tcPr>
                  <w:tcW w:w="396" w:type="pct"/>
                  <w:noWrap w:val="0"/>
                  <w:vAlign w:val="center"/>
                </w:tcPr>
                <w:p w14:paraId="114EC8CB">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7627D702">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281" w:type="pct"/>
                  <w:vMerge w:val="restart"/>
                  <w:shd w:val="clear" w:color="auto" w:fill="auto"/>
                  <w:noWrap w:val="0"/>
                  <w:vAlign w:val="center"/>
                </w:tcPr>
                <w:p w14:paraId="368AE248">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269" w:type="pct"/>
                  <w:vMerge w:val="restart"/>
                  <w:noWrap w:val="0"/>
                  <w:vAlign w:val="center"/>
                </w:tcPr>
                <w:p w14:paraId="5304621D">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锻造钢球生产线</w:t>
                  </w:r>
                </w:p>
              </w:tc>
              <w:tc>
                <w:tcPr>
                  <w:tcW w:w="361" w:type="pct"/>
                  <w:vMerge w:val="restart"/>
                  <w:shd w:val="clear" w:color="auto" w:fill="auto"/>
                  <w:noWrap w:val="0"/>
                  <w:vAlign w:val="center"/>
                </w:tcPr>
                <w:p w14:paraId="1F341E9B">
                  <w:pPr>
                    <w:pStyle w:val="139"/>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SZ-100重载高速圆锯机</w:t>
                  </w:r>
                </w:p>
              </w:tc>
              <w:tc>
                <w:tcPr>
                  <w:tcW w:w="299" w:type="pct"/>
                  <w:vMerge w:val="restart"/>
                  <w:shd w:val="clear" w:color="auto" w:fill="auto"/>
                  <w:noWrap w:val="0"/>
                  <w:vAlign w:val="center"/>
                </w:tcPr>
                <w:p w14:paraId="3D33F758">
                  <w:pPr>
                    <w:pStyle w:val="139"/>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2</w:t>
                  </w:r>
                </w:p>
              </w:tc>
              <w:tc>
                <w:tcPr>
                  <w:tcW w:w="410" w:type="pct"/>
                  <w:vMerge w:val="restart"/>
                  <w:noWrap w:val="0"/>
                  <w:vAlign w:val="center"/>
                </w:tcPr>
                <w:p w14:paraId="25345A37">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95/1</w:t>
                  </w:r>
                </w:p>
              </w:tc>
              <w:tc>
                <w:tcPr>
                  <w:tcW w:w="437" w:type="pct"/>
                  <w:vMerge w:val="continue"/>
                  <w:noWrap w:val="0"/>
                  <w:vAlign w:val="center"/>
                </w:tcPr>
                <w:p w14:paraId="2D1BD28A">
                  <w:pPr>
                    <w:spacing w:line="240" w:lineRule="auto"/>
                    <w:jc w:val="center"/>
                    <w:rPr>
                      <w:rFonts w:hint="default" w:ascii="Times New Roman" w:hAnsi="Times New Roman" w:eastAsia="宋体" w:cs="Times New Roman"/>
                      <w:color w:val="auto"/>
                      <w:sz w:val="21"/>
                      <w:szCs w:val="21"/>
                      <w:highlight w:val="none"/>
                    </w:rPr>
                  </w:pPr>
                </w:p>
              </w:tc>
              <w:tc>
                <w:tcPr>
                  <w:tcW w:w="283" w:type="pct"/>
                  <w:vMerge w:val="restart"/>
                  <w:shd w:val="clear" w:color="auto" w:fill="auto"/>
                  <w:noWrap w:val="0"/>
                  <w:vAlign w:val="center"/>
                </w:tcPr>
                <w:p w14:paraId="605CEC2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101.9</w:t>
                  </w:r>
                </w:p>
              </w:tc>
              <w:tc>
                <w:tcPr>
                  <w:tcW w:w="283" w:type="pct"/>
                  <w:vMerge w:val="restart"/>
                  <w:shd w:val="clear" w:color="auto" w:fill="auto"/>
                  <w:noWrap w:val="0"/>
                  <w:vAlign w:val="center"/>
                </w:tcPr>
                <w:p w14:paraId="1BF6808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178.34</w:t>
                  </w:r>
                </w:p>
              </w:tc>
              <w:tc>
                <w:tcPr>
                  <w:tcW w:w="254" w:type="pct"/>
                  <w:vMerge w:val="restart"/>
                  <w:shd w:val="clear" w:color="auto" w:fill="auto"/>
                  <w:noWrap w:val="0"/>
                  <w:vAlign w:val="center"/>
                </w:tcPr>
                <w:p w14:paraId="1CB3F92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c>
                <w:tcPr>
                  <w:tcW w:w="342" w:type="pct"/>
                  <w:shd w:val="clear" w:color="auto" w:fill="auto"/>
                  <w:noWrap w:val="0"/>
                  <w:vAlign w:val="center"/>
                </w:tcPr>
                <w:p w14:paraId="7EF7CD8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31.04</w:t>
                  </w:r>
                </w:p>
              </w:tc>
              <w:tc>
                <w:tcPr>
                  <w:tcW w:w="416" w:type="pct"/>
                  <w:shd w:val="clear" w:color="auto" w:fill="auto"/>
                  <w:noWrap w:val="0"/>
                  <w:vAlign w:val="center"/>
                </w:tcPr>
                <w:p w14:paraId="35AE668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63.31</w:t>
                  </w:r>
                </w:p>
              </w:tc>
              <w:tc>
                <w:tcPr>
                  <w:tcW w:w="251" w:type="pct"/>
                  <w:vMerge w:val="continue"/>
                  <w:noWrap w:val="0"/>
                  <w:vAlign w:val="center"/>
                </w:tcPr>
                <w:p w14:paraId="39B1692B">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6234CC25">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57DFE13D">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43.31</w:t>
                  </w:r>
                </w:p>
              </w:tc>
              <w:tc>
                <w:tcPr>
                  <w:tcW w:w="396" w:type="pct"/>
                  <w:noWrap w:val="0"/>
                  <w:vAlign w:val="center"/>
                </w:tcPr>
                <w:p w14:paraId="15353F7E">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34C05366">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281" w:type="pct"/>
                  <w:vMerge w:val="continue"/>
                  <w:noWrap w:val="0"/>
                  <w:vAlign w:val="center"/>
                </w:tcPr>
                <w:p w14:paraId="76BA0634">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5ED195D5">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0CEC3174">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59BE3F59">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18CD86AB">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2EB725F7">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76D74875">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4F0818E3">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1AD40A1C">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shd w:val="clear" w:color="auto" w:fill="auto"/>
                  <w:noWrap w:val="0"/>
                  <w:vAlign w:val="center"/>
                </w:tcPr>
                <w:p w14:paraId="643B4D4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110.63</w:t>
                  </w:r>
                </w:p>
              </w:tc>
              <w:tc>
                <w:tcPr>
                  <w:tcW w:w="416" w:type="pct"/>
                  <w:shd w:val="clear" w:color="auto" w:fill="auto"/>
                  <w:noWrap w:val="0"/>
                  <w:vAlign w:val="center"/>
                </w:tcPr>
                <w:p w14:paraId="48B97817">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62.20</w:t>
                  </w:r>
                </w:p>
              </w:tc>
              <w:tc>
                <w:tcPr>
                  <w:tcW w:w="251" w:type="pct"/>
                  <w:vMerge w:val="continue"/>
                  <w:noWrap w:val="0"/>
                  <w:vAlign w:val="center"/>
                </w:tcPr>
                <w:p w14:paraId="590E98FE">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786B22FB">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02CC4D2B">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42.2</w:t>
                  </w:r>
                </w:p>
              </w:tc>
              <w:tc>
                <w:tcPr>
                  <w:tcW w:w="396" w:type="pct"/>
                  <w:noWrap w:val="0"/>
                  <w:vAlign w:val="center"/>
                </w:tcPr>
                <w:p w14:paraId="7F4916C1">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2AE247DE">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281" w:type="pct"/>
                  <w:vMerge w:val="continue"/>
                  <w:noWrap w:val="0"/>
                  <w:vAlign w:val="center"/>
                </w:tcPr>
                <w:p w14:paraId="3B8528ED">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27B31BEA">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74499A6F">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32FAEFEB">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1DBD2A44">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73F26DE3">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20B530E5">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7572C058">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722EA1DE">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shd w:val="clear" w:color="auto" w:fill="auto"/>
                  <w:noWrap w:val="0"/>
                  <w:vAlign w:val="center"/>
                </w:tcPr>
                <w:p w14:paraId="6F2037B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72.60</w:t>
                  </w:r>
                </w:p>
              </w:tc>
              <w:tc>
                <w:tcPr>
                  <w:tcW w:w="416" w:type="pct"/>
                  <w:shd w:val="clear" w:color="auto" w:fill="auto"/>
                  <w:noWrap w:val="0"/>
                  <w:vAlign w:val="center"/>
                </w:tcPr>
                <w:p w14:paraId="4458960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62.34</w:t>
                  </w:r>
                </w:p>
              </w:tc>
              <w:tc>
                <w:tcPr>
                  <w:tcW w:w="251" w:type="pct"/>
                  <w:vMerge w:val="continue"/>
                  <w:noWrap w:val="0"/>
                  <w:vAlign w:val="center"/>
                </w:tcPr>
                <w:p w14:paraId="342BE096">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77935EC0">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0BBE50D2">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42.34</w:t>
                  </w:r>
                </w:p>
              </w:tc>
              <w:tc>
                <w:tcPr>
                  <w:tcW w:w="396" w:type="pct"/>
                  <w:noWrap w:val="0"/>
                  <w:vAlign w:val="center"/>
                </w:tcPr>
                <w:p w14:paraId="29AD80B0">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53FB999B">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281" w:type="pct"/>
                  <w:vMerge w:val="continue"/>
                  <w:noWrap w:val="0"/>
                  <w:vAlign w:val="center"/>
                </w:tcPr>
                <w:p w14:paraId="75F05480">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4EE4746A">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7416FA43">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0D6D2BFB">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0C2B0E1D">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7096FFB1">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06B7F338">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4A7D14A8">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11A5A5FA">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shd w:val="clear" w:color="auto" w:fill="auto"/>
                  <w:noWrap w:val="0"/>
                  <w:vAlign w:val="center"/>
                </w:tcPr>
                <w:p w14:paraId="60F64A6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86.51</w:t>
                  </w:r>
                </w:p>
              </w:tc>
              <w:tc>
                <w:tcPr>
                  <w:tcW w:w="416" w:type="pct"/>
                  <w:shd w:val="clear" w:color="auto" w:fill="auto"/>
                  <w:noWrap w:val="0"/>
                  <w:vAlign w:val="center"/>
                </w:tcPr>
                <w:p w14:paraId="6F2E5DA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62.27</w:t>
                  </w:r>
                </w:p>
              </w:tc>
              <w:tc>
                <w:tcPr>
                  <w:tcW w:w="251" w:type="pct"/>
                  <w:vMerge w:val="continue"/>
                  <w:noWrap w:val="0"/>
                  <w:vAlign w:val="center"/>
                </w:tcPr>
                <w:p w14:paraId="4B9C9EFD">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78A31B47">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007DE7F1">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42.27</w:t>
                  </w:r>
                </w:p>
              </w:tc>
              <w:tc>
                <w:tcPr>
                  <w:tcW w:w="396" w:type="pct"/>
                  <w:noWrap w:val="0"/>
                  <w:vAlign w:val="center"/>
                </w:tcPr>
                <w:p w14:paraId="3A3F3262">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3EE206EE">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281" w:type="pct"/>
                  <w:vMerge w:val="continue"/>
                  <w:noWrap w:val="0"/>
                  <w:vAlign w:val="center"/>
                </w:tcPr>
                <w:p w14:paraId="40A86F85">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7B58C421">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42B4A9FA">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5C30EAD3">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51A8AF59">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27B21B59">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7C7A2479">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1F3C816D">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30054EFC">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shd w:val="clear" w:color="auto" w:fill="auto"/>
                  <w:noWrap w:val="0"/>
                  <w:vAlign w:val="center"/>
                </w:tcPr>
                <w:p w14:paraId="0600B9D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40.54</w:t>
                  </w:r>
                </w:p>
              </w:tc>
              <w:tc>
                <w:tcPr>
                  <w:tcW w:w="416" w:type="pct"/>
                  <w:shd w:val="clear" w:color="auto" w:fill="auto"/>
                  <w:noWrap w:val="0"/>
                  <w:vAlign w:val="center"/>
                </w:tcPr>
                <w:p w14:paraId="63A78686">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62.84</w:t>
                  </w:r>
                </w:p>
              </w:tc>
              <w:tc>
                <w:tcPr>
                  <w:tcW w:w="251" w:type="pct"/>
                  <w:vMerge w:val="continue"/>
                  <w:noWrap w:val="0"/>
                  <w:vAlign w:val="center"/>
                </w:tcPr>
                <w:p w14:paraId="06E749D2">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123FD044">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44C896D9">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42.84</w:t>
                  </w:r>
                </w:p>
              </w:tc>
              <w:tc>
                <w:tcPr>
                  <w:tcW w:w="396" w:type="pct"/>
                  <w:noWrap w:val="0"/>
                  <w:vAlign w:val="center"/>
                </w:tcPr>
                <w:p w14:paraId="4AB69369">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4205C34B">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81" w:type="pct"/>
                  <w:vMerge w:val="continue"/>
                  <w:noWrap w:val="0"/>
                  <w:vAlign w:val="center"/>
                </w:tcPr>
                <w:p w14:paraId="38778305">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2B36BEBE">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065CEBDB">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56EB80C8">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6A1A64B5">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71CEF2A5">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26545BEF">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68B6C469">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36AFDD52">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shd w:val="clear" w:color="auto" w:fill="auto"/>
                  <w:noWrap w:val="0"/>
                  <w:vAlign w:val="center"/>
                </w:tcPr>
                <w:p w14:paraId="5BA059D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123.84</w:t>
                  </w:r>
                </w:p>
              </w:tc>
              <w:tc>
                <w:tcPr>
                  <w:tcW w:w="416" w:type="pct"/>
                  <w:shd w:val="clear" w:color="auto" w:fill="auto"/>
                  <w:noWrap w:val="0"/>
                  <w:vAlign w:val="center"/>
                </w:tcPr>
                <w:p w14:paraId="13BBF4A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62.18</w:t>
                  </w:r>
                </w:p>
              </w:tc>
              <w:tc>
                <w:tcPr>
                  <w:tcW w:w="251" w:type="pct"/>
                  <w:vMerge w:val="continue"/>
                  <w:noWrap w:val="0"/>
                  <w:vAlign w:val="center"/>
                </w:tcPr>
                <w:p w14:paraId="23A4F16C">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0B14A331">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07C140E0">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42.18</w:t>
                  </w:r>
                </w:p>
              </w:tc>
              <w:tc>
                <w:tcPr>
                  <w:tcW w:w="396" w:type="pct"/>
                  <w:noWrap w:val="0"/>
                  <w:vAlign w:val="center"/>
                </w:tcPr>
                <w:p w14:paraId="37C2BD18">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71382CD2">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281" w:type="pct"/>
                  <w:vMerge w:val="restart"/>
                  <w:shd w:val="clear" w:color="auto" w:fill="auto"/>
                  <w:noWrap w:val="0"/>
                  <w:vAlign w:val="center"/>
                </w:tcPr>
                <w:p w14:paraId="5D9E1479">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269" w:type="pct"/>
                  <w:vMerge w:val="continue"/>
                  <w:noWrap w:val="0"/>
                  <w:vAlign w:val="center"/>
                </w:tcPr>
                <w:p w14:paraId="0559E8C9">
                  <w:pPr>
                    <w:spacing w:line="240" w:lineRule="auto"/>
                    <w:jc w:val="center"/>
                    <w:rPr>
                      <w:rFonts w:hint="default" w:ascii="Times New Roman" w:hAnsi="Times New Roman" w:eastAsia="宋体" w:cs="Times New Roman"/>
                      <w:color w:val="auto"/>
                      <w:sz w:val="21"/>
                      <w:szCs w:val="21"/>
                      <w:highlight w:val="none"/>
                    </w:rPr>
                  </w:pPr>
                </w:p>
              </w:tc>
              <w:tc>
                <w:tcPr>
                  <w:tcW w:w="361" w:type="pct"/>
                  <w:vMerge w:val="restart"/>
                  <w:shd w:val="clear" w:color="auto" w:fill="auto"/>
                  <w:noWrap w:val="0"/>
                  <w:vAlign w:val="center"/>
                </w:tcPr>
                <w:p w14:paraId="72F173D2">
                  <w:pPr>
                    <w:pStyle w:val="139"/>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中频加热炉</w:t>
                  </w:r>
                </w:p>
              </w:tc>
              <w:tc>
                <w:tcPr>
                  <w:tcW w:w="299" w:type="pct"/>
                  <w:vMerge w:val="restart"/>
                  <w:shd w:val="clear" w:color="auto" w:fill="auto"/>
                  <w:noWrap w:val="0"/>
                  <w:vAlign w:val="center"/>
                </w:tcPr>
                <w:p w14:paraId="65E62A7F">
                  <w:pPr>
                    <w:pStyle w:val="139"/>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410" w:type="pct"/>
                  <w:vMerge w:val="restart"/>
                  <w:noWrap w:val="0"/>
                  <w:vAlign w:val="center"/>
                </w:tcPr>
                <w:p w14:paraId="378FD6A4">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80/1</w:t>
                  </w:r>
                </w:p>
              </w:tc>
              <w:tc>
                <w:tcPr>
                  <w:tcW w:w="437" w:type="pct"/>
                  <w:vMerge w:val="continue"/>
                  <w:noWrap w:val="0"/>
                  <w:vAlign w:val="center"/>
                </w:tcPr>
                <w:p w14:paraId="334017AC">
                  <w:pPr>
                    <w:spacing w:line="240" w:lineRule="auto"/>
                    <w:jc w:val="center"/>
                    <w:rPr>
                      <w:rFonts w:hint="default" w:ascii="Times New Roman" w:hAnsi="Times New Roman" w:eastAsia="宋体" w:cs="Times New Roman"/>
                      <w:color w:val="auto"/>
                      <w:sz w:val="21"/>
                      <w:szCs w:val="21"/>
                      <w:highlight w:val="none"/>
                    </w:rPr>
                  </w:pPr>
                </w:p>
              </w:tc>
              <w:tc>
                <w:tcPr>
                  <w:tcW w:w="283" w:type="pct"/>
                  <w:vMerge w:val="restart"/>
                  <w:noWrap w:val="0"/>
                  <w:vAlign w:val="center"/>
                </w:tcPr>
                <w:p w14:paraId="28D3FC0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124.94</w:t>
                  </w:r>
                </w:p>
              </w:tc>
              <w:tc>
                <w:tcPr>
                  <w:tcW w:w="283" w:type="pct"/>
                  <w:vMerge w:val="restart"/>
                  <w:noWrap w:val="0"/>
                  <w:vAlign w:val="center"/>
                </w:tcPr>
                <w:p w14:paraId="4E08A7D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180.98</w:t>
                  </w:r>
                </w:p>
              </w:tc>
              <w:tc>
                <w:tcPr>
                  <w:tcW w:w="254" w:type="pct"/>
                  <w:vMerge w:val="restart"/>
                  <w:noWrap w:val="0"/>
                  <w:vAlign w:val="center"/>
                </w:tcPr>
                <w:p w14:paraId="7247426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c>
                <w:tcPr>
                  <w:tcW w:w="342" w:type="pct"/>
                  <w:noWrap w:val="0"/>
                  <w:vAlign w:val="center"/>
                </w:tcPr>
                <w:p w14:paraId="10BAC5B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30.27</w:t>
                  </w:r>
                </w:p>
              </w:tc>
              <w:tc>
                <w:tcPr>
                  <w:tcW w:w="416" w:type="pct"/>
                  <w:noWrap w:val="0"/>
                  <w:vAlign w:val="center"/>
                </w:tcPr>
                <w:p w14:paraId="312B0E5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45.36</w:t>
                  </w:r>
                </w:p>
              </w:tc>
              <w:tc>
                <w:tcPr>
                  <w:tcW w:w="251" w:type="pct"/>
                  <w:vMerge w:val="continue"/>
                  <w:noWrap w:val="0"/>
                  <w:vAlign w:val="center"/>
                </w:tcPr>
                <w:p w14:paraId="77640FE0">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2244BACB">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7978297E">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25.36</w:t>
                  </w:r>
                </w:p>
              </w:tc>
              <w:tc>
                <w:tcPr>
                  <w:tcW w:w="396" w:type="pct"/>
                  <w:noWrap w:val="0"/>
                  <w:vAlign w:val="center"/>
                </w:tcPr>
                <w:p w14:paraId="61AA569D">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7608C238">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281" w:type="pct"/>
                  <w:vMerge w:val="continue"/>
                  <w:noWrap w:val="0"/>
                  <w:vAlign w:val="center"/>
                </w:tcPr>
                <w:p w14:paraId="43ABB611">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07EA9BDD">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5AE2FB4E">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3849B077">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59C0570A">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412F80A0">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5640932F">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016AF3C4">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19F37B0F">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2D88F11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133.81</w:t>
                  </w:r>
                </w:p>
              </w:tc>
              <w:tc>
                <w:tcPr>
                  <w:tcW w:w="416" w:type="pct"/>
                  <w:noWrap w:val="0"/>
                  <w:vAlign w:val="center"/>
                </w:tcPr>
                <w:p w14:paraId="3CA2F29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44.17</w:t>
                  </w:r>
                </w:p>
              </w:tc>
              <w:tc>
                <w:tcPr>
                  <w:tcW w:w="251" w:type="pct"/>
                  <w:vMerge w:val="continue"/>
                  <w:noWrap w:val="0"/>
                  <w:vAlign w:val="center"/>
                </w:tcPr>
                <w:p w14:paraId="68C51281">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30990FFD">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22161CAF">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24.17</w:t>
                  </w:r>
                </w:p>
              </w:tc>
              <w:tc>
                <w:tcPr>
                  <w:tcW w:w="396" w:type="pct"/>
                  <w:noWrap w:val="0"/>
                  <w:vAlign w:val="center"/>
                </w:tcPr>
                <w:p w14:paraId="1DF22955">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7707F0B6">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281" w:type="pct"/>
                  <w:vMerge w:val="continue"/>
                  <w:noWrap w:val="0"/>
                  <w:vAlign w:val="center"/>
                </w:tcPr>
                <w:p w14:paraId="4D6A3F66">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29117434">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490B1013">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5993BB50">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31833BCF">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470614AD">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38C77A43">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05DA01A3">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642C6277">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00B7756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72.96</w:t>
                  </w:r>
                </w:p>
              </w:tc>
              <w:tc>
                <w:tcPr>
                  <w:tcW w:w="416" w:type="pct"/>
                  <w:noWrap w:val="0"/>
                  <w:vAlign w:val="center"/>
                </w:tcPr>
                <w:p w14:paraId="1B5FB71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44.34</w:t>
                  </w:r>
                </w:p>
              </w:tc>
              <w:tc>
                <w:tcPr>
                  <w:tcW w:w="251" w:type="pct"/>
                  <w:vMerge w:val="continue"/>
                  <w:noWrap w:val="0"/>
                  <w:vAlign w:val="center"/>
                </w:tcPr>
                <w:p w14:paraId="65785821">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4AC8EC11">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032EDA45">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24.34</w:t>
                  </w:r>
                </w:p>
              </w:tc>
              <w:tc>
                <w:tcPr>
                  <w:tcW w:w="396" w:type="pct"/>
                  <w:noWrap w:val="0"/>
                  <w:vAlign w:val="center"/>
                </w:tcPr>
                <w:p w14:paraId="6B6BAD04">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5E739FF5">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281" w:type="pct"/>
                  <w:vMerge w:val="continue"/>
                  <w:noWrap w:val="0"/>
                  <w:vAlign w:val="center"/>
                </w:tcPr>
                <w:p w14:paraId="4EAF432A">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63C4D168">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48213C7D">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7D3DBD65">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2B5B4C23">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578876FC">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4EFBE0C5">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3FCAA2C0">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54790048">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1575B39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63.34</w:t>
                  </w:r>
                </w:p>
              </w:tc>
              <w:tc>
                <w:tcPr>
                  <w:tcW w:w="416" w:type="pct"/>
                  <w:noWrap w:val="0"/>
                  <w:vAlign w:val="center"/>
                </w:tcPr>
                <w:p w14:paraId="2E92A78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44.42</w:t>
                  </w:r>
                </w:p>
              </w:tc>
              <w:tc>
                <w:tcPr>
                  <w:tcW w:w="251" w:type="pct"/>
                  <w:vMerge w:val="continue"/>
                  <w:noWrap w:val="0"/>
                  <w:vAlign w:val="center"/>
                </w:tcPr>
                <w:p w14:paraId="1FD643AC">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5C3983CD">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03702D3C">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24.42</w:t>
                  </w:r>
                </w:p>
              </w:tc>
              <w:tc>
                <w:tcPr>
                  <w:tcW w:w="396" w:type="pct"/>
                  <w:noWrap w:val="0"/>
                  <w:vAlign w:val="center"/>
                </w:tcPr>
                <w:p w14:paraId="5C868754">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26C75619">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281" w:type="pct"/>
                  <w:vMerge w:val="continue"/>
                  <w:noWrap w:val="0"/>
                  <w:vAlign w:val="center"/>
                </w:tcPr>
                <w:p w14:paraId="27D84A62">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70205393">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3593A430">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5DF23A5B">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6FD09507">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3BC68B49">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1423FBEC">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22700764">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63878CCE">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4CDE7BE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41.15</w:t>
                  </w:r>
                </w:p>
              </w:tc>
              <w:tc>
                <w:tcPr>
                  <w:tcW w:w="416" w:type="pct"/>
                  <w:noWrap w:val="0"/>
                  <w:vAlign w:val="center"/>
                </w:tcPr>
                <w:p w14:paraId="2B1F4ED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44.82</w:t>
                  </w:r>
                </w:p>
              </w:tc>
              <w:tc>
                <w:tcPr>
                  <w:tcW w:w="251" w:type="pct"/>
                  <w:vMerge w:val="continue"/>
                  <w:noWrap w:val="0"/>
                  <w:vAlign w:val="center"/>
                </w:tcPr>
                <w:p w14:paraId="591479DF">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78328683">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0A57E56E">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24.82</w:t>
                  </w:r>
                </w:p>
              </w:tc>
              <w:tc>
                <w:tcPr>
                  <w:tcW w:w="396" w:type="pct"/>
                  <w:noWrap w:val="0"/>
                  <w:vAlign w:val="center"/>
                </w:tcPr>
                <w:p w14:paraId="026A9865">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00EC3DD8">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281" w:type="pct"/>
                  <w:vMerge w:val="continue"/>
                  <w:noWrap w:val="0"/>
                  <w:vAlign w:val="center"/>
                </w:tcPr>
                <w:p w14:paraId="729846EE">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3D2BFA82">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659E4982">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29567F77">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543FD31E">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5F4C5D92">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3C0A85AE">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0CB7DBE1">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52DE164A">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69AF324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100.65</w:t>
                  </w:r>
                </w:p>
              </w:tc>
              <w:tc>
                <w:tcPr>
                  <w:tcW w:w="416" w:type="pct"/>
                  <w:noWrap w:val="0"/>
                  <w:vAlign w:val="center"/>
                </w:tcPr>
                <w:p w14:paraId="085599A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44.23</w:t>
                  </w:r>
                </w:p>
              </w:tc>
              <w:tc>
                <w:tcPr>
                  <w:tcW w:w="251" w:type="pct"/>
                  <w:vMerge w:val="continue"/>
                  <w:noWrap w:val="0"/>
                  <w:vAlign w:val="center"/>
                </w:tcPr>
                <w:p w14:paraId="74B1830F">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640023FA">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20AC9094">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24.23</w:t>
                  </w:r>
                </w:p>
              </w:tc>
              <w:tc>
                <w:tcPr>
                  <w:tcW w:w="396" w:type="pct"/>
                  <w:noWrap w:val="0"/>
                  <w:vAlign w:val="center"/>
                </w:tcPr>
                <w:p w14:paraId="73830B7B">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30B0FE5D">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281" w:type="pct"/>
                  <w:vMerge w:val="restart"/>
                  <w:shd w:val="clear" w:color="auto" w:fill="auto"/>
                  <w:noWrap w:val="0"/>
                  <w:vAlign w:val="center"/>
                </w:tcPr>
                <w:p w14:paraId="19A8A30F">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269" w:type="pct"/>
                  <w:vMerge w:val="continue"/>
                  <w:noWrap w:val="0"/>
                  <w:vAlign w:val="center"/>
                </w:tcPr>
                <w:p w14:paraId="49B95B6D">
                  <w:pPr>
                    <w:spacing w:line="240" w:lineRule="auto"/>
                    <w:jc w:val="center"/>
                    <w:rPr>
                      <w:rFonts w:hint="default" w:ascii="Times New Roman" w:hAnsi="Times New Roman" w:eastAsia="宋体" w:cs="Times New Roman"/>
                      <w:color w:val="auto"/>
                      <w:sz w:val="21"/>
                      <w:szCs w:val="21"/>
                      <w:highlight w:val="none"/>
                    </w:rPr>
                  </w:pPr>
                </w:p>
              </w:tc>
              <w:tc>
                <w:tcPr>
                  <w:tcW w:w="361" w:type="pct"/>
                  <w:vMerge w:val="restart"/>
                  <w:shd w:val="clear" w:color="auto" w:fill="auto"/>
                  <w:noWrap w:val="0"/>
                  <w:vAlign w:val="center"/>
                </w:tcPr>
                <w:p w14:paraId="01E01670">
                  <w:pPr>
                    <w:pStyle w:val="139"/>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规圆</w:t>
                  </w:r>
                  <w:r>
                    <w:rPr>
                      <w:rFonts w:hint="default" w:ascii="Times New Roman" w:hAnsi="Times New Roman" w:eastAsia="宋体" w:cs="Times New Roman"/>
                      <w:b w:val="0"/>
                      <w:bCs w:val="0"/>
                      <w:color w:val="auto"/>
                      <w:kern w:val="0"/>
                      <w:sz w:val="21"/>
                      <w:szCs w:val="21"/>
                      <w:highlight w:val="none"/>
                    </w:rPr>
                    <w:t>机</w:t>
                  </w:r>
                </w:p>
              </w:tc>
              <w:tc>
                <w:tcPr>
                  <w:tcW w:w="299" w:type="pct"/>
                  <w:vMerge w:val="restart"/>
                  <w:shd w:val="clear" w:color="auto" w:fill="auto"/>
                  <w:noWrap w:val="0"/>
                  <w:vAlign w:val="center"/>
                </w:tcPr>
                <w:p w14:paraId="4F102066">
                  <w:pPr>
                    <w:pStyle w:val="139"/>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410" w:type="pct"/>
                  <w:vMerge w:val="restart"/>
                  <w:noWrap w:val="0"/>
                  <w:vAlign w:val="center"/>
                </w:tcPr>
                <w:p w14:paraId="092DF0CB">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95/1</w:t>
                  </w:r>
                </w:p>
              </w:tc>
              <w:tc>
                <w:tcPr>
                  <w:tcW w:w="437" w:type="pct"/>
                  <w:vMerge w:val="continue"/>
                  <w:noWrap w:val="0"/>
                  <w:vAlign w:val="center"/>
                </w:tcPr>
                <w:p w14:paraId="5A0DB86A">
                  <w:pPr>
                    <w:spacing w:line="240" w:lineRule="auto"/>
                    <w:jc w:val="center"/>
                    <w:rPr>
                      <w:rFonts w:hint="default" w:ascii="Times New Roman" w:hAnsi="Times New Roman" w:eastAsia="宋体" w:cs="Times New Roman"/>
                      <w:color w:val="auto"/>
                      <w:sz w:val="21"/>
                      <w:szCs w:val="21"/>
                      <w:highlight w:val="none"/>
                    </w:rPr>
                  </w:pPr>
                </w:p>
              </w:tc>
              <w:tc>
                <w:tcPr>
                  <w:tcW w:w="757" w:type="dxa"/>
                  <w:vMerge w:val="restart"/>
                  <w:noWrap w:val="0"/>
                  <w:vAlign w:val="center"/>
                </w:tcPr>
                <w:p w14:paraId="1D93F81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137.77</w:t>
                  </w:r>
                </w:p>
              </w:tc>
              <w:tc>
                <w:tcPr>
                  <w:tcW w:w="757" w:type="dxa"/>
                  <w:vMerge w:val="restart"/>
                  <w:noWrap w:val="0"/>
                  <w:vAlign w:val="center"/>
                </w:tcPr>
                <w:p w14:paraId="023F4DF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182.29</w:t>
                  </w:r>
                </w:p>
              </w:tc>
              <w:tc>
                <w:tcPr>
                  <w:tcW w:w="679" w:type="dxa"/>
                  <w:vMerge w:val="restart"/>
                  <w:noWrap w:val="0"/>
                  <w:vAlign w:val="center"/>
                </w:tcPr>
                <w:p w14:paraId="0D290B7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c>
                <w:tcPr>
                  <w:tcW w:w="915" w:type="dxa"/>
                  <w:noWrap w:val="0"/>
                  <w:vAlign w:val="center"/>
                </w:tcPr>
                <w:p w14:paraId="71089C0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29.68</w:t>
                  </w:r>
                </w:p>
              </w:tc>
              <w:tc>
                <w:tcPr>
                  <w:tcW w:w="1113" w:type="dxa"/>
                  <w:noWrap w:val="0"/>
                  <w:vAlign w:val="center"/>
                </w:tcPr>
                <w:p w14:paraId="7EF9803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60.40</w:t>
                  </w:r>
                </w:p>
              </w:tc>
              <w:tc>
                <w:tcPr>
                  <w:tcW w:w="251" w:type="pct"/>
                  <w:vMerge w:val="continue"/>
                  <w:noWrap w:val="0"/>
                  <w:vAlign w:val="center"/>
                </w:tcPr>
                <w:p w14:paraId="690CB5F9">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49C5FF27">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36FFBC02">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40.4</w:t>
                  </w:r>
                </w:p>
              </w:tc>
              <w:tc>
                <w:tcPr>
                  <w:tcW w:w="396" w:type="pct"/>
                  <w:noWrap w:val="0"/>
                  <w:vAlign w:val="center"/>
                </w:tcPr>
                <w:p w14:paraId="0919E3C0">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77DB0C60">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281" w:type="pct"/>
                  <w:vMerge w:val="continue"/>
                  <w:noWrap w:val="0"/>
                  <w:vAlign w:val="center"/>
                </w:tcPr>
                <w:p w14:paraId="27F18E33">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6A9E2A92">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184B6FFB">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587C9638">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62B568A5">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542250B9">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258C3ED8">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23CEE54D">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1CF87FD7">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915" w:type="dxa"/>
                  <w:noWrap w:val="0"/>
                  <w:vAlign w:val="center"/>
                </w:tcPr>
                <w:p w14:paraId="1BDDB42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146.70</w:t>
                  </w:r>
                </w:p>
              </w:tc>
              <w:tc>
                <w:tcPr>
                  <w:tcW w:w="1113" w:type="dxa"/>
                  <w:noWrap w:val="0"/>
                  <w:vAlign w:val="center"/>
                </w:tcPr>
                <w:p w14:paraId="1DCEAE0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59.16</w:t>
                  </w:r>
                </w:p>
              </w:tc>
              <w:tc>
                <w:tcPr>
                  <w:tcW w:w="251" w:type="pct"/>
                  <w:vMerge w:val="continue"/>
                  <w:noWrap w:val="0"/>
                  <w:vAlign w:val="center"/>
                </w:tcPr>
                <w:p w14:paraId="1020C59E">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2E3D91A4">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03BBD2A4">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39.16</w:t>
                  </w:r>
                </w:p>
              </w:tc>
              <w:tc>
                <w:tcPr>
                  <w:tcW w:w="396" w:type="pct"/>
                  <w:noWrap w:val="0"/>
                  <w:vAlign w:val="center"/>
                </w:tcPr>
                <w:p w14:paraId="37A667F2">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5B2FB20D">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281" w:type="pct"/>
                  <w:vMerge w:val="continue"/>
                  <w:noWrap w:val="0"/>
                  <w:vAlign w:val="center"/>
                </w:tcPr>
                <w:p w14:paraId="53CC35B5">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009AC2A1">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28EF8743">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4296F939">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71D2F34A">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26CCF9D0">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0E206562">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030CE41D">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1F5C2D7D">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915" w:type="dxa"/>
                  <w:noWrap w:val="0"/>
                  <w:vAlign w:val="center"/>
                </w:tcPr>
                <w:p w14:paraId="7003D64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73.32</w:t>
                  </w:r>
                </w:p>
              </w:tc>
              <w:tc>
                <w:tcPr>
                  <w:tcW w:w="1113" w:type="dxa"/>
                  <w:noWrap w:val="0"/>
                  <w:vAlign w:val="center"/>
                </w:tcPr>
                <w:p w14:paraId="3D46912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59.34</w:t>
                  </w:r>
                </w:p>
              </w:tc>
              <w:tc>
                <w:tcPr>
                  <w:tcW w:w="251" w:type="pct"/>
                  <w:vMerge w:val="continue"/>
                  <w:noWrap w:val="0"/>
                  <w:vAlign w:val="center"/>
                </w:tcPr>
                <w:p w14:paraId="70634301">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06EC113D">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64CC1912">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39.34</w:t>
                  </w:r>
                </w:p>
              </w:tc>
              <w:tc>
                <w:tcPr>
                  <w:tcW w:w="396" w:type="pct"/>
                  <w:noWrap w:val="0"/>
                  <w:vAlign w:val="center"/>
                </w:tcPr>
                <w:p w14:paraId="11C6E4E6">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2C6B72BE">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281" w:type="pct"/>
                  <w:vMerge w:val="continue"/>
                  <w:noWrap w:val="0"/>
                  <w:vAlign w:val="center"/>
                </w:tcPr>
                <w:p w14:paraId="09B6682D">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77E5390A">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66EEF615">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286FE569">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79671B4E">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4ADA7AC7">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25B864B4">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3FB3A60A">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7D6250D8">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915" w:type="dxa"/>
                  <w:noWrap w:val="0"/>
                  <w:vAlign w:val="center"/>
                </w:tcPr>
                <w:p w14:paraId="1650E12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50.47</w:t>
                  </w:r>
                </w:p>
              </w:tc>
              <w:tc>
                <w:tcPr>
                  <w:tcW w:w="1113" w:type="dxa"/>
                  <w:noWrap w:val="0"/>
                  <w:vAlign w:val="center"/>
                </w:tcPr>
                <w:p w14:paraId="77E5027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59.59</w:t>
                  </w:r>
                </w:p>
              </w:tc>
              <w:tc>
                <w:tcPr>
                  <w:tcW w:w="251" w:type="pct"/>
                  <w:vMerge w:val="continue"/>
                  <w:noWrap w:val="0"/>
                  <w:vAlign w:val="center"/>
                </w:tcPr>
                <w:p w14:paraId="532B5543">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001FFA9A">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6F79F232">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39.59</w:t>
                  </w:r>
                </w:p>
              </w:tc>
              <w:tc>
                <w:tcPr>
                  <w:tcW w:w="396" w:type="pct"/>
                  <w:noWrap w:val="0"/>
                  <w:vAlign w:val="center"/>
                </w:tcPr>
                <w:p w14:paraId="632448F8">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40864E59">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281" w:type="pct"/>
                  <w:vMerge w:val="continue"/>
                  <w:noWrap w:val="0"/>
                  <w:vAlign w:val="center"/>
                </w:tcPr>
                <w:p w14:paraId="455E2ACE">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53FEA527">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050F4DAB">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0EF4E0E1">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3E8291D6">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2120DB1B">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2727D624">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072B49DA">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1605151D">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915" w:type="dxa"/>
                  <w:noWrap w:val="0"/>
                  <w:vAlign w:val="center"/>
                </w:tcPr>
                <w:p w14:paraId="0E7E6A8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41.66</w:t>
                  </w:r>
                </w:p>
              </w:tc>
              <w:tc>
                <w:tcPr>
                  <w:tcW w:w="1113" w:type="dxa"/>
                  <w:noWrap w:val="0"/>
                  <w:vAlign w:val="center"/>
                </w:tcPr>
                <w:p w14:paraId="7BF3AE0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59.81</w:t>
                  </w:r>
                </w:p>
              </w:tc>
              <w:tc>
                <w:tcPr>
                  <w:tcW w:w="251" w:type="pct"/>
                  <w:vMerge w:val="continue"/>
                  <w:noWrap w:val="0"/>
                  <w:vAlign w:val="center"/>
                </w:tcPr>
                <w:p w14:paraId="3089EC33">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43DDD6E0">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7FF1FCE0">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39.81</w:t>
                  </w:r>
                </w:p>
              </w:tc>
              <w:tc>
                <w:tcPr>
                  <w:tcW w:w="396" w:type="pct"/>
                  <w:noWrap w:val="0"/>
                  <w:vAlign w:val="center"/>
                </w:tcPr>
                <w:p w14:paraId="320D7B2C">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31CC9E8B">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281" w:type="pct"/>
                  <w:vMerge w:val="continue"/>
                  <w:noWrap w:val="0"/>
                  <w:vAlign w:val="center"/>
                </w:tcPr>
                <w:p w14:paraId="3C1ED7F9">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341FE3EC">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703D295B">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7DEDC4E8">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5C9DF385">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7750E389">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3C375F28">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118B8CBF">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0F7D3D62">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915" w:type="dxa"/>
                  <w:noWrap w:val="0"/>
                  <w:vAlign w:val="center"/>
                </w:tcPr>
                <w:p w14:paraId="3C5028A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87.75</w:t>
                  </w:r>
                </w:p>
              </w:tc>
              <w:tc>
                <w:tcPr>
                  <w:tcW w:w="1113" w:type="dxa"/>
                  <w:noWrap w:val="0"/>
                  <w:vAlign w:val="center"/>
                </w:tcPr>
                <w:p w14:paraId="3F8269E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59.27</w:t>
                  </w:r>
                </w:p>
              </w:tc>
              <w:tc>
                <w:tcPr>
                  <w:tcW w:w="251" w:type="pct"/>
                  <w:vMerge w:val="continue"/>
                  <w:noWrap w:val="0"/>
                  <w:vAlign w:val="center"/>
                </w:tcPr>
                <w:p w14:paraId="2AB28816">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2CECD8D8">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2DD7B9E2">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39.27</w:t>
                  </w:r>
                </w:p>
              </w:tc>
              <w:tc>
                <w:tcPr>
                  <w:tcW w:w="396" w:type="pct"/>
                  <w:noWrap w:val="0"/>
                  <w:vAlign w:val="center"/>
                </w:tcPr>
                <w:p w14:paraId="2F257A86">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7D36D400">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281" w:type="pct"/>
                  <w:vMerge w:val="restart"/>
                  <w:shd w:val="clear" w:color="auto" w:fill="auto"/>
                  <w:noWrap w:val="0"/>
                  <w:vAlign w:val="center"/>
                </w:tcPr>
                <w:p w14:paraId="34133678">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269" w:type="pct"/>
                  <w:vMerge w:val="continue"/>
                  <w:noWrap w:val="0"/>
                  <w:vAlign w:val="center"/>
                </w:tcPr>
                <w:p w14:paraId="0437FF3C">
                  <w:pPr>
                    <w:spacing w:line="240" w:lineRule="auto"/>
                    <w:jc w:val="center"/>
                    <w:rPr>
                      <w:rFonts w:hint="default" w:ascii="Times New Roman" w:hAnsi="Times New Roman" w:eastAsia="宋体" w:cs="Times New Roman"/>
                      <w:color w:val="auto"/>
                      <w:sz w:val="21"/>
                      <w:szCs w:val="21"/>
                      <w:highlight w:val="none"/>
                    </w:rPr>
                  </w:pPr>
                </w:p>
              </w:tc>
              <w:tc>
                <w:tcPr>
                  <w:tcW w:w="361" w:type="pct"/>
                  <w:vMerge w:val="restart"/>
                  <w:noWrap w:val="0"/>
                  <w:vAlign w:val="center"/>
                </w:tcPr>
                <w:p w14:paraId="7584FE7C">
                  <w:pPr>
                    <w:pStyle w:val="139"/>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kern w:val="0"/>
                      <w:sz w:val="21"/>
                      <w:szCs w:val="21"/>
                      <w:highlight w:val="none"/>
                    </w:rPr>
                    <w:t>锻后缓冷机</w:t>
                  </w:r>
                </w:p>
              </w:tc>
              <w:tc>
                <w:tcPr>
                  <w:tcW w:w="299" w:type="pct"/>
                  <w:vMerge w:val="restart"/>
                  <w:noWrap w:val="0"/>
                  <w:vAlign w:val="center"/>
                </w:tcPr>
                <w:p w14:paraId="33F9BACD">
                  <w:pPr>
                    <w:pStyle w:val="139"/>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rPr>
                    <w:t>1</w:t>
                  </w:r>
                </w:p>
              </w:tc>
              <w:tc>
                <w:tcPr>
                  <w:tcW w:w="410" w:type="pct"/>
                  <w:vMerge w:val="restart"/>
                  <w:noWrap w:val="0"/>
                  <w:vAlign w:val="center"/>
                </w:tcPr>
                <w:p w14:paraId="29D9D56A">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90/1</w:t>
                  </w:r>
                </w:p>
              </w:tc>
              <w:tc>
                <w:tcPr>
                  <w:tcW w:w="437" w:type="pct"/>
                  <w:vMerge w:val="continue"/>
                  <w:noWrap w:val="0"/>
                  <w:vAlign w:val="center"/>
                </w:tcPr>
                <w:p w14:paraId="1B03657C">
                  <w:pPr>
                    <w:spacing w:line="240" w:lineRule="auto"/>
                    <w:jc w:val="center"/>
                    <w:rPr>
                      <w:rFonts w:hint="default" w:ascii="Times New Roman" w:hAnsi="Times New Roman" w:eastAsia="宋体" w:cs="Times New Roman"/>
                      <w:color w:val="auto"/>
                      <w:sz w:val="21"/>
                      <w:szCs w:val="21"/>
                      <w:highlight w:val="none"/>
                    </w:rPr>
                  </w:pPr>
                </w:p>
              </w:tc>
              <w:tc>
                <w:tcPr>
                  <w:tcW w:w="757" w:type="dxa"/>
                  <w:vMerge w:val="restart"/>
                  <w:noWrap w:val="0"/>
                  <w:vAlign w:val="center"/>
                </w:tcPr>
                <w:p w14:paraId="2E9475D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146.65</w:t>
                  </w:r>
                </w:p>
              </w:tc>
              <w:tc>
                <w:tcPr>
                  <w:tcW w:w="757" w:type="dxa"/>
                  <w:vMerge w:val="restart"/>
                  <w:noWrap w:val="0"/>
                  <w:vAlign w:val="center"/>
                </w:tcPr>
                <w:p w14:paraId="5E19FBB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182.62</w:t>
                  </w:r>
                </w:p>
              </w:tc>
              <w:tc>
                <w:tcPr>
                  <w:tcW w:w="679" w:type="dxa"/>
                  <w:vMerge w:val="restart"/>
                  <w:noWrap w:val="0"/>
                  <w:vAlign w:val="center"/>
                </w:tcPr>
                <w:p w14:paraId="2AD7370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c>
                <w:tcPr>
                  <w:tcW w:w="915" w:type="dxa"/>
                  <w:noWrap w:val="0"/>
                  <w:vAlign w:val="center"/>
                </w:tcPr>
                <w:p w14:paraId="7671420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28.70</w:t>
                  </w:r>
                </w:p>
              </w:tc>
              <w:tc>
                <w:tcPr>
                  <w:tcW w:w="1113" w:type="dxa"/>
                  <w:noWrap w:val="0"/>
                  <w:vAlign w:val="center"/>
                </w:tcPr>
                <w:p w14:paraId="721ACC3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55.48</w:t>
                  </w:r>
                </w:p>
              </w:tc>
              <w:tc>
                <w:tcPr>
                  <w:tcW w:w="251" w:type="pct"/>
                  <w:vMerge w:val="continue"/>
                  <w:noWrap w:val="0"/>
                  <w:vAlign w:val="center"/>
                </w:tcPr>
                <w:p w14:paraId="79936AC5">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09ED4776">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424708B5">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35.48</w:t>
                  </w:r>
                </w:p>
              </w:tc>
              <w:tc>
                <w:tcPr>
                  <w:tcW w:w="396" w:type="pct"/>
                  <w:noWrap w:val="0"/>
                  <w:vAlign w:val="center"/>
                </w:tcPr>
                <w:p w14:paraId="7C85EB55">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5B439EBA">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281" w:type="pct"/>
                  <w:vMerge w:val="continue"/>
                  <w:noWrap w:val="0"/>
                  <w:vAlign w:val="center"/>
                </w:tcPr>
                <w:p w14:paraId="615845EC">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18742FA6">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7B7C27FA">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35324165">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0B05AAB4">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417B4865">
                  <w:pPr>
                    <w:spacing w:line="240" w:lineRule="auto"/>
                    <w:jc w:val="center"/>
                    <w:rPr>
                      <w:rFonts w:hint="default" w:ascii="Times New Roman" w:hAnsi="Times New Roman" w:eastAsia="宋体" w:cs="Times New Roman"/>
                      <w:color w:val="auto"/>
                      <w:sz w:val="21"/>
                      <w:szCs w:val="21"/>
                      <w:highlight w:val="none"/>
                    </w:rPr>
                  </w:pPr>
                </w:p>
              </w:tc>
              <w:tc>
                <w:tcPr>
                  <w:tcW w:w="757" w:type="dxa"/>
                  <w:vMerge w:val="continue"/>
                  <w:noWrap w:val="0"/>
                  <w:vAlign w:val="center"/>
                </w:tcPr>
                <w:p w14:paraId="1AC5E1EF">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757" w:type="dxa"/>
                  <w:vMerge w:val="continue"/>
                  <w:noWrap w:val="0"/>
                  <w:vAlign w:val="center"/>
                </w:tcPr>
                <w:p w14:paraId="7D428332">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679" w:type="dxa"/>
                  <w:vMerge w:val="continue"/>
                  <w:noWrap w:val="0"/>
                  <w:vAlign w:val="center"/>
                </w:tcPr>
                <w:p w14:paraId="0B35B0A0">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915" w:type="dxa"/>
                  <w:noWrap w:val="0"/>
                  <w:vAlign w:val="center"/>
                </w:tcPr>
                <w:p w14:paraId="04E89A9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155.53</w:t>
                  </w:r>
                </w:p>
              </w:tc>
              <w:tc>
                <w:tcPr>
                  <w:tcW w:w="1113" w:type="dxa"/>
                  <w:noWrap w:val="0"/>
                  <w:vAlign w:val="center"/>
                </w:tcPr>
                <w:p w14:paraId="6F7D06B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54.15</w:t>
                  </w:r>
                </w:p>
              </w:tc>
              <w:tc>
                <w:tcPr>
                  <w:tcW w:w="251" w:type="pct"/>
                  <w:vMerge w:val="continue"/>
                  <w:noWrap w:val="0"/>
                  <w:vAlign w:val="center"/>
                </w:tcPr>
                <w:p w14:paraId="7D4405C3">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265AC4F7">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7F9688A6">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34.15</w:t>
                  </w:r>
                </w:p>
              </w:tc>
              <w:tc>
                <w:tcPr>
                  <w:tcW w:w="396" w:type="pct"/>
                  <w:noWrap w:val="0"/>
                  <w:vAlign w:val="center"/>
                </w:tcPr>
                <w:p w14:paraId="72142F92">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158D527C">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281" w:type="pct"/>
                  <w:vMerge w:val="continue"/>
                  <w:noWrap w:val="0"/>
                  <w:vAlign w:val="center"/>
                </w:tcPr>
                <w:p w14:paraId="116E0466">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304698BF">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471691A8">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17985258">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09B1E226">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4AEB1031">
                  <w:pPr>
                    <w:spacing w:line="240" w:lineRule="auto"/>
                    <w:jc w:val="center"/>
                    <w:rPr>
                      <w:rFonts w:hint="default" w:ascii="Times New Roman" w:hAnsi="Times New Roman" w:eastAsia="宋体" w:cs="Times New Roman"/>
                      <w:color w:val="auto"/>
                      <w:sz w:val="21"/>
                      <w:szCs w:val="21"/>
                      <w:highlight w:val="none"/>
                    </w:rPr>
                  </w:pPr>
                </w:p>
              </w:tc>
              <w:tc>
                <w:tcPr>
                  <w:tcW w:w="757" w:type="dxa"/>
                  <w:vMerge w:val="continue"/>
                  <w:noWrap w:val="0"/>
                  <w:vAlign w:val="center"/>
                </w:tcPr>
                <w:p w14:paraId="547A3C85">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757" w:type="dxa"/>
                  <w:vMerge w:val="continue"/>
                  <w:noWrap w:val="0"/>
                  <w:vAlign w:val="center"/>
                </w:tcPr>
                <w:p w14:paraId="791BF13C">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679" w:type="dxa"/>
                  <w:vMerge w:val="continue"/>
                  <w:noWrap w:val="0"/>
                  <w:vAlign w:val="center"/>
                </w:tcPr>
                <w:p w14:paraId="57899B7D">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915" w:type="dxa"/>
                  <w:noWrap w:val="0"/>
                  <w:vAlign w:val="center"/>
                </w:tcPr>
                <w:p w14:paraId="77E0051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74.14</w:t>
                  </w:r>
                </w:p>
              </w:tc>
              <w:tc>
                <w:tcPr>
                  <w:tcW w:w="1113" w:type="dxa"/>
                  <w:noWrap w:val="0"/>
                  <w:vAlign w:val="center"/>
                </w:tcPr>
                <w:p w14:paraId="0F1DE1C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54.33</w:t>
                  </w:r>
                </w:p>
              </w:tc>
              <w:tc>
                <w:tcPr>
                  <w:tcW w:w="251" w:type="pct"/>
                  <w:vMerge w:val="continue"/>
                  <w:noWrap w:val="0"/>
                  <w:vAlign w:val="center"/>
                </w:tcPr>
                <w:p w14:paraId="6A62BD08">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0DB97DBB">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5E23C282">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34.33</w:t>
                  </w:r>
                </w:p>
              </w:tc>
              <w:tc>
                <w:tcPr>
                  <w:tcW w:w="396" w:type="pct"/>
                  <w:noWrap w:val="0"/>
                  <w:vAlign w:val="center"/>
                </w:tcPr>
                <w:p w14:paraId="59A896F2">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65D309A2">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281" w:type="pct"/>
                  <w:vMerge w:val="continue"/>
                  <w:noWrap w:val="0"/>
                  <w:vAlign w:val="center"/>
                </w:tcPr>
                <w:p w14:paraId="1F11B2D6">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37548851">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5EBD20D4">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2401D0DF">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03584653">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676533FD">
                  <w:pPr>
                    <w:spacing w:line="240" w:lineRule="auto"/>
                    <w:jc w:val="center"/>
                    <w:rPr>
                      <w:rFonts w:hint="default" w:ascii="Times New Roman" w:hAnsi="Times New Roman" w:eastAsia="宋体" w:cs="Times New Roman"/>
                      <w:color w:val="auto"/>
                      <w:sz w:val="21"/>
                      <w:szCs w:val="21"/>
                      <w:highlight w:val="none"/>
                    </w:rPr>
                  </w:pPr>
                </w:p>
              </w:tc>
              <w:tc>
                <w:tcPr>
                  <w:tcW w:w="757" w:type="dxa"/>
                  <w:vMerge w:val="continue"/>
                  <w:noWrap w:val="0"/>
                  <w:vAlign w:val="center"/>
                </w:tcPr>
                <w:p w14:paraId="569D5802">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757" w:type="dxa"/>
                  <w:vMerge w:val="continue"/>
                  <w:noWrap w:val="0"/>
                  <w:vAlign w:val="center"/>
                </w:tcPr>
                <w:p w14:paraId="2C9E5019">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679" w:type="dxa"/>
                  <w:vMerge w:val="continue"/>
                  <w:noWrap w:val="0"/>
                  <w:vAlign w:val="center"/>
                </w:tcPr>
                <w:p w14:paraId="4129A4FD">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915" w:type="dxa"/>
                  <w:noWrap w:val="0"/>
                  <w:vAlign w:val="center"/>
                </w:tcPr>
                <w:p w14:paraId="3748F19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41.65</w:t>
                  </w:r>
                </w:p>
              </w:tc>
              <w:tc>
                <w:tcPr>
                  <w:tcW w:w="1113" w:type="dxa"/>
                  <w:noWrap w:val="0"/>
                  <w:vAlign w:val="center"/>
                </w:tcPr>
                <w:p w14:paraId="167A857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54.81</w:t>
                  </w:r>
                </w:p>
              </w:tc>
              <w:tc>
                <w:tcPr>
                  <w:tcW w:w="251" w:type="pct"/>
                  <w:vMerge w:val="continue"/>
                  <w:noWrap w:val="0"/>
                  <w:vAlign w:val="center"/>
                </w:tcPr>
                <w:p w14:paraId="2CE84DA8">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399A3560">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6CABC4BA">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34.81</w:t>
                  </w:r>
                </w:p>
              </w:tc>
              <w:tc>
                <w:tcPr>
                  <w:tcW w:w="396" w:type="pct"/>
                  <w:noWrap w:val="0"/>
                  <w:vAlign w:val="center"/>
                </w:tcPr>
                <w:p w14:paraId="389CF3A3">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25F7D2A6">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281" w:type="pct"/>
                  <w:vMerge w:val="continue"/>
                  <w:noWrap w:val="0"/>
                  <w:vAlign w:val="center"/>
                </w:tcPr>
                <w:p w14:paraId="26370C85">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10F077F3">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1104371A">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1ED8E663">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2AEA2EA9">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63ED005E">
                  <w:pPr>
                    <w:spacing w:line="240" w:lineRule="auto"/>
                    <w:jc w:val="center"/>
                    <w:rPr>
                      <w:rFonts w:hint="default" w:ascii="Times New Roman" w:hAnsi="Times New Roman" w:eastAsia="宋体" w:cs="Times New Roman"/>
                      <w:color w:val="auto"/>
                      <w:sz w:val="21"/>
                      <w:szCs w:val="21"/>
                      <w:highlight w:val="none"/>
                    </w:rPr>
                  </w:pPr>
                </w:p>
              </w:tc>
              <w:tc>
                <w:tcPr>
                  <w:tcW w:w="757" w:type="dxa"/>
                  <w:vMerge w:val="continue"/>
                  <w:noWrap w:val="0"/>
                  <w:vAlign w:val="center"/>
                </w:tcPr>
                <w:p w14:paraId="4F9F1259">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757" w:type="dxa"/>
                  <w:vMerge w:val="continue"/>
                  <w:noWrap w:val="0"/>
                  <w:vAlign w:val="center"/>
                </w:tcPr>
                <w:p w14:paraId="47907E97">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679" w:type="dxa"/>
                  <w:vMerge w:val="continue"/>
                  <w:noWrap w:val="0"/>
                  <w:vAlign w:val="center"/>
                </w:tcPr>
                <w:p w14:paraId="013A306B">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915" w:type="dxa"/>
                  <w:noWrap w:val="0"/>
                  <w:vAlign w:val="center"/>
                </w:tcPr>
                <w:p w14:paraId="3A418AE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42.57</w:t>
                  </w:r>
                </w:p>
              </w:tc>
              <w:tc>
                <w:tcPr>
                  <w:tcW w:w="1113" w:type="dxa"/>
                  <w:noWrap w:val="0"/>
                  <w:vAlign w:val="center"/>
                </w:tcPr>
                <w:p w14:paraId="4A7CA30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54.78</w:t>
                  </w:r>
                </w:p>
              </w:tc>
              <w:tc>
                <w:tcPr>
                  <w:tcW w:w="251" w:type="pct"/>
                  <w:vMerge w:val="continue"/>
                  <w:noWrap w:val="0"/>
                  <w:vAlign w:val="center"/>
                </w:tcPr>
                <w:p w14:paraId="7484A5C2">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50A5AB11">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1CDC572E">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34.78</w:t>
                  </w:r>
                </w:p>
              </w:tc>
              <w:tc>
                <w:tcPr>
                  <w:tcW w:w="396" w:type="pct"/>
                  <w:noWrap w:val="0"/>
                  <w:vAlign w:val="center"/>
                </w:tcPr>
                <w:p w14:paraId="57E76806">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00B7540C">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281" w:type="pct"/>
                  <w:vMerge w:val="continue"/>
                  <w:noWrap w:val="0"/>
                  <w:vAlign w:val="center"/>
                </w:tcPr>
                <w:p w14:paraId="284288C0">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55D5017E">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2C1BA10A">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59AF6856">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514DF1E9">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3A0178F8">
                  <w:pPr>
                    <w:spacing w:line="240" w:lineRule="auto"/>
                    <w:jc w:val="center"/>
                    <w:rPr>
                      <w:rFonts w:hint="default" w:ascii="Times New Roman" w:hAnsi="Times New Roman" w:eastAsia="宋体" w:cs="Times New Roman"/>
                      <w:color w:val="auto"/>
                      <w:sz w:val="21"/>
                      <w:szCs w:val="21"/>
                      <w:highlight w:val="none"/>
                    </w:rPr>
                  </w:pPr>
                </w:p>
              </w:tc>
              <w:tc>
                <w:tcPr>
                  <w:tcW w:w="757" w:type="dxa"/>
                  <w:vMerge w:val="continue"/>
                  <w:noWrap w:val="0"/>
                  <w:vAlign w:val="center"/>
                </w:tcPr>
                <w:p w14:paraId="692DC166">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757" w:type="dxa"/>
                  <w:vMerge w:val="continue"/>
                  <w:noWrap w:val="0"/>
                  <w:vAlign w:val="center"/>
                </w:tcPr>
                <w:p w14:paraId="22AACA38">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679" w:type="dxa"/>
                  <w:vMerge w:val="continue"/>
                  <w:noWrap w:val="0"/>
                  <w:vAlign w:val="center"/>
                </w:tcPr>
                <w:p w14:paraId="71A0E83C">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915" w:type="dxa"/>
                  <w:noWrap w:val="0"/>
                  <w:vAlign w:val="center"/>
                </w:tcPr>
                <w:p w14:paraId="6A22F9E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78.89</w:t>
                  </w:r>
                </w:p>
              </w:tc>
              <w:tc>
                <w:tcPr>
                  <w:tcW w:w="1113" w:type="dxa"/>
                  <w:noWrap w:val="0"/>
                  <w:vAlign w:val="center"/>
                </w:tcPr>
                <w:p w14:paraId="46E5A5B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54.31</w:t>
                  </w:r>
                </w:p>
              </w:tc>
              <w:tc>
                <w:tcPr>
                  <w:tcW w:w="251" w:type="pct"/>
                  <w:vMerge w:val="continue"/>
                  <w:noWrap w:val="0"/>
                  <w:vAlign w:val="center"/>
                </w:tcPr>
                <w:p w14:paraId="26D7B9BB">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00B91D8E">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44BF98A9">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34.31</w:t>
                  </w:r>
                </w:p>
              </w:tc>
              <w:tc>
                <w:tcPr>
                  <w:tcW w:w="396" w:type="pct"/>
                  <w:noWrap w:val="0"/>
                  <w:vAlign w:val="center"/>
                </w:tcPr>
                <w:p w14:paraId="2B1C35BB">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771D2FD3">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281" w:type="pct"/>
                  <w:vMerge w:val="restart"/>
                  <w:shd w:val="clear" w:color="auto" w:fill="auto"/>
                  <w:noWrap w:val="0"/>
                  <w:vAlign w:val="center"/>
                </w:tcPr>
                <w:p w14:paraId="26EF010B">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269" w:type="pct"/>
                  <w:vMerge w:val="continue"/>
                  <w:noWrap w:val="0"/>
                  <w:vAlign w:val="center"/>
                </w:tcPr>
                <w:p w14:paraId="669C8F08">
                  <w:pPr>
                    <w:spacing w:line="240" w:lineRule="auto"/>
                    <w:jc w:val="center"/>
                    <w:rPr>
                      <w:rFonts w:hint="default" w:ascii="Times New Roman" w:hAnsi="Times New Roman" w:eastAsia="宋体" w:cs="Times New Roman"/>
                      <w:color w:val="auto"/>
                      <w:sz w:val="21"/>
                      <w:szCs w:val="21"/>
                      <w:highlight w:val="none"/>
                    </w:rPr>
                  </w:pPr>
                </w:p>
              </w:tc>
              <w:tc>
                <w:tcPr>
                  <w:tcW w:w="361" w:type="pct"/>
                  <w:vMerge w:val="restart"/>
                  <w:noWrap w:val="0"/>
                  <w:vAlign w:val="center"/>
                </w:tcPr>
                <w:p w14:paraId="1A212F1A">
                  <w:pPr>
                    <w:pStyle w:val="139"/>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rPr>
                    <w:t>环形式再加热炉</w:t>
                  </w:r>
                </w:p>
              </w:tc>
              <w:tc>
                <w:tcPr>
                  <w:tcW w:w="299" w:type="pct"/>
                  <w:vMerge w:val="restart"/>
                  <w:noWrap w:val="0"/>
                  <w:vAlign w:val="center"/>
                </w:tcPr>
                <w:p w14:paraId="55F18FD9">
                  <w:pPr>
                    <w:pStyle w:val="139"/>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rPr>
                    <w:t>1</w:t>
                  </w:r>
                </w:p>
              </w:tc>
              <w:tc>
                <w:tcPr>
                  <w:tcW w:w="410" w:type="pct"/>
                  <w:vMerge w:val="restart"/>
                  <w:noWrap w:val="0"/>
                  <w:vAlign w:val="center"/>
                </w:tcPr>
                <w:p w14:paraId="3537376B">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95/1</w:t>
                  </w:r>
                </w:p>
              </w:tc>
              <w:tc>
                <w:tcPr>
                  <w:tcW w:w="437" w:type="pct"/>
                  <w:vMerge w:val="continue"/>
                  <w:noWrap w:val="0"/>
                  <w:vAlign w:val="center"/>
                </w:tcPr>
                <w:p w14:paraId="3FD1ACCE">
                  <w:pPr>
                    <w:spacing w:line="240" w:lineRule="auto"/>
                    <w:jc w:val="center"/>
                    <w:rPr>
                      <w:rFonts w:hint="default" w:ascii="Times New Roman" w:hAnsi="Times New Roman" w:eastAsia="宋体" w:cs="Times New Roman"/>
                      <w:color w:val="auto"/>
                      <w:sz w:val="21"/>
                      <w:szCs w:val="21"/>
                      <w:highlight w:val="none"/>
                    </w:rPr>
                  </w:pPr>
                </w:p>
              </w:tc>
              <w:tc>
                <w:tcPr>
                  <w:tcW w:w="283" w:type="pct"/>
                  <w:vMerge w:val="restart"/>
                  <w:noWrap w:val="0"/>
                  <w:vAlign w:val="center"/>
                </w:tcPr>
                <w:p w14:paraId="381DCB6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156.52</w:t>
                  </w:r>
                </w:p>
              </w:tc>
              <w:tc>
                <w:tcPr>
                  <w:tcW w:w="283" w:type="pct"/>
                  <w:vMerge w:val="restart"/>
                  <w:noWrap w:val="0"/>
                  <w:vAlign w:val="center"/>
                </w:tcPr>
                <w:p w14:paraId="4FB5698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183.61</w:t>
                  </w:r>
                </w:p>
              </w:tc>
              <w:tc>
                <w:tcPr>
                  <w:tcW w:w="254" w:type="pct"/>
                  <w:vMerge w:val="restart"/>
                  <w:noWrap w:val="0"/>
                  <w:vAlign w:val="center"/>
                </w:tcPr>
                <w:p w14:paraId="629F49F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c>
                <w:tcPr>
                  <w:tcW w:w="342" w:type="pct"/>
                  <w:noWrap w:val="0"/>
                  <w:vAlign w:val="center"/>
                </w:tcPr>
                <w:p w14:paraId="38E3F19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28.23</w:t>
                  </w:r>
                </w:p>
              </w:tc>
              <w:tc>
                <w:tcPr>
                  <w:tcW w:w="416" w:type="pct"/>
                  <w:noWrap w:val="0"/>
                  <w:vAlign w:val="center"/>
                </w:tcPr>
                <w:p w14:paraId="5649998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60.52</w:t>
                  </w:r>
                </w:p>
              </w:tc>
              <w:tc>
                <w:tcPr>
                  <w:tcW w:w="251" w:type="pct"/>
                  <w:vMerge w:val="continue"/>
                  <w:noWrap w:val="0"/>
                  <w:vAlign w:val="center"/>
                </w:tcPr>
                <w:p w14:paraId="588E22C0">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6AE07409">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6B89EAA9">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40.52</w:t>
                  </w:r>
                </w:p>
              </w:tc>
              <w:tc>
                <w:tcPr>
                  <w:tcW w:w="396" w:type="pct"/>
                  <w:noWrap w:val="0"/>
                  <w:vAlign w:val="center"/>
                </w:tcPr>
                <w:p w14:paraId="0A84040D">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2EA5A349">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281" w:type="pct"/>
                  <w:vMerge w:val="continue"/>
                  <w:shd w:val="clear" w:color="auto" w:fill="auto"/>
                  <w:noWrap w:val="0"/>
                  <w:vAlign w:val="center"/>
                </w:tcPr>
                <w:p w14:paraId="43185280">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71DEEA0A">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4C7B3DCD">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3517E79D">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57CB253A">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6198A4DE">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0B4265BB">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49BBB149">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51D95D73">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7D04AAB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165.44</w:t>
                  </w:r>
                </w:p>
              </w:tc>
              <w:tc>
                <w:tcPr>
                  <w:tcW w:w="416" w:type="pct"/>
                  <w:noWrap w:val="0"/>
                  <w:vAlign w:val="center"/>
                </w:tcPr>
                <w:p w14:paraId="161FF84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59.14</w:t>
                  </w:r>
                </w:p>
              </w:tc>
              <w:tc>
                <w:tcPr>
                  <w:tcW w:w="251" w:type="pct"/>
                  <w:vMerge w:val="continue"/>
                  <w:noWrap w:val="0"/>
                  <w:vAlign w:val="center"/>
                </w:tcPr>
                <w:p w14:paraId="21700FFE">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3BE2AE34">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47BDD16D">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39.14</w:t>
                  </w:r>
                </w:p>
              </w:tc>
              <w:tc>
                <w:tcPr>
                  <w:tcW w:w="396" w:type="pct"/>
                  <w:noWrap w:val="0"/>
                  <w:vAlign w:val="center"/>
                </w:tcPr>
                <w:p w14:paraId="65716D82">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02EAB2EF">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281" w:type="pct"/>
                  <w:vMerge w:val="continue"/>
                  <w:shd w:val="clear" w:color="auto" w:fill="auto"/>
                  <w:noWrap w:val="0"/>
                  <w:vAlign w:val="center"/>
                </w:tcPr>
                <w:p w14:paraId="3580536C">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243D4389">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3A10680F">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621F010E">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531BE2A8">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2DE7FB0D">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3192EA36">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627D0B28">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3F987B12">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04AFA31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74.44</w:t>
                  </w:r>
                </w:p>
              </w:tc>
              <w:tc>
                <w:tcPr>
                  <w:tcW w:w="416" w:type="pct"/>
                  <w:noWrap w:val="0"/>
                  <w:vAlign w:val="center"/>
                </w:tcPr>
                <w:p w14:paraId="54DB1EE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59.33</w:t>
                  </w:r>
                </w:p>
              </w:tc>
              <w:tc>
                <w:tcPr>
                  <w:tcW w:w="251" w:type="pct"/>
                  <w:vMerge w:val="continue"/>
                  <w:noWrap w:val="0"/>
                  <w:vAlign w:val="center"/>
                </w:tcPr>
                <w:p w14:paraId="4C1739F4">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45140085">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0F52B46C">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39.33</w:t>
                  </w:r>
                </w:p>
              </w:tc>
              <w:tc>
                <w:tcPr>
                  <w:tcW w:w="396" w:type="pct"/>
                  <w:noWrap w:val="0"/>
                  <w:vAlign w:val="center"/>
                </w:tcPr>
                <w:p w14:paraId="0B29795F">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1B4143E9">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281" w:type="pct"/>
                  <w:vMerge w:val="continue"/>
                  <w:shd w:val="clear" w:color="auto" w:fill="auto"/>
                  <w:noWrap w:val="0"/>
                  <w:vAlign w:val="center"/>
                </w:tcPr>
                <w:p w14:paraId="0E2DEB2D">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0B00860F">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249C1322">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0C880855">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0ED4C08C">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3294CA19">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6067FA4B">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453BBB2A">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524D3277">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39DAAB0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31.75</w:t>
                  </w:r>
                </w:p>
              </w:tc>
              <w:tc>
                <w:tcPr>
                  <w:tcW w:w="416" w:type="pct"/>
                  <w:noWrap w:val="0"/>
                  <w:vAlign w:val="center"/>
                </w:tcPr>
                <w:p w14:paraId="7BC9CFA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60.26</w:t>
                  </w:r>
                </w:p>
              </w:tc>
              <w:tc>
                <w:tcPr>
                  <w:tcW w:w="251" w:type="pct"/>
                  <w:vMerge w:val="continue"/>
                  <w:noWrap w:val="0"/>
                  <w:vAlign w:val="center"/>
                </w:tcPr>
                <w:p w14:paraId="2F5C3824">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624CBF83">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0484E4C9">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40.26</w:t>
                  </w:r>
                </w:p>
              </w:tc>
              <w:tc>
                <w:tcPr>
                  <w:tcW w:w="396" w:type="pct"/>
                  <w:noWrap w:val="0"/>
                  <w:vAlign w:val="center"/>
                </w:tcPr>
                <w:p w14:paraId="0A43996E">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3AAB50F2">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281" w:type="pct"/>
                  <w:vMerge w:val="continue"/>
                  <w:shd w:val="clear" w:color="auto" w:fill="auto"/>
                  <w:noWrap w:val="0"/>
                  <w:vAlign w:val="center"/>
                </w:tcPr>
                <w:p w14:paraId="251694A7">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60E975EB">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01824032">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6BF4C243">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7B6AD269">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618ED989">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53D61A33">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59C272D0">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391D3D57">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3F254D6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42.98</w:t>
                  </w:r>
                </w:p>
              </w:tc>
              <w:tc>
                <w:tcPr>
                  <w:tcW w:w="416" w:type="pct"/>
                  <w:noWrap w:val="0"/>
                  <w:vAlign w:val="center"/>
                </w:tcPr>
                <w:p w14:paraId="4427E3C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59.77</w:t>
                  </w:r>
                </w:p>
              </w:tc>
              <w:tc>
                <w:tcPr>
                  <w:tcW w:w="251" w:type="pct"/>
                  <w:vMerge w:val="continue"/>
                  <w:noWrap w:val="0"/>
                  <w:vAlign w:val="center"/>
                </w:tcPr>
                <w:p w14:paraId="208A85A5">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516FBB74">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67869132">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39.77</w:t>
                  </w:r>
                </w:p>
              </w:tc>
              <w:tc>
                <w:tcPr>
                  <w:tcW w:w="396" w:type="pct"/>
                  <w:noWrap w:val="0"/>
                  <w:vAlign w:val="center"/>
                </w:tcPr>
                <w:p w14:paraId="31E624EA">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7E593E76">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281" w:type="pct"/>
                  <w:vMerge w:val="continue"/>
                  <w:shd w:val="clear" w:color="auto" w:fill="auto"/>
                  <w:noWrap w:val="0"/>
                  <w:vAlign w:val="center"/>
                </w:tcPr>
                <w:p w14:paraId="004F57D6">
                  <w:pPr>
                    <w:widowControl/>
                    <w:spacing w:line="240" w:lineRule="auto"/>
                    <w:jc w:val="center"/>
                    <w:textAlignment w:val="bottom"/>
                    <w:rPr>
                      <w:rFonts w:hint="default" w:ascii="Times New Roman" w:hAnsi="Times New Roman" w:eastAsia="宋体" w:cs="Times New Roman"/>
                      <w:color w:val="auto"/>
                      <w:kern w:val="2"/>
                      <w:sz w:val="21"/>
                      <w:szCs w:val="21"/>
                      <w:highlight w:val="none"/>
                      <w:lang w:val="en-US" w:eastAsia="zh-CN" w:bidi="ar-SA"/>
                    </w:rPr>
                  </w:pPr>
                </w:p>
              </w:tc>
              <w:tc>
                <w:tcPr>
                  <w:tcW w:w="269" w:type="pct"/>
                  <w:vMerge w:val="continue"/>
                  <w:noWrap w:val="0"/>
                  <w:vAlign w:val="center"/>
                </w:tcPr>
                <w:p w14:paraId="566F0644">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3032A411">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0D3BCB5B">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549ADBDA">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316C7127">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20B1A666">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5652E947">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0AF287E1">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2113D14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68.97</w:t>
                  </w:r>
                </w:p>
              </w:tc>
              <w:tc>
                <w:tcPr>
                  <w:tcW w:w="416" w:type="pct"/>
                  <w:noWrap w:val="0"/>
                  <w:vAlign w:val="center"/>
                </w:tcPr>
                <w:p w14:paraId="0EE09B7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59.37</w:t>
                  </w:r>
                </w:p>
              </w:tc>
              <w:tc>
                <w:tcPr>
                  <w:tcW w:w="251" w:type="pct"/>
                  <w:vMerge w:val="continue"/>
                  <w:noWrap w:val="0"/>
                  <w:vAlign w:val="center"/>
                </w:tcPr>
                <w:p w14:paraId="3FB8369E">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2C34793F">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5B25B685">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39.37</w:t>
                  </w:r>
                </w:p>
              </w:tc>
              <w:tc>
                <w:tcPr>
                  <w:tcW w:w="396" w:type="pct"/>
                  <w:noWrap w:val="0"/>
                  <w:vAlign w:val="center"/>
                </w:tcPr>
                <w:p w14:paraId="6883C227">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1CFBEAE0">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81" w:type="pct"/>
                  <w:vMerge w:val="restart"/>
                  <w:shd w:val="clear" w:color="auto" w:fill="auto"/>
                  <w:noWrap w:val="0"/>
                  <w:vAlign w:val="center"/>
                </w:tcPr>
                <w:p w14:paraId="45369E58">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6</w:t>
                  </w:r>
                </w:p>
              </w:tc>
              <w:tc>
                <w:tcPr>
                  <w:tcW w:w="269" w:type="pct"/>
                  <w:vMerge w:val="continue"/>
                  <w:shd w:val="clear" w:color="auto" w:fill="auto"/>
                  <w:noWrap w:val="0"/>
                  <w:vAlign w:val="center"/>
                </w:tcPr>
                <w:p w14:paraId="1A516125">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361" w:type="pct"/>
                  <w:vMerge w:val="restart"/>
                  <w:shd w:val="clear" w:color="auto" w:fill="auto"/>
                  <w:noWrap w:val="0"/>
                  <w:vAlign w:val="center"/>
                </w:tcPr>
                <w:p w14:paraId="69ABFE73">
                  <w:pPr>
                    <w:pStyle w:val="139"/>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rPr>
                    <w:t>输送机</w:t>
                  </w:r>
                </w:p>
              </w:tc>
              <w:tc>
                <w:tcPr>
                  <w:tcW w:w="299" w:type="pct"/>
                  <w:vMerge w:val="restart"/>
                  <w:shd w:val="clear" w:color="auto" w:fill="auto"/>
                  <w:noWrap w:val="0"/>
                  <w:vAlign w:val="center"/>
                </w:tcPr>
                <w:p w14:paraId="2BC9AC43">
                  <w:pPr>
                    <w:pStyle w:val="139"/>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rPr>
                    <w:t>1</w:t>
                  </w:r>
                </w:p>
              </w:tc>
              <w:tc>
                <w:tcPr>
                  <w:tcW w:w="410" w:type="pct"/>
                  <w:vMerge w:val="restart"/>
                  <w:noWrap w:val="0"/>
                  <w:vAlign w:val="center"/>
                </w:tcPr>
                <w:p w14:paraId="1F38F78A">
                  <w:pPr>
                    <w:widowControl/>
                    <w:spacing w:line="240" w:lineRule="auto"/>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80</w:t>
                  </w:r>
                  <w:r>
                    <w:rPr>
                      <w:rFonts w:hint="default" w:ascii="Times New Roman" w:hAnsi="Times New Roman" w:eastAsia="宋体" w:cs="Times New Roman"/>
                      <w:color w:val="auto"/>
                      <w:sz w:val="21"/>
                      <w:szCs w:val="21"/>
                      <w:highlight w:val="none"/>
                      <w:lang w:val="en-US" w:eastAsia="zh-CN"/>
                    </w:rPr>
                    <w:t>/1</w:t>
                  </w:r>
                </w:p>
              </w:tc>
              <w:tc>
                <w:tcPr>
                  <w:tcW w:w="437" w:type="pct"/>
                  <w:vMerge w:val="continue"/>
                  <w:noWrap w:val="0"/>
                  <w:vAlign w:val="center"/>
                </w:tcPr>
                <w:p w14:paraId="55FB65CD">
                  <w:pPr>
                    <w:widowControl/>
                    <w:spacing w:line="240" w:lineRule="auto"/>
                    <w:jc w:val="center"/>
                    <w:textAlignment w:val="bottom"/>
                    <w:rPr>
                      <w:rFonts w:hint="default" w:ascii="Times New Roman" w:hAnsi="Times New Roman" w:eastAsia="宋体" w:cs="Times New Roman"/>
                      <w:color w:val="auto"/>
                      <w:sz w:val="21"/>
                      <w:szCs w:val="21"/>
                      <w:highlight w:val="none"/>
                      <w:lang w:eastAsia="zh-CN"/>
                    </w:rPr>
                  </w:pPr>
                </w:p>
              </w:tc>
              <w:tc>
                <w:tcPr>
                  <w:tcW w:w="757" w:type="dxa"/>
                  <w:vMerge w:val="restart"/>
                  <w:noWrap w:val="0"/>
                  <w:vAlign w:val="center"/>
                </w:tcPr>
                <w:p w14:paraId="09A1644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155.86</w:t>
                  </w:r>
                </w:p>
              </w:tc>
              <w:tc>
                <w:tcPr>
                  <w:tcW w:w="757" w:type="dxa"/>
                  <w:vMerge w:val="restart"/>
                  <w:noWrap w:val="0"/>
                  <w:vAlign w:val="center"/>
                </w:tcPr>
                <w:p w14:paraId="3665159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188.54</w:t>
                  </w:r>
                </w:p>
              </w:tc>
              <w:tc>
                <w:tcPr>
                  <w:tcW w:w="679" w:type="dxa"/>
                  <w:vMerge w:val="restart"/>
                  <w:noWrap w:val="0"/>
                  <w:vAlign w:val="center"/>
                </w:tcPr>
                <w:p w14:paraId="5717472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c>
                <w:tcPr>
                  <w:tcW w:w="915" w:type="dxa"/>
                  <w:noWrap w:val="0"/>
                  <w:vAlign w:val="center"/>
                </w:tcPr>
                <w:p w14:paraId="15BA8E3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33.20</w:t>
                  </w:r>
                </w:p>
              </w:tc>
              <w:tc>
                <w:tcPr>
                  <w:tcW w:w="1113" w:type="dxa"/>
                  <w:noWrap w:val="0"/>
                  <w:vAlign w:val="center"/>
                </w:tcPr>
                <w:p w14:paraId="1122C97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45.17</w:t>
                  </w:r>
                </w:p>
              </w:tc>
              <w:tc>
                <w:tcPr>
                  <w:tcW w:w="251" w:type="pct"/>
                  <w:vMerge w:val="continue"/>
                  <w:noWrap w:val="0"/>
                  <w:vAlign w:val="center"/>
                </w:tcPr>
                <w:p w14:paraId="7157FDDC">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6F6C587F">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5D8C464E">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25.17</w:t>
                  </w:r>
                </w:p>
              </w:tc>
              <w:tc>
                <w:tcPr>
                  <w:tcW w:w="396" w:type="pct"/>
                  <w:noWrap w:val="0"/>
                  <w:vAlign w:val="center"/>
                </w:tcPr>
                <w:p w14:paraId="630F9B83">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723947C4">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4" w:hRule="atLeast"/>
                <w:jc w:val="center"/>
              </w:trPr>
              <w:tc>
                <w:tcPr>
                  <w:tcW w:w="281" w:type="pct"/>
                  <w:vMerge w:val="continue"/>
                  <w:shd w:val="clear" w:color="auto" w:fill="auto"/>
                  <w:noWrap w:val="0"/>
                  <w:vAlign w:val="center"/>
                </w:tcPr>
                <w:p w14:paraId="4C237823">
                  <w:pPr>
                    <w:widowControl/>
                    <w:spacing w:line="240" w:lineRule="auto"/>
                    <w:jc w:val="center"/>
                    <w:textAlignment w:val="bottom"/>
                    <w:rPr>
                      <w:rFonts w:hint="default" w:ascii="Times New Roman" w:hAnsi="Times New Roman" w:eastAsia="宋体" w:cs="Times New Roman"/>
                      <w:color w:val="auto"/>
                      <w:sz w:val="21"/>
                      <w:szCs w:val="21"/>
                    </w:rPr>
                  </w:pPr>
                </w:p>
              </w:tc>
              <w:tc>
                <w:tcPr>
                  <w:tcW w:w="269" w:type="pct"/>
                  <w:vMerge w:val="continue"/>
                  <w:noWrap w:val="0"/>
                  <w:vAlign w:val="center"/>
                </w:tcPr>
                <w:p w14:paraId="0FF71A7C">
                  <w:pPr>
                    <w:widowControl/>
                    <w:spacing w:line="240" w:lineRule="auto"/>
                    <w:jc w:val="center"/>
                    <w:textAlignment w:val="bottom"/>
                    <w:rPr>
                      <w:rFonts w:hint="default" w:ascii="Times New Roman" w:hAnsi="Times New Roman" w:eastAsia="宋体" w:cs="Times New Roman"/>
                      <w:color w:val="auto"/>
                      <w:sz w:val="21"/>
                      <w:szCs w:val="21"/>
                    </w:rPr>
                  </w:pPr>
                </w:p>
              </w:tc>
              <w:tc>
                <w:tcPr>
                  <w:tcW w:w="361" w:type="pct"/>
                  <w:vMerge w:val="continue"/>
                  <w:noWrap w:val="0"/>
                  <w:vAlign w:val="center"/>
                </w:tcPr>
                <w:p w14:paraId="0C55E8A7">
                  <w:pPr>
                    <w:widowControl/>
                    <w:spacing w:line="240" w:lineRule="auto"/>
                    <w:jc w:val="center"/>
                    <w:textAlignment w:val="bottom"/>
                    <w:rPr>
                      <w:rFonts w:hint="default" w:ascii="Times New Roman" w:hAnsi="Times New Roman" w:eastAsia="宋体" w:cs="Times New Roman"/>
                      <w:color w:val="auto"/>
                      <w:sz w:val="21"/>
                      <w:szCs w:val="21"/>
                    </w:rPr>
                  </w:pPr>
                </w:p>
              </w:tc>
              <w:tc>
                <w:tcPr>
                  <w:tcW w:w="299" w:type="pct"/>
                  <w:vMerge w:val="continue"/>
                  <w:noWrap w:val="0"/>
                  <w:vAlign w:val="center"/>
                </w:tcPr>
                <w:p w14:paraId="0A676991">
                  <w:pPr>
                    <w:widowControl/>
                    <w:spacing w:line="240" w:lineRule="auto"/>
                    <w:jc w:val="center"/>
                    <w:textAlignment w:val="bottom"/>
                    <w:rPr>
                      <w:rFonts w:hint="default" w:ascii="Times New Roman" w:hAnsi="Times New Roman" w:eastAsia="宋体" w:cs="Times New Roman"/>
                      <w:color w:val="auto"/>
                      <w:sz w:val="21"/>
                      <w:szCs w:val="21"/>
                    </w:rPr>
                  </w:pPr>
                </w:p>
              </w:tc>
              <w:tc>
                <w:tcPr>
                  <w:tcW w:w="410" w:type="pct"/>
                  <w:vMerge w:val="continue"/>
                  <w:noWrap w:val="0"/>
                  <w:vAlign w:val="center"/>
                </w:tcPr>
                <w:p w14:paraId="5D65EA32">
                  <w:pPr>
                    <w:widowControl/>
                    <w:spacing w:line="240" w:lineRule="auto"/>
                    <w:jc w:val="center"/>
                    <w:textAlignment w:val="bottom"/>
                    <w:rPr>
                      <w:rFonts w:hint="default" w:ascii="Times New Roman" w:hAnsi="Times New Roman" w:eastAsia="宋体" w:cs="Times New Roman"/>
                      <w:color w:val="auto"/>
                      <w:sz w:val="21"/>
                      <w:szCs w:val="21"/>
                    </w:rPr>
                  </w:pPr>
                </w:p>
              </w:tc>
              <w:tc>
                <w:tcPr>
                  <w:tcW w:w="437" w:type="pct"/>
                  <w:vMerge w:val="continue"/>
                  <w:noWrap w:val="0"/>
                  <w:vAlign w:val="center"/>
                </w:tcPr>
                <w:p w14:paraId="6DB83C89">
                  <w:pPr>
                    <w:widowControl/>
                    <w:spacing w:line="240" w:lineRule="auto"/>
                    <w:jc w:val="center"/>
                    <w:textAlignment w:val="bottom"/>
                    <w:rPr>
                      <w:rFonts w:hint="default" w:ascii="Times New Roman" w:hAnsi="Times New Roman" w:eastAsia="宋体" w:cs="Times New Roman"/>
                      <w:color w:val="auto"/>
                      <w:sz w:val="21"/>
                      <w:szCs w:val="21"/>
                    </w:rPr>
                  </w:pPr>
                </w:p>
              </w:tc>
              <w:tc>
                <w:tcPr>
                  <w:tcW w:w="283" w:type="pct"/>
                  <w:vMerge w:val="continue"/>
                  <w:noWrap w:val="0"/>
                  <w:vAlign w:val="center"/>
                </w:tcPr>
                <w:p w14:paraId="7836FB1F">
                  <w:pPr>
                    <w:widowControl/>
                    <w:spacing w:line="240" w:lineRule="auto"/>
                    <w:jc w:val="center"/>
                    <w:textAlignment w:val="bottom"/>
                    <w:rPr>
                      <w:rFonts w:hint="default" w:ascii="Times New Roman" w:hAnsi="Times New Roman" w:eastAsia="宋体" w:cs="Times New Roman"/>
                      <w:color w:val="auto"/>
                      <w:sz w:val="21"/>
                      <w:szCs w:val="21"/>
                    </w:rPr>
                  </w:pPr>
                </w:p>
              </w:tc>
              <w:tc>
                <w:tcPr>
                  <w:tcW w:w="283" w:type="pct"/>
                  <w:vMerge w:val="continue"/>
                  <w:noWrap w:val="0"/>
                  <w:vAlign w:val="center"/>
                </w:tcPr>
                <w:p w14:paraId="3B1986A5">
                  <w:pPr>
                    <w:widowControl/>
                    <w:spacing w:line="240" w:lineRule="auto"/>
                    <w:jc w:val="center"/>
                    <w:textAlignment w:val="bottom"/>
                    <w:rPr>
                      <w:rFonts w:hint="default" w:ascii="Times New Roman" w:hAnsi="Times New Roman" w:eastAsia="宋体" w:cs="Times New Roman"/>
                      <w:color w:val="auto"/>
                      <w:sz w:val="21"/>
                      <w:szCs w:val="21"/>
                    </w:rPr>
                  </w:pPr>
                </w:p>
              </w:tc>
              <w:tc>
                <w:tcPr>
                  <w:tcW w:w="254" w:type="pct"/>
                  <w:vMerge w:val="continue"/>
                  <w:noWrap w:val="0"/>
                  <w:vAlign w:val="center"/>
                </w:tcPr>
                <w:p w14:paraId="55B0F701">
                  <w:pPr>
                    <w:widowControl/>
                    <w:spacing w:line="240" w:lineRule="auto"/>
                    <w:jc w:val="center"/>
                    <w:textAlignment w:val="bottom"/>
                    <w:rPr>
                      <w:rFonts w:hint="default" w:ascii="Times New Roman" w:hAnsi="Times New Roman" w:eastAsia="宋体" w:cs="Times New Roman"/>
                      <w:color w:val="auto"/>
                      <w:sz w:val="21"/>
                      <w:szCs w:val="21"/>
                    </w:rPr>
                  </w:pPr>
                </w:p>
              </w:tc>
              <w:tc>
                <w:tcPr>
                  <w:tcW w:w="915" w:type="dxa"/>
                  <w:noWrap w:val="0"/>
                  <w:vAlign w:val="center"/>
                </w:tcPr>
                <w:p w14:paraId="01B7FF6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165.51</w:t>
                  </w:r>
                </w:p>
              </w:tc>
              <w:tc>
                <w:tcPr>
                  <w:tcW w:w="1113" w:type="dxa"/>
                  <w:noWrap w:val="0"/>
                  <w:vAlign w:val="center"/>
                </w:tcPr>
                <w:p w14:paraId="49E0C9C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44.14</w:t>
                  </w:r>
                </w:p>
              </w:tc>
              <w:tc>
                <w:tcPr>
                  <w:tcW w:w="251" w:type="pct"/>
                  <w:vMerge w:val="continue"/>
                  <w:noWrap w:val="0"/>
                  <w:vAlign w:val="center"/>
                </w:tcPr>
                <w:p w14:paraId="10CC4815">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1BD9164F">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55B0EC6B">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24.14</w:t>
                  </w:r>
                </w:p>
              </w:tc>
              <w:tc>
                <w:tcPr>
                  <w:tcW w:w="396" w:type="pct"/>
                  <w:noWrap w:val="0"/>
                  <w:vAlign w:val="center"/>
                </w:tcPr>
                <w:p w14:paraId="78BA2AEC">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0BED0E43">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4" w:hRule="atLeast"/>
                <w:jc w:val="center"/>
              </w:trPr>
              <w:tc>
                <w:tcPr>
                  <w:tcW w:w="281" w:type="pct"/>
                  <w:vMerge w:val="continue"/>
                  <w:shd w:val="clear" w:color="auto" w:fill="auto"/>
                  <w:noWrap w:val="0"/>
                  <w:vAlign w:val="center"/>
                </w:tcPr>
                <w:p w14:paraId="7CA6896D">
                  <w:pPr>
                    <w:widowControl/>
                    <w:spacing w:line="240" w:lineRule="auto"/>
                    <w:jc w:val="center"/>
                    <w:textAlignment w:val="bottom"/>
                    <w:rPr>
                      <w:rFonts w:hint="default" w:ascii="Times New Roman" w:hAnsi="Times New Roman" w:eastAsia="宋体" w:cs="Times New Roman"/>
                      <w:color w:val="auto"/>
                      <w:sz w:val="21"/>
                      <w:szCs w:val="21"/>
                    </w:rPr>
                  </w:pPr>
                </w:p>
              </w:tc>
              <w:tc>
                <w:tcPr>
                  <w:tcW w:w="269" w:type="pct"/>
                  <w:vMerge w:val="continue"/>
                  <w:noWrap w:val="0"/>
                  <w:vAlign w:val="center"/>
                </w:tcPr>
                <w:p w14:paraId="4B6FD337">
                  <w:pPr>
                    <w:widowControl/>
                    <w:spacing w:line="240" w:lineRule="auto"/>
                    <w:jc w:val="center"/>
                    <w:textAlignment w:val="bottom"/>
                    <w:rPr>
                      <w:rFonts w:hint="default" w:ascii="Times New Roman" w:hAnsi="Times New Roman" w:eastAsia="宋体" w:cs="Times New Roman"/>
                      <w:color w:val="auto"/>
                      <w:sz w:val="21"/>
                      <w:szCs w:val="21"/>
                    </w:rPr>
                  </w:pPr>
                </w:p>
              </w:tc>
              <w:tc>
                <w:tcPr>
                  <w:tcW w:w="361" w:type="pct"/>
                  <w:vMerge w:val="continue"/>
                  <w:noWrap w:val="0"/>
                  <w:vAlign w:val="center"/>
                </w:tcPr>
                <w:p w14:paraId="4542271B">
                  <w:pPr>
                    <w:widowControl/>
                    <w:spacing w:line="240" w:lineRule="auto"/>
                    <w:jc w:val="center"/>
                    <w:textAlignment w:val="bottom"/>
                    <w:rPr>
                      <w:rFonts w:hint="default" w:ascii="Times New Roman" w:hAnsi="Times New Roman" w:eastAsia="宋体" w:cs="Times New Roman"/>
                      <w:color w:val="auto"/>
                      <w:sz w:val="21"/>
                      <w:szCs w:val="21"/>
                    </w:rPr>
                  </w:pPr>
                </w:p>
              </w:tc>
              <w:tc>
                <w:tcPr>
                  <w:tcW w:w="299" w:type="pct"/>
                  <w:vMerge w:val="continue"/>
                  <w:noWrap w:val="0"/>
                  <w:vAlign w:val="center"/>
                </w:tcPr>
                <w:p w14:paraId="468103A2">
                  <w:pPr>
                    <w:widowControl/>
                    <w:spacing w:line="240" w:lineRule="auto"/>
                    <w:jc w:val="center"/>
                    <w:textAlignment w:val="bottom"/>
                    <w:rPr>
                      <w:rFonts w:hint="default" w:ascii="Times New Roman" w:hAnsi="Times New Roman" w:eastAsia="宋体" w:cs="Times New Roman"/>
                      <w:color w:val="auto"/>
                      <w:sz w:val="21"/>
                      <w:szCs w:val="21"/>
                    </w:rPr>
                  </w:pPr>
                </w:p>
              </w:tc>
              <w:tc>
                <w:tcPr>
                  <w:tcW w:w="410" w:type="pct"/>
                  <w:vMerge w:val="continue"/>
                  <w:noWrap w:val="0"/>
                  <w:vAlign w:val="center"/>
                </w:tcPr>
                <w:p w14:paraId="3B490B84">
                  <w:pPr>
                    <w:widowControl/>
                    <w:spacing w:line="240" w:lineRule="auto"/>
                    <w:jc w:val="center"/>
                    <w:textAlignment w:val="bottom"/>
                    <w:rPr>
                      <w:rFonts w:hint="default" w:ascii="Times New Roman" w:hAnsi="Times New Roman" w:eastAsia="宋体" w:cs="Times New Roman"/>
                      <w:color w:val="auto"/>
                      <w:sz w:val="21"/>
                      <w:szCs w:val="21"/>
                    </w:rPr>
                  </w:pPr>
                </w:p>
              </w:tc>
              <w:tc>
                <w:tcPr>
                  <w:tcW w:w="437" w:type="pct"/>
                  <w:vMerge w:val="continue"/>
                  <w:noWrap w:val="0"/>
                  <w:vAlign w:val="center"/>
                </w:tcPr>
                <w:p w14:paraId="3F41B0E5">
                  <w:pPr>
                    <w:widowControl/>
                    <w:spacing w:line="240" w:lineRule="auto"/>
                    <w:jc w:val="center"/>
                    <w:textAlignment w:val="bottom"/>
                    <w:rPr>
                      <w:rFonts w:hint="default" w:ascii="Times New Roman" w:hAnsi="Times New Roman" w:eastAsia="宋体" w:cs="Times New Roman"/>
                      <w:color w:val="auto"/>
                      <w:sz w:val="21"/>
                      <w:szCs w:val="21"/>
                    </w:rPr>
                  </w:pPr>
                </w:p>
              </w:tc>
              <w:tc>
                <w:tcPr>
                  <w:tcW w:w="283" w:type="pct"/>
                  <w:vMerge w:val="continue"/>
                  <w:noWrap w:val="0"/>
                  <w:vAlign w:val="center"/>
                </w:tcPr>
                <w:p w14:paraId="7534B675">
                  <w:pPr>
                    <w:widowControl/>
                    <w:spacing w:line="240" w:lineRule="auto"/>
                    <w:jc w:val="center"/>
                    <w:textAlignment w:val="bottom"/>
                    <w:rPr>
                      <w:rFonts w:hint="default" w:ascii="Times New Roman" w:hAnsi="Times New Roman" w:eastAsia="宋体" w:cs="Times New Roman"/>
                      <w:color w:val="auto"/>
                      <w:sz w:val="21"/>
                      <w:szCs w:val="21"/>
                    </w:rPr>
                  </w:pPr>
                </w:p>
              </w:tc>
              <w:tc>
                <w:tcPr>
                  <w:tcW w:w="283" w:type="pct"/>
                  <w:vMerge w:val="continue"/>
                  <w:noWrap w:val="0"/>
                  <w:vAlign w:val="center"/>
                </w:tcPr>
                <w:p w14:paraId="11BDB6F1">
                  <w:pPr>
                    <w:widowControl/>
                    <w:spacing w:line="240" w:lineRule="auto"/>
                    <w:jc w:val="center"/>
                    <w:textAlignment w:val="bottom"/>
                    <w:rPr>
                      <w:rFonts w:hint="default" w:ascii="Times New Roman" w:hAnsi="Times New Roman" w:eastAsia="宋体" w:cs="Times New Roman"/>
                      <w:color w:val="auto"/>
                      <w:sz w:val="21"/>
                      <w:szCs w:val="21"/>
                    </w:rPr>
                  </w:pPr>
                </w:p>
              </w:tc>
              <w:tc>
                <w:tcPr>
                  <w:tcW w:w="254" w:type="pct"/>
                  <w:vMerge w:val="continue"/>
                  <w:noWrap w:val="0"/>
                  <w:vAlign w:val="center"/>
                </w:tcPr>
                <w:p w14:paraId="42ADE5A5">
                  <w:pPr>
                    <w:widowControl/>
                    <w:spacing w:line="240" w:lineRule="auto"/>
                    <w:jc w:val="center"/>
                    <w:textAlignment w:val="bottom"/>
                    <w:rPr>
                      <w:rFonts w:hint="default" w:ascii="Times New Roman" w:hAnsi="Times New Roman" w:eastAsia="宋体" w:cs="Times New Roman"/>
                      <w:color w:val="auto"/>
                      <w:sz w:val="21"/>
                      <w:szCs w:val="21"/>
                    </w:rPr>
                  </w:pPr>
                </w:p>
              </w:tc>
              <w:tc>
                <w:tcPr>
                  <w:tcW w:w="915" w:type="dxa"/>
                  <w:noWrap w:val="0"/>
                  <w:vAlign w:val="center"/>
                </w:tcPr>
                <w:p w14:paraId="4595E44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69.46</w:t>
                  </w:r>
                </w:p>
              </w:tc>
              <w:tc>
                <w:tcPr>
                  <w:tcW w:w="1113" w:type="dxa"/>
                  <w:noWrap w:val="0"/>
                  <w:vAlign w:val="center"/>
                </w:tcPr>
                <w:p w14:paraId="251037F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44.36</w:t>
                  </w:r>
                </w:p>
              </w:tc>
              <w:tc>
                <w:tcPr>
                  <w:tcW w:w="251" w:type="pct"/>
                  <w:vMerge w:val="continue"/>
                  <w:noWrap w:val="0"/>
                  <w:vAlign w:val="center"/>
                </w:tcPr>
                <w:p w14:paraId="6BCA5F27">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02C286A3">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13F51D67">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24.36</w:t>
                  </w:r>
                </w:p>
              </w:tc>
              <w:tc>
                <w:tcPr>
                  <w:tcW w:w="396" w:type="pct"/>
                  <w:noWrap w:val="0"/>
                  <w:vAlign w:val="center"/>
                </w:tcPr>
                <w:p w14:paraId="7363F536">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20847CF0">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4" w:hRule="atLeast"/>
                <w:jc w:val="center"/>
              </w:trPr>
              <w:tc>
                <w:tcPr>
                  <w:tcW w:w="281" w:type="pct"/>
                  <w:vMerge w:val="continue"/>
                  <w:shd w:val="clear" w:color="auto" w:fill="auto"/>
                  <w:noWrap w:val="0"/>
                  <w:vAlign w:val="center"/>
                </w:tcPr>
                <w:p w14:paraId="58F6D177">
                  <w:pPr>
                    <w:widowControl/>
                    <w:spacing w:line="240" w:lineRule="auto"/>
                    <w:jc w:val="center"/>
                    <w:textAlignment w:val="bottom"/>
                    <w:rPr>
                      <w:rFonts w:hint="default" w:ascii="Times New Roman" w:hAnsi="Times New Roman" w:eastAsia="宋体" w:cs="Times New Roman"/>
                      <w:color w:val="auto"/>
                      <w:sz w:val="21"/>
                      <w:szCs w:val="21"/>
                    </w:rPr>
                  </w:pPr>
                </w:p>
              </w:tc>
              <w:tc>
                <w:tcPr>
                  <w:tcW w:w="269" w:type="pct"/>
                  <w:vMerge w:val="continue"/>
                  <w:noWrap w:val="0"/>
                  <w:vAlign w:val="center"/>
                </w:tcPr>
                <w:p w14:paraId="13D5FC47">
                  <w:pPr>
                    <w:widowControl/>
                    <w:spacing w:line="240" w:lineRule="auto"/>
                    <w:jc w:val="center"/>
                    <w:textAlignment w:val="bottom"/>
                    <w:rPr>
                      <w:rFonts w:hint="default" w:ascii="Times New Roman" w:hAnsi="Times New Roman" w:eastAsia="宋体" w:cs="Times New Roman"/>
                      <w:color w:val="auto"/>
                      <w:sz w:val="21"/>
                      <w:szCs w:val="21"/>
                    </w:rPr>
                  </w:pPr>
                </w:p>
              </w:tc>
              <w:tc>
                <w:tcPr>
                  <w:tcW w:w="361" w:type="pct"/>
                  <w:vMerge w:val="continue"/>
                  <w:noWrap w:val="0"/>
                  <w:vAlign w:val="center"/>
                </w:tcPr>
                <w:p w14:paraId="2ABDEAFD">
                  <w:pPr>
                    <w:widowControl/>
                    <w:spacing w:line="240" w:lineRule="auto"/>
                    <w:jc w:val="center"/>
                    <w:textAlignment w:val="bottom"/>
                    <w:rPr>
                      <w:rFonts w:hint="default" w:ascii="Times New Roman" w:hAnsi="Times New Roman" w:eastAsia="宋体" w:cs="Times New Roman"/>
                      <w:color w:val="auto"/>
                      <w:sz w:val="21"/>
                      <w:szCs w:val="21"/>
                    </w:rPr>
                  </w:pPr>
                </w:p>
              </w:tc>
              <w:tc>
                <w:tcPr>
                  <w:tcW w:w="299" w:type="pct"/>
                  <w:vMerge w:val="continue"/>
                  <w:noWrap w:val="0"/>
                  <w:vAlign w:val="center"/>
                </w:tcPr>
                <w:p w14:paraId="2939A1F1">
                  <w:pPr>
                    <w:widowControl/>
                    <w:spacing w:line="240" w:lineRule="auto"/>
                    <w:jc w:val="center"/>
                    <w:textAlignment w:val="bottom"/>
                    <w:rPr>
                      <w:rFonts w:hint="default" w:ascii="Times New Roman" w:hAnsi="Times New Roman" w:eastAsia="宋体" w:cs="Times New Roman"/>
                      <w:color w:val="auto"/>
                      <w:sz w:val="21"/>
                      <w:szCs w:val="21"/>
                    </w:rPr>
                  </w:pPr>
                </w:p>
              </w:tc>
              <w:tc>
                <w:tcPr>
                  <w:tcW w:w="410" w:type="pct"/>
                  <w:vMerge w:val="continue"/>
                  <w:noWrap w:val="0"/>
                  <w:vAlign w:val="center"/>
                </w:tcPr>
                <w:p w14:paraId="3FC56009">
                  <w:pPr>
                    <w:widowControl/>
                    <w:spacing w:line="240" w:lineRule="auto"/>
                    <w:jc w:val="center"/>
                    <w:textAlignment w:val="bottom"/>
                    <w:rPr>
                      <w:rFonts w:hint="default" w:ascii="Times New Roman" w:hAnsi="Times New Roman" w:eastAsia="宋体" w:cs="Times New Roman"/>
                      <w:color w:val="auto"/>
                      <w:sz w:val="21"/>
                      <w:szCs w:val="21"/>
                    </w:rPr>
                  </w:pPr>
                </w:p>
              </w:tc>
              <w:tc>
                <w:tcPr>
                  <w:tcW w:w="437" w:type="pct"/>
                  <w:vMerge w:val="continue"/>
                  <w:noWrap w:val="0"/>
                  <w:vAlign w:val="center"/>
                </w:tcPr>
                <w:p w14:paraId="2570129C">
                  <w:pPr>
                    <w:widowControl/>
                    <w:spacing w:line="240" w:lineRule="auto"/>
                    <w:jc w:val="center"/>
                    <w:textAlignment w:val="bottom"/>
                    <w:rPr>
                      <w:rFonts w:hint="default" w:ascii="Times New Roman" w:hAnsi="Times New Roman" w:eastAsia="宋体" w:cs="Times New Roman"/>
                      <w:color w:val="auto"/>
                      <w:sz w:val="21"/>
                      <w:szCs w:val="21"/>
                    </w:rPr>
                  </w:pPr>
                </w:p>
              </w:tc>
              <w:tc>
                <w:tcPr>
                  <w:tcW w:w="283" w:type="pct"/>
                  <w:vMerge w:val="continue"/>
                  <w:noWrap w:val="0"/>
                  <w:vAlign w:val="center"/>
                </w:tcPr>
                <w:p w14:paraId="785D651C">
                  <w:pPr>
                    <w:widowControl/>
                    <w:spacing w:line="240" w:lineRule="auto"/>
                    <w:jc w:val="center"/>
                    <w:textAlignment w:val="bottom"/>
                    <w:rPr>
                      <w:rFonts w:hint="default" w:ascii="Times New Roman" w:hAnsi="Times New Roman" w:eastAsia="宋体" w:cs="Times New Roman"/>
                      <w:color w:val="auto"/>
                      <w:sz w:val="21"/>
                      <w:szCs w:val="21"/>
                    </w:rPr>
                  </w:pPr>
                </w:p>
              </w:tc>
              <w:tc>
                <w:tcPr>
                  <w:tcW w:w="283" w:type="pct"/>
                  <w:vMerge w:val="continue"/>
                  <w:noWrap w:val="0"/>
                  <w:vAlign w:val="center"/>
                </w:tcPr>
                <w:p w14:paraId="3B2C4980">
                  <w:pPr>
                    <w:widowControl/>
                    <w:spacing w:line="240" w:lineRule="auto"/>
                    <w:jc w:val="center"/>
                    <w:textAlignment w:val="bottom"/>
                    <w:rPr>
                      <w:rFonts w:hint="default" w:ascii="Times New Roman" w:hAnsi="Times New Roman" w:eastAsia="宋体" w:cs="Times New Roman"/>
                      <w:color w:val="auto"/>
                      <w:sz w:val="21"/>
                      <w:szCs w:val="21"/>
                    </w:rPr>
                  </w:pPr>
                </w:p>
              </w:tc>
              <w:tc>
                <w:tcPr>
                  <w:tcW w:w="254" w:type="pct"/>
                  <w:vMerge w:val="continue"/>
                  <w:noWrap w:val="0"/>
                  <w:vAlign w:val="center"/>
                </w:tcPr>
                <w:p w14:paraId="54AC1073">
                  <w:pPr>
                    <w:widowControl/>
                    <w:spacing w:line="240" w:lineRule="auto"/>
                    <w:jc w:val="center"/>
                    <w:textAlignment w:val="bottom"/>
                    <w:rPr>
                      <w:rFonts w:hint="default" w:ascii="Times New Roman" w:hAnsi="Times New Roman" w:eastAsia="宋体" w:cs="Times New Roman"/>
                      <w:color w:val="auto"/>
                      <w:sz w:val="21"/>
                      <w:szCs w:val="21"/>
                    </w:rPr>
                  </w:pPr>
                </w:p>
              </w:tc>
              <w:tc>
                <w:tcPr>
                  <w:tcW w:w="915" w:type="dxa"/>
                  <w:noWrap w:val="0"/>
                  <w:vAlign w:val="center"/>
                </w:tcPr>
                <w:p w14:paraId="0F5327D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31.61</w:t>
                  </w:r>
                </w:p>
              </w:tc>
              <w:tc>
                <w:tcPr>
                  <w:tcW w:w="1113" w:type="dxa"/>
                  <w:noWrap w:val="0"/>
                  <w:vAlign w:val="center"/>
                </w:tcPr>
                <w:p w14:paraId="00410D5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45.27</w:t>
                  </w:r>
                </w:p>
              </w:tc>
              <w:tc>
                <w:tcPr>
                  <w:tcW w:w="251" w:type="pct"/>
                  <w:vMerge w:val="continue"/>
                  <w:noWrap w:val="0"/>
                  <w:vAlign w:val="center"/>
                </w:tcPr>
                <w:p w14:paraId="5346AC1F">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0BA99C83">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1172BECC">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25.27</w:t>
                  </w:r>
                </w:p>
              </w:tc>
              <w:tc>
                <w:tcPr>
                  <w:tcW w:w="396" w:type="pct"/>
                  <w:noWrap w:val="0"/>
                  <w:vAlign w:val="center"/>
                </w:tcPr>
                <w:p w14:paraId="60C16242">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5AA8A134">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0" w:hRule="atLeast"/>
                <w:jc w:val="center"/>
              </w:trPr>
              <w:tc>
                <w:tcPr>
                  <w:tcW w:w="281" w:type="pct"/>
                  <w:vMerge w:val="continue"/>
                  <w:shd w:val="clear" w:color="auto" w:fill="auto"/>
                  <w:noWrap w:val="0"/>
                  <w:vAlign w:val="center"/>
                </w:tcPr>
                <w:p w14:paraId="61F2B75B">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22AFE183">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7B88F6D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7B5D685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5EEEA7A6">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63A5670B">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019CF513">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758468E8">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noWrap w:val="0"/>
                  <w:vAlign w:val="center"/>
                </w:tcPr>
                <w:p w14:paraId="2A9CE631">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915" w:type="dxa"/>
                  <w:noWrap w:val="0"/>
                  <w:vAlign w:val="center"/>
                </w:tcPr>
                <w:p w14:paraId="3EE287F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38.00</w:t>
                  </w:r>
                </w:p>
              </w:tc>
              <w:tc>
                <w:tcPr>
                  <w:tcW w:w="1113" w:type="dxa"/>
                  <w:noWrap w:val="0"/>
                  <w:vAlign w:val="center"/>
                </w:tcPr>
                <w:p w14:paraId="74E4F8D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44.94</w:t>
                  </w:r>
                </w:p>
              </w:tc>
              <w:tc>
                <w:tcPr>
                  <w:tcW w:w="251" w:type="pct"/>
                  <w:vMerge w:val="continue"/>
                  <w:noWrap w:val="0"/>
                  <w:vAlign w:val="center"/>
                </w:tcPr>
                <w:p w14:paraId="70ACDC4A">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578CA854">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30373E8F">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24.94</w:t>
                  </w:r>
                </w:p>
              </w:tc>
              <w:tc>
                <w:tcPr>
                  <w:tcW w:w="396" w:type="pct"/>
                  <w:noWrap w:val="0"/>
                  <w:vAlign w:val="center"/>
                </w:tcPr>
                <w:p w14:paraId="798E6FDF">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55B238E0">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noWrap w:val="0"/>
                  <w:vAlign w:val="center"/>
                </w:tcPr>
                <w:p w14:paraId="7E3C1266">
                  <w:pPr>
                    <w:widowControl/>
                    <w:spacing w:line="240" w:lineRule="auto"/>
                    <w:jc w:val="center"/>
                    <w:textAlignment w:val="bottom"/>
                    <w:rPr>
                      <w:rFonts w:hint="default" w:ascii="Times New Roman" w:hAnsi="Times New Roman" w:eastAsia="宋体" w:cs="Times New Roman"/>
                      <w:color w:val="auto"/>
                      <w:kern w:val="2"/>
                      <w:sz w:val="21"/>
                      <w:szCs w:val="21"/>
                      <w:highlight w:val="none"/>
                      <w:lang w:val="en-US" w:eastAsia="zh-CN" w:bidi="ar-SA"/>
                    </w:rPr>
                  </w:pPr>
                </w:p>
              </w:tc>
              <w:tc>
                <w:tcPr>
                  <w:tcW w:w="269" w:type="pct"/>
                  <w:vMerge w:val="continue"/>
                  <w:noWrap w:val="0"/>
                  <w:vAlign w:val="center"/>
                </w:tcPr>
                <w:p w14:paraId="4F00FC53">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7EF1D08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34E4F2C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594DC08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1CF04F08">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38DD5CB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6AC5D61B">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noWrap w:val="0"/>
                  <w:vAlign w:val="center"/>
                </w:tcPr>
                <w:p w14:paraId="5436AC4B">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915" w:type="dxa"/>
                  <w:noWrap w:val="0"/>
                  <w:vAlign w:val="center"/>
                </w:tcPr>
                <w:p w14:paraId="37B8ED3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69.07</w:t>
                  </w:r>
                </w:p>
              </w:tc>
              <w:tc>
                <w:tcPr>
                  <w:tcW w:w="1113" w:type="dxa"/>
                  <w:noWrap w:val="0"/>
                  <w:vAlign w:val="center"/>
                </w:tcPr>
                <w:p w14:paraId="1AFCEED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44.37</w:t>
                  </w:r>
                </w:p>
              </w:tc>
              <w:tc>
                <w:tcPr>
                  <w:tcW w:w="251" w:type="pct"/>
                  <w:vMerge w:val="continue"/>
                  <w:noWrap w:val="0"/>
                  <w:vAlign w:val="center"/>
                </w:tcPr>
                <w:p w14:paraId="7C5CA0A2">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7362926D">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400B5C9E">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24.37</w:t>
                  </w:r>
                </w:p>
              </w:tc>
              <w:tc>
                <w:tcPr>
                  <w:tcW w:w="396" w:type="pct"/>
                  <w:noWrap w:val="0"/>
                  <w:vAlign w:val="center"/>
                </w:tcPr>
                <w:p w14:paraId="7789D896">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6F3675C6">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restart"/>
                  <w:shd w:val="clear" w:color="auto" w:fill="auto"/>
                  <w:vAlign w:val="center"/>
                </w:tcPr>
                <w:p w14:paraId="77154829">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7</w:t>
                  </w:r>
                </w:p>
              </w:tc>
              <w:tc>
                <w:tcPr>
                  <w:tcW w:w="269" w:type="pct"/>
                  <w:vMerge w:val="continue"/>
                  <w:vAlign w:val="center"/>
                </w:tcPr>
                <w:p w14:paraId="331853A3">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restart"/>
                  <w:shd w:val="clear" w:color="auto" w:fill="auto"/>
                  <w:vAlign w:val="center"/>
                </w:tcPr>
                <w:p w14:paraId="38A6F816">
                  <w:pPr>
                    <w:pStyle w:val="139"/>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提升分配机</w:t>
                  </w:r>
                </w:p>
              </w:tc>
              <w:tc>
                <w:tcPr>
                  <w:tcW w:w="299" w:type="pct"/>
                  <w:vMerge w:val="restart"/>
                  <w:shd w:val="clear" w:color="auto" w:fill="auto"/>
                  <w:vAlign w:val="center"/>
                </w:tcPr>
                <w:p w14:paraId="0D28CA04">
                  <w:pPr>
                    <w:pStyle w:val="139"/>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410" w:type="pct"/>
                  <w:vMerge w:val="restart"/>
                  <w:vAlign w:val="center"/>
                </w:tcPr>
                <w:p w14:paraId="3D32F142">
                  <w:pPr>
                    <w:widowControl/>
                    <w:spacing w:line="240" w:lineRule="auto"/>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w:t>
                  </w:r>
                  <w:r>
                    <w:rPr>
                      <w:rFonts w:hint="default" w:ascii="Times New Roman" w:hAnsi="Times New Roman" w:eastAsia="宋体" w:cs="Times New Roman"/>
                      <w:color w:val="auto"/>
                      <w:sz w:val="21"/>
                      <w:szCs w:val="21"/>
                      <w:highlight w:val="none"/>
                      <w:lang w:val="en-US" w:eastAsia="zh-CN"/>
                    </w:rPr>
                    <w:t>5/1</w:t>
                  </w:r>
                </w:p>
              </w:tc>
              <w:tc>
                <w:tcPr>
                  <w:tcW w:w="437" w:type="pct"/>
                  <w:vMerge w:val="continue"/>
                  <w:vAlign w:val="center"/>
                </w:tcPr>
                <w:p w14:paraId="402B321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restart"/>
                  <w:vAlign w:val="center"/>
                </w:tcPr>
                <w:p w14:paraId="0655A84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165.08</w:t>
                  </w:r>
                </w:p>
              </w:tc>
              <w:tc>
                <w:tcPr>
                  <w:tcW w:w="283" w:type="pct"/>
                  <w:vMerge w:val="restart"/>
                  <w:vAlign w:val="center"/>
                </w:tcPr>
                <w:p w14:paraId="74F8797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189.2</w:t>
                  </w:r>
                </w:p>
              </w:tc>
              <w:tc>
                <w:tcPr>
                  <w:tcW w:w="254" w:type="pct"/>
                  <w:vMerge w:val="restart"/>
                  <w:vAlign w:val="center"/>
                </w:tcPr>
                <w:p w14:paraId="4F4F68B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342" w:type="pct"/>
                  <w:vAlign w:val="center"/>
                </w:tcPr>
                <w:p w14:paraId="4DC896C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32.50</w:t>
                  </w:r>
                </w:p>
              </w:tc>
              <w:tc>
                <w:tcPr>
                  <w:tcW w:w="416" w:type="pct"/>
                  <w:vAlign w:val="center"/>
                </w:tcPr>
                <w:p w14:paraId="0DA3688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50.21</w:t>
                  </w:r>
                </w:p>
              </w:tc>
              <w:tc>
                <w:tcPr>
                  <w:tcW w:w="251" w:type="pct"/>
                  <w:vMerge w:val="continue"/>
                  <w:vAlign w:val="center"/>
                </w:tcPr>
                <w:p w14:paraId="36C7F5FD">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1EF0157D">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3959924A">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30.21</w:t>
                  </w:r>
                </w:p>
              </w:tc>
              <w:tc>
                <w:tcPr>
                  <w:tcW w:w="396" w:type="pct"/>
                  <w:vAlign w:val="center"/>
                </w:tcPr>
                <w:p w14:paraId="5EB2A413">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66AFD617">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2DD34C76">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69" w:type="pct"/>
                  <w:vMerge w:val="continue"/>
                  <w:vAlign w:val="center"/>
                </w:tcPr>
                <w:p w14:paraId="152BDD38">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02D79EE1">
                  <w:pPr>
                    <w:pStyle w:val="139"/>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sz w:val="21"/>
                      <w:szCs w:val="21"/>
                      <w:highlight w:val="none"/>
                    </w:rPr>
                  </w:pPr>
                </w:p>
              </w:tc>
              <w:tc>
                <w:tcPr>
                  <w:tcW w:w="299" w:type="pct"/>
                  <w:vMerge w:val="continue"/>
                  <w:vAlign w:val="center"/>
                </w:tcPr>
                <w:p w14:paraId="027D8FD8">
                  <w:pPr>
                    <w:pStyle w:val="139"/>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sz w:val="21"/>
                      <w:szCs w:val="21"/>
                      <w:highlight w:val="none"/>
                    </w:rPr>
                  </w:pPr>
                </w:p>
              </w:tc>
              <w:tc>
                <w:tcPr>
                  <w:tcW w:w="410" w:type="pct"/>
                  <w:vMerge w:val="continue"/>
                  <w:vAlign w:val="center"/>
                </w:tcPr>
                <w:p w14:paraId="4DB5B1C6">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25C16D03">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0859B15B">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27BC4FC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6322EE3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422A430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174.72</w:t>
                  </w:r>
                </w:p>
              </w:tc>
              <w:tc>
                <w:tcPr>
                  <w:tcW w:w="416" w:type="pct"/>
                  <w:vAlign w:val="center"/>
                </w:tcPr>
                <w:p w14:paraId="3CF6A75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49.14</w:t>
                  </w:r>
                </w:p>
              </w:tc>
              <w:tc>
                <w:tcPr>
                  <w:tcW w:w="251" w:type="pct"/>
                  <w:vMerge w:val="continue"/>
                  <w:vAlign w:val="center"/>
                </w:tcPr>
                <w:p w14:paraId="533F649C">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62EF6EAF">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3120D224">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29.14</w:t>
                  </w:r>
                </w:p>
              </w:tc>
              <w:tc>
                <w:tcPr>
                  <w:tcW w:w="396" w:type="pct"/>
                  <w:vAlign w:val="center"/>
                </w:tcPr>
                <w:p w14:paraId="273790A9">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644C63F9">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1EB33780">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69" w:type="pct"/>
                  <w:vMerge w:val="continue"/>
                  <w:vAlign w:val="center"/>
                </w:tcPr>
                <w:p w14:paraId="5C0D05B1">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7439AD31">
                  <w:pPr>
                    <w:pStyle w:val="139"/>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sz w:val="21"/>
                      <w:szCs w:val="21"/>
                      <w:highlight w:val="none"/>
                    </w:rPr>
                  </w:pPr>
                </w:p>
              </w:tc>
              <w:tc>
                <w:tcPr>
                  <w:tcW w:w="299" w:type="pct"/>
                  <w:vMerge w:val="continue"/>
                  <w:vAlign w:val="center"/>
                </w:tcPr>
                <w:p w14:paraId="71ABF4D4">
                  <w:pPr>
                    <w:pStyle w:val="139"/>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sz w:val="21"/>
                      <w:szCs w:val="21"/>
                      <w:highlight w:val="none"/>
                    </w:rPr>
                  </w:pPr>
                </w:p>
              </w:tc>
              <w:tc>
                <w:tcPr>
                  <w:tcW w:w="410" w:type="pct"/>
                  <w:vMerge w:val="continue"/>
                  <w:vAlign w:val="center"/>
                </w:tcPr>
                <w:p w14:paraId="3E4E6339">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538F1076">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6E2875B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6AE1D843">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6E75552A">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19A9A10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70.00</w:t>
                  </w:r>
                </w:p>
              </w:tc>
              <w:tc>
                <w:tcPr>
                  <w:tcW w:w="416" w:type="pct"/>
                  <w:vAlign w:val="center"/>
                </w:tcPr>
                <w:p w14:paraId="45FD89D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49.36</w:t>
                  </w:r>
                </w:p>
              </w:tc>
              <w:tc>
                <w:tcPr>
                  <w:tcW w:w="251" w:type="pct"/>
                  <w:vMerge w:val="continue"/>
                  <w:vAlign w:val="center"/>
                </w:tcPr>
                <w:p w14:paraId="7E6016CF">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118A7C92">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74CEC1C5">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29.36</w:t>
                  </w:r>
                </w:p>
              </w:tc>
              <w:tc>
                <w:tcPr>
                  <w:tcW w:w="396" w:type="pct"/>
                  <w:vAlign w:val="center"/>
                </w:tcPr>
                <w:p w14:paraId="5011626B">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216DA1F9">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699F04E1">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69" w:type="pct"/>
                  <w:vMerge w:val="continue"/>
                  <w:vAlign w:val="center"/>
                </w:tcPr>
                <w:p w14:paraId="19E6ABB7">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7BCE68F4">
                  <w:pPr>
                    <w:pStyle w:val="139"/>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sz w:val="21"/>
                      <w:szCs w:val="21"/>
                      <w:highlight w:val="none"/>
                    </w:rPr>
                  </w:pPr>
                </w:p>
              </w:tc>
              <w:tc>
                <w:tcPr>
                  <w:tcW w:w="299" w:type="pct"/>
                  <w:vMerge w:val="continue"/>
                  <w:vAlign w:val="center"/>
                </w:tcPr>
                <w:p w14:paraId="4271332F">
                  <w:pPr>
                    <w:pStyle w:val="139"/>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sz w:val="21"/>
                      <w:szCs w:val="21"/>
                      <w:highlight w:val="none"/>
                    </w:rPr>
                  </w:pPr>
                </w:p>
              </w:tc>
              <w:tc>
                <w:tcPr>
                  <w:tcW w:w="410" w:type="pct"/>
                  <w:vMerge w:val="continue"/>
                  <w:vAlign w:val="center"/>
                </w:tcPr>
                <w:p w14:paraId="2F48455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51140A7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246210A9">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01F4085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22585DD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72F40D1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22.40</w:t>
                  </w:r>
                </w:p>
              </w:tc>
              <w:tc>
                <w:tcPr>
                  <w:tcW w:w="416" w:type="pct"/>
                  <w:vAlign w:val="center"/>
                </w:tcPr>
                <w:p w14:paraId="506231B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51.18</w:t>
                  </w:r>
                </w:p>
              </w:tc>
              <w:tc>
                <w:tcPr>
                  <w:tcW w:w="251" w:type="pct"/>
                  <w:vMerge w:val="continue"/>
                  <w:vAlign w:val="center"/>
                </w:tcPr>
                <w:p w14:paraId="4228E098">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1837DF4E">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443F7DB4">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31.18</w:t>
                  </w:r>
                </w:p>
              </w:tc>
              <w:tc>
                <w:tcPr>
                  <w:tcW w:w="396" w:type="pct"/>
                  <w:vAlign w:val="center"/>
                </w:tcPr>
                <w:p w14:paraId="57E56BAB">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1D0CD16D">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038029AA">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69" w:type="pct"/>
                  <w:vMerge w:val="continue"/>
                  <w:vAlign w:val="center"/>
                </w:tcPr>
                <w:p w14:paraId="51ADC206">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58BEDA6D">
                  <w:pPr>
                    <w:pStyle w:val="139"/>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sz w:val="21"/>
                      <w:szCs w:val="21"/>
                      <w:highlight w:val="none"/>
                    </w:rPr>
                  </w:pPr>
                </w:p>
              </w:tc>
              <w:tc>
                <w:tcPr>
                  <w:tcW w:w="299" w:type="pct"/>
                  <w:vMerge w:val="continue"/>
                  <w:vAlign w:val="center"/>
                </w:tcPr>
                <w:p w14:paraId="09BA1416">
                  <w:pPr>
                    <w:pStyle w:val="139"/>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sz w:val="21"/>
                      <w:szCs w:val="21"/>
                      <w:highlight w:val="none"/>
                    </w:rPr>
                  </w:pPr>
                </w:p>
              </w:tc>
              <w:tc>
                <w:tcPr>
                  <w:tcW w:w="410" w:type="pct"/>
                  <w:vMerge w:val="continue"/>
                  <w:vAlign w:val="center"/>
                </w:tcPr>
                <w:p w14:paraId="0582A1DB">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693FEB88">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23FDB637">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75942C9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396748C8">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5F83FB5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38.64</w:t>
                  </w:r>
                </w:p>
              </w:tc>
              <w:tc>
                <w:tcPr>
                  <w:tcW w:w="416" w:type="pct"/>
                  <w:vAlign w:val="center"/>
                </w:tcPr>
                <w:p w14:paraId="191185C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49.91</w:t>
                  </w:r>
                </w:p>
              </w:tc>
              <w:tc>
                <w:tcPr>
                  <w:tcW w:w="251" w:type="pct"/>
                  <w:vMerge w:val="continue"/>
                  <w:vAlign w:val="center"/>
                </w:tcPr>
                <w:p w14:paraId="07E0BC45">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7DF3E792">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724B5047">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29.91</w:t>
                  </w:r>
                </w:p>
              </w:tc>
              <w:tc>
                <w:tcPr>
                  <w:tcW w:w="396" w:type="pct"/>
                  <w:vAlign w:val="center"/>
                </w:tcPr>
                <w:p w14:paraId="269E26E0">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2122A2E0">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1C4CF449">
                  <w:pPr>
                    <w:widowControl/>
                    <w:spacing w:line="240" w:lineRule="auto"/>
                    <w:jc w:val="center"/>
                    <w:textAlignment w:val="bottom"/>
                    <w:rPr>
                      <w:rFonts w:hint="default" w:ascii="Times New Roman" w:hAnsi="Times New Roman" w:eastAsia="宋体" w:cs="Times New Roman"/>
                      <w:color w:val="auto"/>
                      <w:kern w:val="2"/>
                      <w:sz w:val="21"/>
                      <w:szCs w:val="21"/>
                      <w:highlight w:val="none"/>
                      <w:lang w:val="en-US" w:eastAsia="zh-CN" w:bidi="ar-SA"/>
                    </w:rPr>
                  </w:pPr>
                </w:p>
              </w:tc>
              <w:tc>
                <w:tcPr>
                  <w:tcW w:w="269" w:type="pct"/>
                  <w:vMerge w:val="continue"/>
                  <w:vAlign w:val="center"/>
                </w:tcPr>
                <w:p w14:paraId="19AC4959">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42201117">
                  <w:pPr>
                    <w:pStyle w:val="139"/>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sz w:val="21"/>
                      <w:szCs w:val="21"/>
                      <w:highlight w:val="none"/>
                    </w:rPr>
                  </w:pPr>
                </w:p>
              </w:tc>
              <w:tc>
                <w:tcPr>
                  <w:tcW w:w="299" w:type="pct"/>
                  <w:vMerge w:val="continue"/>
                  <w:vAlign w:val="center"/>
                </w:tcPr>
                <w:p w14:paraId="37B7D2D6">
                  <w:pPr>
                    <w:pStyle w:val="139"/>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sz w:val="21"/>
                      <w:szCs w:val="21"/>
                      <w:highlight w:val="none"/>
                    </w:rPr>
                  </w:pPr>
                </w:p>
              </w:tc>
              <w:tc>
                <w:tcPr>
                  <w:tcW w:w="410" w:type="pct"/>
                  <w:vMerge w:val="continue"/>
                  <w:vAlign w:val="center"/>
                </w:tcPr>
                <w:p w14:paraId="1FB5665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6FB91BB0">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2F23269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0B08BCDA">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74F59429">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1402169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59.83</w:t>
                  </w:r>
                </w:p>
              </w:tc>
              <w:tc>
                <w:tcPr>
                  <w:tcW w:w="416" w:type="pct"/>
                  <w:vAlign w:val="center"/>
                </w:tcPr>
                <w:p w14:paraId="0302099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49.46</w:t>
                  </w:r>
                </w:p>
              </w:tc>
              <w:tc>
                <w:tcPr>
                  <w:tcW w:w="251" w:type="pct"/>
                  <w:vMerge w:val="continue"/>
                  <w:vAlign w:val="center"/>
                </w:tcPr>
                <w:p w14:paraId="62515683">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53E231C6">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5B170FB7">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29.46</w:t>
                  </w:r>
                </w:p>
              </w:tc>
              <w:tc>
                <w:tcPr>
                  <w:tcW w:w="396" w:type="pct"/>
                  <w:vAlign w:val="center"/>
                </w:tcPr>
                <w:p w14:paraId="7DAC6D37">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0EB3D017">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restart"/>
                  <w:shd w:val="clear" w:color="auto" w:fill="auto"/>
                  <w:vAlign w:val="center"/>
                </w:tcPr>
                <w:p w14:paraId="07CF52B4">
                  <w:pPr>
                    <w:widowControl/>
                    <w:spacing w:line="240" w:lineRule="auto"/>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8</w:t>
                  </w:r>
                </w:p>
              </w:tc>
              <w:tc>
                <w:tcPr>
                  <w:tcW w:w="269" w:type="pct"/>
                  <w:vMerge w:val="continue"/>
                  <w:vAlign w:val="center"/>
                </w:tcPr>
                <w:p w14:paraId="7631E8D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restart"/>
                  <w:shd w:val="clear" w:color="auto" w:fill="auto"/>
                  <w:vAlign w:val="center"/>
                </w:tcPr>
                <w:p w14:paraId="1D7AF163">
                  <w:pPr>
                    <w:pStyle w:val="139"/>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多工位淬火机</w:t>
                  </w:r>
                </w:p>
              </w:tc>
              <w:tc>
                <w:tcPr>
                  <w:tcW w:w="299" w:type="pct"/>
                  <w:vMerge w:val="restart"/>
                  <w:shd w:val="clear" w:color="auto" w:fill="auto"/>
                  <w:vAlign w:val="center"/>
                </w:tcPr>
                <w:p w14:paraId="35F0CF57">
                  <w:pPr>
                    <w:pStyle w:val="139"/>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410" w:type="pct"/>
                  <w:vMerge w:val="restart"/>
                  <w:vAlign w:val="center"/>
                </w:tcPr>
                <w:p w14:paraId="4EB2D0EF">
                  <w:pPr>
                    <w:widowControl/>
                    <w:spacing w:line="240" w:lineRule="auto"/>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90/1</w:t>
                  </w:r>
                </w:p>
              </w:tc>
              <w:tc>
                <w:tcPr>
                  <w:tcW w:w="437" w:type="pct"/>
                  <w:vMerge w:val="continue"/>
                  <w:vAlign w:val="center"/>
                </w:tcPr>
                <w:p w14:paraId="1486BA93">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restart"/>
                  <w:vAlign w:val="center"/>
                </w:tcPr>
                <w:p w14:paraId="417EC9B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174.29</w:t>
                  </w:r>
                </w:p>
              </w:tc>
              <w:tc>
                <w:tcPr>
                  <w:tcW w:w="283" w:type="pct"/>
                  <w:vMerge w:val="restart"/>
                  <w:vAlign w:val="center"/>
                </w:tcPr>
                <w:p w14:paraId="672245B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185.25</w:t>
                  </w:r>
                </w:p>
              </w:tc>
              <w:tc>
                <w:tcPr>
                  <w:tcW w:w="254" w:type="pct"/>
                  <w:vMerge w:val="restart"/>
                  <w:vAlign w:val="center"/>
                </w:tcPr>
                <w:p w14:paraId="6D6C5ED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342" w:type="pct"/>
                  <w:vAlign w:val="center"/>
                </w:tcPr>
                <w:p w14:paraId="524A56D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27.24</w:t>
                  </w:r>
                </w:p>
              </w:tc>
              <w:tc>
                <w:tcPr>
                  <w:tcW w:w="416" w:type="pct"/>
                  <w:vAlign w:val="center"/>
                </w:tcPr>
                <w:p w14:paraId="491FC8C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55.61</w:t>
                  </w:r>
                </w:p>
              </w:tc>
              <w:tc>
                <w:tcPr>
                  <w:tcW w:w="251" w:type="pct"/>
                  <w:vMerge w:val="continue"/>
                  <w:vAlign w:val="center"/>
                </w:tcPr>
                <w:p w14:paraId="2144BAE3">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4C87FC50">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7C3D3E7C">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35.61</w:t>
                  </w:r>
                </w:p>
              </w:tc>
              <w:tc>
                <w:tcPr>
                  <w:tcW w:w="396" w:type="pct"/>
                  <w:vAlign w:val="center"/>
                </w:tcPr>
                <w:p w14:paraId="55C22E5E">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30501626">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1DC318C0">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69" w:type="pct"/>
                  <w:vMerge w:val="continue"/>
                  <w:vAlign w:val="center"/>
                </w:tcPr>
                <w:p w14:paraId="7FFEE70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616C0168">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vAlign w:val="center"/>
                </w:tcPr>
                <w:p w14:paraId="0C8D6A67">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10" w:type="pct"/>
                  <w:vMerge w:val="continue"/>
                  <w:vAlign w:val="center"/>
                </w:tcPr>
                <w:p w14:paraId="4BEE94DA">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7A90200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37D8E56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4899492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159FB25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6EAD2FE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183.26</w:t>
                  </w:r>
                </w:p>
              </w:tc>
              <w:tc>
                <w:tcPr>
                  <w:tcW w:w="416" w:type="pct"/>
                  <w:vAlign w:val="center"/>
                </w:tcPr>
                <w:p w14:paraId="61C988F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54.13</w:t>
                  </w:r>
                </w:p>
              </w:tc>
              <w:tc>
                <w:tcPr>
                  <w:tcW w:w="251" w:type="pct"/>
                  <w:vMerge w:val="continue"/>
                  <w:vAlign w:val="center"/>
                </w:tcPr>
                <w:p w14:paraId="25F2CCDA">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55DD8F52">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684ECC8F">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34.13</w:t>
                  </w:r>
                </w:p>
              </w:tc>
              <w:tc>
                <w:tcPr>
                  <w:tcW w:w="396" w:type="pct"/>
                  <w:vAlign w:val="center"/>
                </w:tcPr>
                <w:p w14:paraId="1E1BD388">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0EA7ACD1">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5D5CB3E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69" w:type="pct"/>
                  <w:vMerge w:val="continue"/>
                  <w:vAlign w:val="center"/>
                </w:tcPr>
                <w:p w14:paraId="3C55F111">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73F36BD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vAlign w:val="center"/>
                </w:tcPr>
                <w:p w14:paraId="4CD0C1C8">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10" w:type="pct"/>
                  <w:vMerge w:val="continue"/>
                  <w:vAlign w:val="center"/>
                </w:tcPr>
                <w:p w14:paraId="7AC0D056">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01BF7C49">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6004983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2D4F899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106725F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0D7F043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75.11</w:t>
                  </w:r>
                </w:p>
              </w:tc>
              <w:tc>
                <w:tcPr>
                  <w:tcW w:w="416" w:type="pct"/>
                  <w:vAlign w:val="center"/>
                </w:tcPr>
                <w:p w14:paraId="6558C39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54.33</w:t>
                  </w:r>
                </w:p>
              </w:tc>
              <w:tc>
                <w:tcPr>
                  <w:tcW w:w="251" w:type="pct"/>
                  <w:vMerge w:val="continue"/>
                  <w:vAlign w:val="center"/>
                </w:tcPr>
                <w:p w14:paraId="3F886E6B">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71FFBD81">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453AFA60">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34.33</w:t>
                  </w:r>
                </w:p>
              </w:tc>
              <w:tc>
                <w:tcPr>
                  <w:tcW w:w="396" w:type="pct"/>
                  <w:vAlign w:val="center"/>
                </w:tcPr>
                <w:p w14:paraId="5F7098AE">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57B79611">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2A73BDA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69" w:type="pct"/>
                  <w:vMerge w:val="continue"/>
                  <w:vAlign w:val="center"/>
                </w:tcPr>
                <w:p w14:paraId="0A3A660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18A011A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vAlign w:val="center"/>
                </w:tcPr>
                <w:p w14:paraId="59F1A581">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10" w:type="pct"/>
                  <w:vMerge w:val="continue"/>
                  <w:vAlign w:val="center"/>
                </w:tcPr>
                <w:p w14:paraId="696D9F50">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1C10A71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0623DF21">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0296923A">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17E052F3">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57D93B1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13.94</w:t>
                  </w:r>
                </w:p>
              </w:tc>
              <w:tc>
                <w:tcPr>
                  <w:tcW w:w="416" w:type="pct"/>
                  <w:vAlign w:val="center"/>
                </w:tcPr>
                <w:p w14:paraId="306E45D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58.24</w:t>
                  </w:r>
                </w:p>
              </w:tc>
              <w:tc>
                <w:tcPr>
                  <w:tcW w:w="251" w:type="pct"/>
                  <w:vMerge w:val="continue"/>
                  <w:vAlign w:val="center"/>
                </w:tcPr>
                <w:p w14:paraId="2DFF9195">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3C85743E">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6E873235">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38.24</w:t>
                  </w:r>
                </w:p>
              </w:tc>
              <w:tc>
                <w:tcPr>
                  <w:tcW w:w="396" w:type="pct"/>
                  <w:vAlign w:val="center"/>
                </w:tcPr>
                <w:p w14:paraId="5E947FB8">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4DA9E947">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6244D476">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69" w:type="pct"/>
                  <w:vMerge w:val="continue"/>
                  <w:vAlign w:val="center"/>
                </w:tcPr>
                <w:p w14:paraId="6AF4D368">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60CE6A59">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vAlign w:val="center"/>
                </w:tcPr>
                <w:p w14:paraId="0CCBC756">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10" w:type="pct"/>
                  <w:vMerge w:val="continue"/>
                  <w:vAlign w:val="center"/>
                </w:tcPr>
                <w:p w14:paraId="675CCE07">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655916A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47F253C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7EABE62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0228B920">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56F9E06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43.85</w:t>
                  </w:r>
                </w:p>
              </w:tc>
              <w:tc>
                <w:tcPr>
                  <w:tcW w:w="416" w:type="pct"/>
                  <w:vAlign w:val="center"/>
                </w:tcPr>
                <w:p w14:paraId="381B53D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54.74</w:t>
                  </w:r>
                </w:p>
              </w:tc>
              <w:tc>
                <w:tcPr>
                  <w:tcW w:w="251" w:type="pct"/>
                  <w:vMerge w:val="continue"/>
                  <w:vAlign w:val="center"/>
                </w:tcPr>
                <w:p w14:paraId="793720EF">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23F5E9DA">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25DD40D7">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34.74</w:t>
                  </w:r>
                </w:p>
              </w:tc>
              <w:tc>
                <w:tcPr>
                  <w:tcW w:w="396" w:type="pct"/>
                  <w:vAlign w:val="center"/>
                </w:tcPr>
                <w:p w14:paraId="3A8034A2">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7857E8A3">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7C1A2F2D">
                  <w:pPr>
                    <w:widowControl/>
                    <w:spacing w:line="240" w:lineRule="auto"/>
                    <w:jc w:val="center"/>
                    <w:textAlignment w:val="bottom"/>
                    <w:rPr>
                      <w:rFonts w:hint="default" w:ascii="Times New Roman" w:hAnsi="Times New Roman" w:eastAsia="宋体" w:cs="Times New Roman"/>
                      <w:color w:val="auto"/>
                      <w:kern w:val="2"/>
                      <w:sz w:val="21"/>
                      <w:szCs w:val="21"/>
                      <w:highlight w:val="none"/>
                      <w:lang w:val="en-US" w:eastAsia="zh-CN" w:bidi="ar-SA"/>
                    </w:rPr>
                  </w:pPr>
                </w:p>
              </w:tc>
              <w:tc>
                <w:tcPr>
                  <w:tcW w:w="269" w:type="pct"/>
                  <w:vMerge w:val="continue"/>
                  <w:vAlign w:val="center"/>
                </w:tcPr>
                <w:p w14:paraId="02E22D7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49AB7AE1">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vAlign w:val="center"/>
                </w:tcPr>
                <w:p w14:paraId="7F6E7B6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10" w:type="pct"/>
                  <w:vMerge w:val="continue"/>
                  <w:vAlign w:val="center"/>
                </w:tcPr>
                <w:p w14:paraId="5E2E2B28">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175DFE7B">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4026C796">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16F87DCB">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3E781AE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03B8294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51.13</w:t>
                  </w:r>
                </w:p>
              </w:tc>
              <w:tc>
                <w:tcPr>
                  <w:tcW w:w="416" w:type="pct"/>
                  <w:vAlign w:val="center"/>
                </w:tcPr>
                <w:p w14:paraId="4CF98A5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54.58</w:t>
                  </w:r>
                </w:p>
              </w:tc>
              <w:tc>
                <w:tcPr>
                  <w:tcW w:w="251" w:type="pct"/>
                  <w:vMerge w:val="continue"/>
                  <w:vAlign w:val="center"/>
                </w:tcPr>
                <w:p w14:paraId="461D9069">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5967892F">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10AD1775">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34.58</w:t>
                  </w:r>
                </w:p>
              </w:tc>
              <w:tc>
                <w:tcPr>
                  <w:tcW w:w="396" w:type="pct"/>
                  <w:vAlign w:val="center"/>
                </w:tcPr>
                <w:p w14:paraId="406ED7E9">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53548BF2">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restart"/>
                  <w:shd w:val="clear" w:color="auto" w:fill="auto"/>
                  <w:vAlign w:val="center"/>
                </w:tcPr>
                <w:p w14:paraId="3392D3AD">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9</w:t>
                  </w:r>
                </w:p>
              </w:tc>
              <w:tc>
                <w:tcPr>
                  <w:tcW w:w="269" w:type="pct"/>
                  <w:vMerge w:val="continue"/>
                  <w:vAlign w:val="center"/>
                </w:tcPr>
                <w:p w14:paraId="543541E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restart"/>
                  <w:shd w:val="clear" w:color="auto" w:fill="auto"/>
                  <w:vAlign w:val="center"/>
                </w:tcPr>
                <w:p w14:paraId="415D15F0">
                  <w:pPr>
                    <w:pStyle w:val="139"/>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1</w:t>
                  </w:r>
                  <w:r>
                    <w:rPr>
                      <w:rFonts w:hint="default" w:ascii="Times New Roman" w:hAnsi="Times New Roman" w:eastAsia="宋体" w:cs="Times New Roman"/>
                      <w:b w:val="0"/>
                      <w:bCs w:val="0"/>
                      <w:color w:val="auto"/>
                      <w:sz w:val="21"/>
                      <w:szCs w:val="21"/>
                      <w:highlight w:val="none"/>
                    </w:rPr>
                    <w:t>#提升输送机</w:t>
                  </w:r>
                </w:p>
              </w:tc>
              <w:tc>
                <w:tcPr>
                  <w:tcW w:w="299" w:type="pct"/>
                  <w:vMerge w:val="restart"/>
                  <w:shd w:val="clear" w:color="auto" w:fill="auto"/>
                  <w:vAlign w:val="center"/>
                </w:tcPr>
                <w:p w14:paraId="549F9CE1">
                  <w:pPr>
                    <w:pStyle w:val="139"/>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410" w:type="pct"/>
                  <w:vMerge w:val="restart"/>
                  <w:vAlign w:val="center"/>
                </w:tcPr>
                <w:p w14:paraId="7D9BE5DE">
                  <w:pPr>
                    <w:widowControl/>
                    <w:spacing w:line="240" w:lineRule="auto"/>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w:t>
                  </w:r>
                  <w:r>
                    <w:rPr>
                      <w:rFonts w:hint="default" w:ascii="Times New Roman" w:hAnsi="Times New Roman" w:eastAsia="宋体" w:cs="Times New Roman"/>
                      <w:color w:val="auto"/>
                      <w:sz w:val="21"/>
                      <w:szCs w:val="21"/>
                      <w:highlight w:val="none"/>
                      <w:lang w:val="en-US" w:eastAsia="zh-CN"/>
                    </w:rPr>
                    <w:t>5/1</w:t>
                  </w:r>
                </w:p>
              </w:tc>
              <w:tc>
                <w:tcPr>
                  <w:tcW w:w="437" w:type="pct"/>
                  <w:vMerge w:val="continue"/>
                  <w:vAlign w:val="center"/>
                </w:tcPr>
                <w:p w14:paraId="4FC4FCA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restart"/>
                  <w:vAlign w:val="center"/>
                </w:tcPr>
                <w:p w14:paraId="3A4472D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182.84</w:t>
                  </w:r>
                </w:p>
              </w:tc>
              <w:tc>
                <w:tcPr>
                  <w:tcW w:w="283" w:type="pct"/>
                  <w:vMerge w:val="restart"/>
                  <w:vAlign w:val="center"/>
                </w:tcPr>
                <w:p w14:paraId="79297B3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181.31</w:t>
                  </w:r>
                </w:p>
              </w:tc>
              <w:tc>
                <w:tcPr>
                  <w:tcW w:w="254" w:type="pct"/>
                  <w:vMerge w:val="restart"/>
                  <w:vAlign w:val="center"/>
                </w:tcPr>
                <w:p w14:paraId="684B803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342" w:type="pct"/>
                  <w:vAlign w:val="center"/>
                </w:tcPr>
                <w:p w14:paraId="736DF9F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22.08</w:t>
                  </w:r>
                </w:p>
              </w:tc>
              <w:tc>
                <w:tcPr>
                  <w:tcW w:w="416" w:type="pct"/>
                  <w:vAlign w:val="center"/>
                </w:tcPr>
                <w:p w14:paraId="4F75E60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51.23</w:t>
                  </w:r>
                </w:p>
              </w:tc>
              <w:tc>
                <w:tcPr>
                  <w:tcW w:w="251" w:type="pct"/>
                  <w:vMerge w:val="continue"/>
                  <w:vAlign w:val="center"/>
                </w:tcPr>
                <w:p w14:paraId="274E5985">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154A7B43">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4C9A0DE7">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31.23</w:t>
                  </w:r>
                </w:p>
              </w:tc>
              <w:tc>
                <w:tcPr>
                  <w:tcW w:w="396" w:type="pct"/>
                  <w:vAlign w:val="center"/>
                </w:tcPr>
                <w:p w14:paraId="3B11C52E">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2688A578">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040C153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69" w:type="pct"/>
                  <w:vMerge w:val="continue"/>
                  <w:vAlign w:val="center"/>
                </w:tcPr>
                <w:p w14:paraId="63A33EF8">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170D68E7">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vAlign w:val="center"/>
                </w:tcPr>
                <w:p w14:paraId="5F4CDE26">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10" w:type="pct"/>
                  <w:vMerge w:val="continue"/>
                  <w:vAlign w:val="center"/>
                </w:tcPr>
                <w:p w14:paraId="2D88B7B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72D4471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3B132177">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1331FD40">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612ABB1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0A6FDE0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191.14</w:t>
                  </w:r>
                </w:p>
              </w:tc>
              <w:tc>
                <w:tcPr>
                  <w:tcW w:w="416" w:type="pct"/>
                  <w:vAlign w:val="center"/>
                </w:tcPr>
                <w:p w14:paraId="70591D8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49.13</w:t>
                  </w:r>
                </w:p>
              </w:tc>
              <w:tc>
                <w:tcPr>
                  <w:tcW w:w="251" w:type="pct"/>
                  <w:vMerge w:val="continue"/>
                  <w:vAlign w:val="center"/>
                </w:tcPr>
                <w:p w14:paraId="150F160E">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5F85B38B">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560A8077">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29.13</w:t>
                  </w:r>
                </w:p>
              </w:tc>
              <w:tc>
                <w:tcPr>
                  <w:tcW w:w="396" w:type="pct"/>
                  <w:vAlign w:val="center"/>
                </w:tcPr>
                <w:p w14:paraId="2330D94E">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7C0A7741">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45F10C5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69" w:type="pct"/>
                  <w:vMerge w:val="continue"/>
                  <w:vAlign w:val="center"/>
                </w:tcPr>
                <w:p w14:paraId="780921E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6C9F3B88">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vAlign w:val="center"/>
                </w:tcPr>
                <w:p w14:paraId="7FE5AB41">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10" w:type="pct"/>
                  <w:vMerge w:val="continue"/>
                  <w:vAlign w:val="center"/>
                </w:tcPr>
                <w:p w14:paraId="5197C1D6">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30F18BE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2CF6F9F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0130CAF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5C938446">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683CB50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80.12</w:t>
                  </w:r>
                </w:p>
              </w:tc>
              <w:tc>
                <w:tcPr>
                  <w:tcW w:w="416" w:type="pct"/>
                  <w:vAlign w:val="center"/>
                </w:tcPr>
                <w:p w14:paraId="5B86C64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49.30</w:t>
                  </w:r>
                </w:p>
              </w:tc>
              <w:tc>
                <w:tcPr>
                  <w:tcW w:w="251" w:type="pct"/>
                  <w:vMerge w:val="continue"/>
                  <w:vAlign w:val="center"/>
                </w:tcPr>
                <w:p w14:paraId="6F34CDAD">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50AB6D1C">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37E1A76C">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29.3</w:t>
                  </w:r>
                </w:p>
              </w:tc>
              <w:tc>
                <w:tcPr>
                  <w:tcW w:w="396" w:type="pct"/>
                  <w:vAlign w:val="center"/>
                </w:tcPr>
                <w:p w14:paraId="65C9CAA4">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533BD384">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5AFA5ED1">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69" w:type="pct"/>
                  <w:vMerge w:val="continue"/>
                  <w:vAlign w:val="center"/>
                </w:tcPr>
                <w:p w14:paraId="061B1749">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3071A20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vAlign w:val="center"/>
                </w:tcPr>
                <w:p w14:paraId="1606EE1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10" w:type="pct"/>
                  <w:vMerge w:val="continue"/>
                  <w:vAlign w:val="center"/>
                </w:tcPr>
                <w:p w14:paraId="22FAA10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40B68047">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24EC6BC7">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5B362847">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0F42277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1DB3CDF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6.13</w:t>
                  </w:r>
                </w:p>
              </w:tc>
              <w:tc>
                <w:tcPr>
                  <w:tcW w:w="416" w:type="pct"/>
                  <w:vAlign w:val="center"/>
                </w:tcPr>
                <w:p w14:paraId="64C5F77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58.76</w:t>
                  </w:r>
                </w:p>
              </w:tc>
              <w:tc>
                <w:tcPr>
                  <w:tcW w:w="251" w:type="pct"/>
                  <w:vMerge w:val="continue"/>
                  <w:vAlign w:val="center"/>
                </w:tcPr>
                <w:p w14:paraId="09E0B864">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0A604F85">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7E104E73">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38.76</w:t>
                  </w:r>
                </w:p>
              </w:tc>
              <w:tc>
                <w:tcPr>
                  <w:tcW w:w="396" w:type="pct"/>
                  <w:vAlign w:val="center"/>
                </w:tcPr>
                <w:p w14:paraId="0EF9042D">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7BB06772">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33DD45E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69" w:type="pct"/>
                  <w:vMerge w:val="continue"/>
                  <w:vAlign w:val="center"/>
                </w:tcPr>
                <w:p w14:paraId="3504024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6D03156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vAlign w:val="center"/>
                </w:tcPr>
                <w:p w14:paraId="2BCC0AE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10" w:type="pct"/>
                  <w:vMerge w:val="continue"/>
                  <w:vAlign w:val="center"/>
                </w:tcPr>
                <w:p w14:paraId="1136FA71">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4A6F0870">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65028FE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292581C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39954A7A">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7EED266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48.95</w:t>
                  </w:r>
                </w:p>
              </w:tc>
              <w:tc>
                <w:tcPr>
                  <w:tcW w:w="416" w:type="pct"/>
                  <w:vAlign w:val="center"/>
                </w:tcPr>
                <w:p w14:paraId="5ACEF5B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49.62</w:t>
                  </w:r>
                </w:p>
              </w:tc>
              <w:tc>
                <w:tcPr>
                  <w:tcW w:w="251" w:type="pct"/>
                  <w:vMerge w:val="continue"/>
                  <w:vAlign w:val="center"/>
                </w:tcPr>
                <w:p w14:paraId="2720CE20">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0610DEFD">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1B17206F">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29.62</w:t>
                  </w:r>
                </w:p>
              </w:tc>
              <w:tc>
                <w:tcPr>
                  <w:tcW w:w="396" w:type="pct"/>
                  <w:vAlign w:val="center"/>
                </w:tcPr>
                <w:p w14:paraId="1F95651D">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49498A7F">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130B9FE5">
                  <w:pPr>
                    <w:widowControl/>
                    <w:spacing w:line="240" w:lineRule="auto"/>
                    <w:jc w:val="center"/>
                    <w:textAlignment w:val="bottom"/>
                    <w:rPr>
                      <w:rFonts w:hint="default" w:ascii="Times New Roman" w:hAnsi="Times New Roman" w:eastAsia="宋体" w:cs="Times New Roman"/>
                      <w:color w:val="auto"/>
                      <w:kern w:val="2"/>
                      <w:sz w:val="21"/>
                      <w:szCs w:val="21"/>
                      <w:highlight w:val="none"/>
                      <w:lang w:val="en-US" w:eastAsia="zh-CN" w:bidi="ar-SA"/>
                    </w:rPr>
                  </w:pPr>
                </w:p>
              </w:tc>
              <w:tc>
                <w:tcPr>
                  <w:tcW w:w="269" w:type="pct"/>
                  <w:vMerge w:val="continue"/>
                  <w:vAlign w:val="center"/>
                </w:tcPr>
                <w:p w14:paraId="2ABB6BD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32425C79">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vAlign w:val="center"/>
                </w:tcPr>
                <w:p w14:paraId="25F1573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10" w:type="pct"/>
                  <w:vMerge w:val="continue"/>
                  <w:vAlign w:val="center"/>
                </w:tcPr>
                <w:p w14:paraId="2C2930F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381356B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2B36625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305FABA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78C4468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6B2304F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43.09</w:t>
                  </w:r>
                </w:p>
              </w:tc>
              <w:tc>
                <w:tcPr>
                  <w:tcW w:w="416" w:type="pct"/>
                  <w:vAlign w:val="center"/>
                </w:tcPr>
                <w:p w14:paraId="4DC7267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49.76</w:t>
                  </w:r>
                </w:p>
              </w:tc>
              <w:tc>
                <w:tcPr>
                  <w:tcW w:w="251" w:type="pct"/>
                  <w:vMerge w:val="continue"/>
                  <w:vAlign w:val="center"/>
                </w:tcPr>
                <w:p w14:paraId="00546539">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0F40E878">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00D1338F">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29.76</w:t>
                  </w:r>
                </w:p>
              </w:tc>
              <w:tc>
                <w:tcPr>
                  <w:tcW w:w="396" w:type="pct"/>
                  <w:vAlign w:val="center"/>
                </w:tcPr>
                <w:p w14:paraId="290737E0">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4FBF42E6">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restart"/>
                  <w:shd w:val="clear" w:color="auto" w:fill="auto"/>
                  <w:vAlign w:val="center"/>
                </w:tcPr>
                <w:p w14:paraId="5404DE04">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10</w:t>
                  </w:r>
                </w:p>
              </w:tc>
              <w:tc>
                <w:tcPr>
                  <w:tcW w:w="269" w:type="pct"/>
                  <w:vMerge w:val="continue"/>
                  <w:vAlign w:val="center"/>
                </w:tcPr>
                <w:p w14:paraId="5AE59BBA">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restart"/>
                  <w:shd w:val="clear" w:color="auto" w:fill="auto"/>
                  <w:vAlign w:val="center"/>
                </w:tcPr>
                <w:p w14:paraId="071D303D">
                  <w:pPr>
                    <w:pStyle w:val="139"/>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布料机</w:t>
                  </w:r>
                </w:p>
              </w:tc>
              <w:tc>
                <w:tcPr>
                  <w:tcW w:w="299" w:type="pct"/>
                  <w:vMerge w:val="restart"/>
                  <w:shd w:val="clear" w:color="auto" w:fill="auto"/>
                  <w:vAlign w:val="center"/>
                </w:tcPr>
                <w:p w14:paraId="466EC0D7">
                  <w:pPr>
                    <w:pStyle w:val="139"/>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410" w:type="pct"/>
                  <w:vMerge w:val="restart"/>
                  <w:vAlign w:val="center"/>
                </w:tcPr>
                <w:p w14:paraId="0DB47384">
                  <w:pPr>
                    <w:widowControl/>
                    <w:spacing w:line="240" w:lineRule="auto"/>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w:t>
                  </w:r>
                  <w:r>
                    <w:rPr>
                      <w:rFonts w:hint="default" w:ascii="Times New Roman" w:hAnsi="Times New Roman" w:eastAsia="宋体" w:cs="Times New Roman"/>
                      <w:color w:val="auto"/>
                      <w:sz w:val="21"/>
                      <w:szCs w:val="21"/>
                      <w:highlight w:val="none"/>
                      <w:lang w:val="en-US" w:eastAsia="zh-CN"/>
                    </w:rPr>
                    <w:t>5/1</w:t>
                  </w:r>
                </w:p>
              </w:tc>
              <w:tc>
                <w:tcPr>
                  <w:tcW w:w="437" w:type="pct"/>
                  <w:vMerge w:val="continue"/>
                  <w:vAlign w:val="center"/>
                </w:tcPr>
                <w:p w14:paraId="055FD3B1">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restart"/>
                  <w:vAlign w:val="center"/>
                </w:tcPr>
                <w:p w14:paraId="493AACD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189.42</w:t>
                  </w:r>
                </w:p>
              </w:tc>
              <w:tc>
                <w:tcPr>
                  <w:tcW w:w="283" w:type="pct"/>
                  <w:vMerge w:val="restart"/>
                  <w:vAlign w:val="center"/>
                </w:tcPr>
                <w:p w14:paraId="128B1FB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178.02</w:t>
                  </w:r>
                </w:p>
              </w:tc>
              <w:tc>
                <w:tcPr>
                  <w:tcW w:w="254" w:type="pct"/>
                  <w:vMerge w:val="restart"/>
                  <w:vAlign w:val="center"/>
                </w:tcPr>
                <w:p w14:paraId="19EB409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342" w:type="pct"/>
                  <w:vAlign w:val="center"/>
                </w:tcPr>
                <w:p w14:paraId="774234A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17.86</w:t>
                  </w:r>
                </w:p>
              </w:tc>
              <w:tc>
                <w:tcPr>
                  <w:tcW w:w="416" w:type="pct"/>
                  <w:vAlign w:val="center"/>
                </w:tcPr>
                <w:p w14:paraId="7E4DBE9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52.04</w:t>
                  </w:r>
                </w:p>
              </w:tc>
              <w:tc>
                <w:tcPr>
                  <w:tcW w:w="251" w:type="pct"/>
                  <w:vMerge w:val="continue"/>
                  <w:vAlign w:val="center"/>
                </w:tcPr>
                <w:p w14:paraId="2ECE9523">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12C3A726">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5BABF0F0">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32.04</w:t>
                  </w:r>
                </w:p>
              </w:tc>
              <w:tc>
                <w:tcPr>
                  <w:tcW w:w="396" w:type="pct"/>
                  <w:vAlign w:val="center"/>
                </w:tcPr>
                <w:p w14:paraId="0D44E3ED">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44E05848">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1938703D">
                  <w:pPr>
                    <w:widowControl/>
                    <w:spacing w:line="240" w:lineRule="auto"/>
                    <w:jc w:val="center"/>
                    <w:textAlignment w:val="bottom"/>
                    <w:rPr>
                      <w:rFonts w:hint="default" w:ascii="Times New Roman" w:hAnsi="Times New Roman" w:eastAsia="宋体" w:cs="Times New Roman"/>
                      <w:color w:val="auto"/>
                      <w:kern w:val="2"/>
                      <w:sz w:val="21"/>
                      <w:szCs w:val="21"/>
                      <w:highlight w:val="none"/>
                      <w:lang w:val="en-US" w:eastAsia="zh-CN" w:bidi="ar-SA"/>
                    </w:rPr>
                  </w:pPr>
                </w:p>
              </w:tc>
              <w:tc>
                <w:tcPr>
                  <w:tcW w:w="269" w:type="pct"/>
                  <w:vMerge w:val="continue"/>
                  <w:vAlign w:val="center"/>
                </w:tcPr>
                <w:p w14:paraId="40648B11">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1F705E40">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vAlign w:val="center"/>
                </w:tcPr>
                <w:p w14:paraId="2D21D431">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10" w:type="pct"/>
                  <w:vMerge w:val="continue"/>
                  <w:vAlign w:val="center"/>
                </w:tcPr>
                <w:p w14:paraId="4E77D736">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565AB70A">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4763F9D1">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7D57061B">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4A5D32F0">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3E9DBD5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197.17</w:t>
                  </w:r>
                </w:p>
              </w:tc>
              <w:tc>
                <w:tcPr>
                  <w:tcW w:w="416" w:type="pct"/>
                  <w:vAlign w:val="center"/>
                </w:tcPr>
                <w:p w14:paraId="18931CC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49.13</w:t>
                  </w:r>
                </w:p>
              </w:tc>
              <w:tc>
                <w:tcPr>
                  <w:tcW w:w="251" w:type="pct"/>
                  <w:vMerge w:val="continue"/>
                  <w:vAlign w:val="center"/>
                </w:tcPr>
                <w:p w14:paraId="1EDF3133">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2972BC2C">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62EB613D">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29.13</w:t>
                  </w:r>
                </w:p>
              </w:tc>
              <w:tc>
                <w:tcPr>
                  <w:tcW w:w="396" w:type="pct"/>
                  <w:vAlign w:val="center"/>
                </w:tcPr>
                <w:p w14:paraId="3FF2EC7E">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2CA2617F">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7B7FA887">
                  <w:pPr>
                    <w:widowControl/>
                    <w:spacing w:line="240" w:lineRule="auto"/>
                    <w:jc w:val="center"/>
                    <w:textAlignment w:val="bottom"/>
                    <w:rPr>
                      <w:rFonts w:hint="default" w:ascii="Times New Roman" w:hAnsi="Times New Roman" w:eastAsia="宋体" w:cs="Times New Roman"/>
                      <w:color w:val="auto"/>
                      <w:kern w:val="2"/>
                      <w:sz w:val="21"/>
                      <w:szCs w:val="21"/>
                      <w:highlight w:val="none"/>
                      <w:lang w:val="en-US" w:eastAsia="zh-CN" w:bidi="ar-SA"/>
                    </w:rPr>
                  </w:pPr>
                </w:p>
              </w:tc>
              <w:tc>
                <w:tcPr>
                  <w:tcW w:w="269" w:type="pct"/>
                  <w:vMerge w:val="continue"/>
                  <w:vAlign w:val="center"/>
                </w:tcPr>
                <w:p w14:paraId="3835A16A">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0CDA78CB">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vAlign w:val="center"/>
                </w:tcPr>
                <w:p w14:paraId="283E27B7">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10" w:type="pct"/>
                  <w:vMerge w:val="continue"/>
                  <w:vAlign w:val="center"/>
                </w:tcPr>
                <w:p w14:paraId="46C4D721">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6AF93568">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76EE16D9">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33A7CD29">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684223E9">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335F8A0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84.24</w:t>
                  </w:r>
                </w:p>
              </w:tc>
              <w:tc>
                <w:tcPr>
                  <w:tcW w:w="416" w:type="pct"/>
                  <w:vAlign w:val="center"/>
                </w:tcPr>
                <w:p w14:paraId="53DF68D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49.28</w:t>
                  </w:r>
                </w:p>
              </w:tc>
              <w:tc>
                <w:tcPr>
                  <w:tcW w:w="251" w:type="pct"/>
                  <w:vMerge w:val="continue"/>
                  <w:vAlign w:val="center"/>
                </w:tcPr>
                <w:p w14:paraId="548B25E8">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3235E3F1">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4359333A">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29.28</w:t>
                  </w:r>
                </w:p>
              </w:tc>
              <w:tc>
                <w:tcPr>
                  <w:tcW w:w="396" w:type="pct"/>
                  <w:vAlign w:val="center"/>
                </w:tcPr>
                <w:p w14:paraId="26066B0F">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5F1F8ED7">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29F67710">
                  <w:pPr>
                    <w:widowControl/>
                    <w:spacing w:line="240" w:lineRule="auto"/>
                    <w:jc w:val="center"/>
                    <w:textAlignment w:val="bottom"/>
                    <w:rPr>
                      <w:rFonts w:hint="default" w:ascii="Times New Roman" w:hAnsi="Times New Roman" w:eastAsia="宋体" w:cs="Times New Roman"/>
                      <w:color w:val="auto"/>
                      <w:kern w:val="2"/>
                      <w:sz w:val="21"/>
                      <w:szCs w:val="21"/>
                      <w:highlight w:val="none"/>
                      <w:lang w:val="en-US" w:eastAsia="zh-CN" w:bidi="ar-SA"/>
                    </w:rPr>
                  </w:pPr>
                </w:p>
              </w:tc>
              <w:tc>
                <w:tcPr>
                  <w:tcW w:w="269" w:type="pct"/>
                  <w:vMerge w:val="continue"/>
                  <w:vAlign w:val="center"/>
                </w:tcPr>
                <w:p w14:paraId="020E6B6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185CFC53">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vAlign w:val="center"/>
                </w:tcPr>
                <w:p w14:paraId="7E638D13">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10" w:type="pct"/>
                  <w:vMerge w:val="continue"/>
                  <w:vAlign w:val="center"/>
                </w:tcPr>
                <w:p w14:paraId="5E4D68D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49124069">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7B66B267">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1E9DB81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6117D7F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6508CBC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0.16</w:t>
                  </w:r>
                </w:p>
              </w:tc>
              <w:tc>
                <w:tcPr>
                  <w:tcW w:w="416" w:type="pct"/>
                  <w:vAlign w:val="center"/>
                </w:tcPr>
                <w:p w14:paraId="06C5F47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89.93</w:t>
                  </w:r>
                </w:p>
              </w:tc>
              <w:tc>
                <w:tcPr>
                  <w:tcW w:w="251" w:type="pct"/>
                  <w:vMerge w:val="continue"/>
                  <w:vAlign w:val="center"/>
                </w:tcPr>
                <w:p w14:paraId="44A81A81">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62CE4314">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2BA3AE1A">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69.93</w:t>
                  </w:r>
                </w:p>
              </w:tc>
              <w:tc>
                <w:tcPr>
                  <w:tcW w:w="396" w:type="pct"/>
                  <w:vAlign w:val="center"/>
                </w:tcPr>
                <w:p w14:paraId="172B0876">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439D1CA9">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2AF8532C">
                  <w:pPr>
                    <w:widowControl/>
                    <w:spacing w:line="240" w:lineRule="auto"/>
                    <w:jc w:val="center"/>
                    <w:textAlignment w:val="bottom"/>
                    <w:rPr>
                      <w:rFonts w:hint="default" w:ascii="Times New Roman" w:hAnsi="Times New Roman" w:eastAsia="宋体" w:cs="Times New Roman"/>
                      <w:color w:val="auto"/>
                      <w:kern w:val="2"/>
                      <w:sz w:val="21"/>
                      <w:szCs w:val="21"/>
                      <w:highlight w:val="none"/>
                      <w:lang w:val="en-US" w:eastAsia="zh-CN" w:bidi="ar-SA"/>
                    </w:rPr>
                  </w:pPr>
                </w:p>
              </w:tc>
              <w:tc>
                <w:tcPr>
                  <w:tcW w:w="269" w:type="pct"/>
                  <w:vMerge w:val="continue"/>
                  <w:vAlign w:val="center"/>
                </w:tcPr>
                <w:p w14:paraId="3F413A81">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37BA700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vAlign w:val="center"/>
                </w:tcPr>
                <w:p w14:paraId="00E272A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10" w:type="pct"/>
                  <w:vMerge w:val="continue"/>
                  <w:vAlign w:val="center"/>
                </w:tcPr>
                <w:p w14:paraId="0324514B">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5FBFC2C3">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3870FCD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45D04856">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62DFA350">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1985803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53.13</w:t>
                  </w:r>
                </w:p>
              </w:tc>
              <w:tc>
                <w:tcPr>
                  <w:tcW w:w="416" w:type="pct"/>
                  <w:vAlign w:val="center"/>
                </w:tcPr>
                <w:p w14:paraId="70801F3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49.55</w:t>
                  </w:r>
                </w:p>
              </w:tc>
              <w:tc>
                <w:tcPr>
                  <w:tcW w:w="251" w:type="pct"/>
                  <w:vMerge w:val="continue"/>
                  <w:vAlign w:val="center"/>
                </w:tcPr>
                <w:p w14:paraId="750C0D29">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454B0C58">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439606CC">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29.55</w:t>
                  </w:r>
                </w:p>
              </w:tc>
              <w:tc>
                <w:tcPr>
                  <w:tcW w:w="396" w:type="pct"/>
                  <w:vAlign w:val="center"/>
                </w:tcPr>
                <w:p w14:paraId="14450C18">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10AB9E54">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26F48A30">
                  <w:pPr>
                    <w:widowControl/>
                    <w:spacing w:line="240" w:lineRule="auto"/>
                    <w:jc w:val="center"/>
                    <w:textAlignment w:val="bottom"/>
                    <w:rPr>
                      <w:rFonts w:hint="default" w:ascii="Times New Roman" w:hAnsi="Times New Roman" w:eastAsia="宋体" w:cs="Times New Roman"/>
                      <w:color w:val="auto"/>
                      <w:kern w:val="2"/>
                      <w:sz w:val="21"/>
                      <w:szCs w:val="21"/>
                      <w:highlight w:val="none"/>
                      <w:lang w:val="en-US" w:eastAsia="zh-CN" w:bidi="ar-SA"/>
                    </w:rPr>
                  </w:pPr>
                </w:p>
              </w:tc>
              <w:tc>
                <w:tcPr>
                  <w:tcW w:w="269" w:type="pct"/>
                  <w:vMerge w:val="continue"/>
                  <w:vAlign w:val="center"/>
                </w:tcPr>
                <w:p w14:paraId="6DDC4A7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13B6371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vAlign w:val="center"/>
                </w:tcPr>
                <w:p w14:paraId="778F22E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10" w:type="pct"/>
                  <w:vMerge w:val="continue"/>
                  <w:vAlign w:val="center"/>
                </w:tcPr>
                <w:p w14:paraId="163E9D1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689F2290">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4CED5EC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2D86F789">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4AF0EA16">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01B3F4B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36.93</w:t>
                  </w:r>
                </w:p>
              </w:tc>
              <w:tc>
                <w:tcPr>
                  <w:tcW w:w="416" w:type="pct"/>
                  <w:vAlign w:val="center"/>
                </w:tcPr>
                <w:p w14:paraId="781444E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49.98</w:t>
                  </w:r>
                </w:p>
              </w:tc>
              <w:tc>
                <w:tcPr>
                  <w:tcW w:w="251" w:type="pct"/>
                  <w:vMerge w:val="continue"/>
                  <w:vAlign w:val="center"/>
                </w:tcPr>
                <w:p w14:paraId="055023E8">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2B23B6AD">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565FBD96">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29.98</w:t>
                  </w:r>
                </w:p>
              </w:tc>
              <w:tc>
                <w:tcPr>
                  <w:tcW w:w="396" w:type="pct"/>
                  <w:vAlign w:val="center"/>
                </w:tcPr>
                <w:p w14:paraId="327D654C">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267D7A24">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restart"/>
                  <w:shd w:val="clear" w:color="auto" w:fill="auto"/>
                  <w:vAlign w:val="center"/>
                </w:tcPr>
                <w:p w14:paraId="7241F18C">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11</w:t>
                  </w:r>
                </w:p>
              </w:tc>
              <w:tc>
                <w:tcPr>
                  <w:tcW w:w="269" w:type="pct"/>
                  <w:vMerge w:val="continue"/>
                  <w:vAlign w:val="center"/>
                </w:tcPr>
                <w:p w14:paraId="4CB3D8F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restart"/>
                  <w:shd w:val="clear" w:color="auto" w:fill="auto"/>
                  <w:vAlign w:val="center"/>
                </w:tcPr>
                <w:p w14:paraId="7D0FB5AF">
                  <w:pPr>
                    <w:pStyle w:val="139"/>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淬后风</w:t>
                  </w:r>
                  <w:r>
                    <w:rPr>
                      <w:rFonts w:hint="default" w:ascii="Times New Roman" w:hAnsi="Times New Roman" w:eastAsia="宋体" w:cs="Times New Roman"/>
                      <w:b w:val="0"/>
                      <w:bCs w:val="0"/>
                      <w:color w:val="auto"/>
                      <w:sz w:val="21"/>
                      <w:szCs w:val="21"/>
                      <w:highlight w:val="none"/>
                    </w:rPr>
                    <w:t>冷机</w:t>
                  </w:r>
                </w:p>
              </w:tc>
              <w:tc>
                <w:tcPr>
                  <w:tcW w:w="299" w:type="pct"/>
                  <w:vMerge w:val="restart"/>
                  <w:shd w:val="clear" w:color="auto" w:fill="auto"/>
                  <w:vAlign w:val="center"/>
                </w:tcPr>
                <w:p w14:paraId="63797E11">
                  <w:pPr>
                    <w:pStyle w:val="139"/>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410" w:type="pct"/>
                  <w:vMerge w:val="restart"/>
                  <w:vAlign w:val="center"/>
                </w:tcPr>
                <w:p w14:paraId="483CF2D7">
                  <w:pPr>
                    <w:widowControl/>
                    <w:spacing w:line="240" w:lineRule="auto"/>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90/1</w:t>
                  </w:r>
                </w:p>
              </w:tc>
              <w:tc>
                <w:tcPr>
                  <w:tcW w:w="437" w:type="pct"/>
                  <w:vMerge w:val="continue"/>
                  <w:vAlign w:val="center"/>
                </w:tcPr>
                <w:p w14:paraId="169A562A">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757" w:type="dxa"/>
                  <w:vMerge w:val="restart"/>
                  <w:vAlign w:val="center"/>
                </w:tcPr>
                <w:p w14:paraId="7314466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196.99</w:t>
                  </w:r>
                </w:p>
              </w:tc>
              <w:tc>
                <w:tcPr>
                  <w:tcW w:w="757" w:type="dxa"/>
                  <w:vMerge w:val="restart"/>
                  <w:vAlign w:val="center"/>
                </w:tcPr>
                <w:p w14:paraId="7E1A597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178.34</w:t>
                  </w:r>
                </w:p>
              </w:tc>
              <w:tc>
                <w:tcPr>
                  <w:tcW w:w="679" w:type="dxa"/>
                  <w:vMerge w:val="restart"/>
                  <w:vAlign w:val="center"/>
                </w:tcPr>
                <w:p w14:paraId="61CFE50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915" w:type="dxa"/>
                  <w:vAlign w:val="center"/>
                </w:tcPr>
                <w:p w14:paraId="0ABF984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17.06</w:t>
                  </w:r>
                </w:p>
              </w:tc>
              <w:tc>
                <w:tcPr>
                  <w:tcW w:w="1113" w:type="dxa"/>
                  <w:vAlign w:val="center"/>
                </w:tcPr>
                <w:p w14:paraId="1BACF06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57.24</w:t>
                  </w:r>
                </w:p>
              </w:tc>
              <w:tc>
                <w:tcPr>
                  <w:tcW w:w="251" w:type="pct"/>
                  <w:vMerge w:val="continue"/>
                  <w:vAlign w:val="center"/>
                </w:tcPr>
                <w:p w14:paraId="261CDDED">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3934B30B">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23A2F6F0">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37.24</w:t>
                  </w:r>
                </w:p>
              </w:tc>
              <w:tc>
                <w:tcPr>
                  <w:tcW w:w="396" w:type="pct"/>
                  <w:vAlign w:val="center"/>
                </w:tcPr>
                <w:p w14:paraId="6FCEF77D">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582A2CB1">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vAlign w:val="center"/>
                </w:tcPr>
                <w:p w14:paraId="2385F181">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69" w:type="pct"/>
                  <w:vMerge w:val="continue"/>
                  <w:vAlign w:val="center"/>
                </w:tcPr>
                <w:p w14:paraId="20AEF91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0792CBE8">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vAlign w:val="center"/>
                </w:tcPr>
                <w:p w14:paraId="59A4C90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10" w:type="pct"/>
                  <w:vMerge w:val="continue"/>
                  <w:vAlign w:val="center"/>
                </w:tcPr>
                <w:p w14:paraId="28A869A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12387C26">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503002A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046EA979">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301D21C9">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915" w:type="dxa"/>
                  <w:vAlign w:val="center"/>
                </w:tcPr>
                <w:p w14:paraId="42A0FD7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204.71</w:t>
                  </w:r>
                </w:p>
              </w:tc>
              <w:tc>
                <w:tcPr>
                  <w:tcW w:w="1113" w:type="dxa"/>
                  <w:vAlign w:val="center"/>
                </w:tcPr>
                <w:p w14:paraId="2D9F7B3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54.13</w:t>
                  </w:r>
                </w:p>
              </w:tc>
              <w:tc>
                <w:tcPr>
                  <w:tcW w:w="251" w:type="pct"/>
                  <w:vMerge w:val="continue"/>
                  <w:vAlign w:val="center"/>
                </w:tcPr>
                <w:p w14:paraId="17158A27">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2EBA517A">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4D3BA6F7">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34.13</w:t>
                  </w:r>
                </w:p>
              </w:tc>
              <w:tc>
                <w:tcPr>
                  <w:tcW w:w="396" w:type="pct"/>
                  <w:vAlign w:val="center"/>
                </w:tcPr>
                <w:p w14:paraId="3EA125A6">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67807F84">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vAlign w:val="center"/>
                </w:tcPr>
                <w:p w14:paraId="1C931A1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69" w:type="pct"/>
                  <w:vMerge w:val="continue"/>
                  <w:vAlign w:val="center"/>
                </w:tcPr>
                <w:p w14:paraId="29B16807">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6DA2819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vAlign w:val="center"/>
                </w:tcPr>
                <w:p w14:paraId="5D479071">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10" w:type="pct"/>
                  <w:vMerge w:val="continue"/>
                  <w:vAlign w:val="center"/>
                </w:tcPr>
                <w:p w14:paraId="49F4D68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676BD28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2271A76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714A71D1">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18CFF92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915" w:type="dxa"/>
                  <w:vAlign w:val="center"/>
                </w:tcPr>
                <w:p w14:paraId="0779E5A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84.90</w:t>
                  </w:r>
                </w:p>
              </w:tc>
              <w:tc>
                <w:tcPr>
                  <w:tcW w:w="1113" w:type="dxa"/>
                  <w:vAlign w:val="center"/>
                </w:tcPr>
                <w:p w14:paraId="3E58683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54.28</w:t>
                  </w:r>
                </w:p>
              </w:tc>
              <w:tc>
                <w:tcPr>
                  <w:tcW w:w="251" w:type="pct"/>
                  <w:vMerge w:val="continue"/>
                  <w:vAlign w:val="center"/>
                </w:tcPr>
                <w:p w14:paraId="1C0529F6">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15EB98BB">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456052F7">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34.28</w:t>
                  </w:r>
                </w:p>
              </w:tc>
              <w:tc>
                <w:tcPr>
                  <w:tcW w:w="396" w:type="pct"/>
                  <w:vAlign w:val="center"/>
                </w:tcPr>
                <w:p w14:paraId="3F7BB1DE">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30D3A9DB">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vAlign w:val="center"/>
                </w:tcPr>
                <w:p w14:paraId="1F9E771A">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69" w:type="pct"/>
                  <w:vMerge w:val="continue"/>
                  <w:vAlign w:val="center"/>
                </w:tcPr>
                <w:p w14:paraId="5756FAC1">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5439CF1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vAlign w:val="center"/>
                </w:tcPr>
                <w:p w14:paraId="70E7140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10" w:type="pct"/>
                  <w:vMerge w:val="continue"/>
                  <w:vAlign w:val="center"/>
                </w:tcPr>
                <w:p w14:paraId="47B150A7">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5E4F875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5A314F0B">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4A8813F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6212460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915" w:type="dxa"/>
                  <w:vAlign w:val="center"/>
                </w:tcPr>
                <w:p w14:paraId="348F229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7.37</w:t>
                  </w:r>
                </w:p>
              </w:tc>
              <w:tc>
                <w:tcPr>
                  <w:tcW w:w="1113" w:type="dxa"/>
                  <w:vAlign w:val="center"/>
                </w:tcPr>
                <w:p w14:paraId="0AD9155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62.36</w:t>
                  </w:r>
                </w:p>
              </w:tc>
              <w:tc>
                <w:tcPr>
                  <w:tcW w:w="251" w:type="pct"/>
                  <w:vMerge w:val="continue"/>
                  <w:vAlign w:val="center"/>
                </w:tcPr>
                <w:p w14:paraId="408CE90F">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0DB32874">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7A7B5B4C">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42.36</w:t>
                  </w:r>
                </w:p>
              </w:tc>
              <w:tc>
                <w:tcPr>
                  <w:tcW w:w="396" w:type="pct"/>
                  <w:vAlign w:val="center"/>
                </w:tcPr>
                <w:p w14:paraId="4BC3417E">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18FB7C85">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vAlign w:val="center"/>
                </w:tcPr>
                <w:p w14:paraId="4F1240D9">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69" w:type="pct"/>
                  <w:vMerge w:val="continue"/>
                  <w:vAlign w:val="center"/>
                </w:tcPr>
                <w:p w14:paraId="72B4E291">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0F586917">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vAlign w:val="center"/>
                </w:tcPr>
                <w:p w14:paraId="109AE30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10" w:type="pct"/>
                  <w:vMerge w:val="continue"/>
                  <w:vAlign w:val="center"/>
                </w:tcPr>
                <w:p w14:paraId="2B04A353">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0D8BAF0B">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2C3C7EFA">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7FAF023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5E6955A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915" w:type="dxa"/>
                  <w:vAlign w:val="center"/>
                </w:tcPr>
                <w:p w14:paraId="0707C37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53.87</w:t>
                  </w:r>
                </w:p>
              </w:tc>
              <w:tc>
                <w:tcPr>
                  <w:tcW w:w="1113" w:type="dxa"/>
                  <w:vAlign w:val="center"/>
                </w:tcPr>
                <w:p w14:paraId="7978696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54.54</w:t>
                  </w:r>
                </w:p>
              </w:tc>
              <w:tc>
                <w:tcPr>
                  <w:tcW w:w="251" w:type="pct"/>
                  <w:vMerge w:val="continue"/>
                  <w:vAlign w:val="center"/>
                </w:tcPr>
                <w:p w14:paraId="1F490E93">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10E1DA63">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33AE0D8F">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34.54</w:t>
                  </w:r>
                </w:p>
              </w:tc>
              <w:tc>
                <w:tcPr>
                  <w:tcW w:w="396" w:type="pct"/>
                  <w:vAlign w:val="center"/>
                </w:tcPr>
                <w:p w14:paraId="5E3F588C">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4E660DA5">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vAlign w:val="center"/>
                </w:tcPr>
                <w:p w14:paraId="66DEF35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69" w:type="pct"/>
                  <w:vMerge w:val="continue"/>
                  <w:vAlign w:val="center"/>
                </w:tcPr>
                <w:p w14:paraId="47889D60">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31516F4A">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vAlign w:val="center"/>
                </w:tcPr>
                <w:p w14:paraId="1C685138">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10" w:type="pct"/>
                  <w:vMerge w:val="continue"/>
                  <w:vAlign w:val="center"/>
                </w:tcPr>
                <w:p w14:paraId="7B220D79">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1195DDCA">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7F5790C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6C04724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6B8094F1">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915" w:type="dxa"/>
                  <w:vAlign w:val="center"/>
                </w:tcPr>
                <w:p w14:paraId="44965C4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29.37</w:t>
                  </w:r>
                </w:p>
              </w:tc>
              <w:tc>
                <w:tcPr>
                  <w:tcW w:w="1113" w:type="dxa"/>
                  <w:vAlign w:val="center"/>
                </w:tcPr>
                <w:p w14:paraId="350666A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55.43</w:t>
                  </w:r>
                </w:p>
              </w:tc>
              <w:tc>
                <w:tcPr>
                  <w:tcW w:w="251" w:type="pct"/>
                  <w:vMerge w:val="continue"/>
                  <w:vAlign w:val="center"/>
                </w:tcPr>
                <w:p w14:paraId="45872BBF">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42A5938A">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347B6BA2">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35.43</w:t>
                  </w:r>
                </w:p>
              </w:tc>
              <w:tc>
                <w:tcPr>
                  <w:tcW w:w="396" w:type="pct"/>
                  <w:vAlign w:val="center"/>
                </w:tcPr>
                <w:p w14:paraId="33E9791F">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5A35A5BB">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restart"/>
                  <w:shd w:val="clear" w:color="auto" w:fill="auto"/>
                  <w:vAlign w:val="center"/>
                </w:tcPr>
                <w:p w14:paraId="0D9C6567">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12</w:t>
                  </w:r>
                </w:p>
              </w:tc>
              <w:tc>
                <w:tcPr>
                  <w:tcW w:w="269" w:type="pct"/>
                  <w:vMerge w:val="continue"/>
                  <w:vAlign w:val="center"/>
                </w:tcPr>
                <w:p w14:paraId="19706DAA">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restart"/>
                  <w:shd w:val="clear" w:color="auto" w:fill="auto"/>
                  <w:vAlign w:val="center"/>
                </w:tcPr>
                <w:p w14:paraId="4C66927E">
                  <w:pPr>
                    <w:pStyle w:val="139"/>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在线回火炉</w:t>
                  </w:r>
                  <w:r>
                    <w:rPr>
                      <w:rFonts w:hint="default" w:ascii="Times New Roman" w:hAnsi="Times New Roman" w:eastAsia="宋体" w:cs="Times New Roman"/>
                      <w:b w:val="0"/>
                      <w:bCs w:val="0"/>
                      <w:color w:val="auto"/>
                      <w:kern w:val="0"/>
                      <w:sz w:val="21"/>
                      <w:szCs w:val="21"/>
                      <w:highlight w:val="none"/>
                      <w:lang w:val="en-US" w:eastAsia="zh-CN"/>
                    </w:rPr>
                    <w:t>2#</w:t>
                  </w:r>
                </w:p>
              </w:tc>
              <w:tc>
                <w:tcPr>
                  <w:tcW w:w="299" w:type="pct"/>
                  <w:vMerge w:val="restart"/>
                  <w:shd w:val="clear" w:color="auto" w:fill="auto"/>
                  <w:vAlign w:val="center"/>
                </w:tcPr>
                <w:p w14:paraId="471D900A">
                  <w:pPr>
                    <w:pStyle w:val="139"/>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410" w:type="pct"/>
                  <w:vMerge w:val="restart"/>
                  <w:vAlign w:val="center"/>
                </w:tcPr>
                <w:p w14:paraId="1C87FF81">
                  <w:pPr>
                    <w:widowControl/>
                    <w:spacing w:line="240" w:lineRule="auto"/>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90/1</w:t>
                  </w:r>
                </w:p>
              </w:tc>
              <w:tc>
                <w:tcPr>
                  <w:tcW w:w="437" w:type="pct"/>
                  <w:vMerge w:val="continue"/>
                  <w:vAlign w:val="center"/>
                </w:tcPr>
                <w:p w14:paraId="66C1C38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restart"/>
                  <w:vAlign w:val="center"/>
                </w:tcPr>
                <w:p w14:paraId="309CD14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204.89</w:t>
                  </w:r>
                </w:p>
              </w:tc>
              <w:tc>
                <w:tcPr>
                  <w:tcW w:w="283" w:type="pct"/>
                  <w:vMerge w:val="restart"/>
                  <w:vAlign w:val="center"/>
                </w:tcPr>
                <w:p w14:paraId="31423A3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179</w:t>
                  </w:r>
                </w:p>
              </w:tc>
              <w:tc>
                <w:tcPr>
                  <w:tcW w:w="254" w:type="pct"/>
                  <w:vMerge w:val="restart"/>
                  <w:vAlign w:val="center"/>
                </w:tcPr>
                <w:p w14:paraId="245024F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342" w:type="pct"/>
                  <w:vAlign w:val="center"/>
                </w:tcPr>
                <w:p w14:paraId="598DE97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16.55</w:t>
                  </w:r>
                </w:p>
              </w:tc>
              <w:tc>
                <w:tcPr>
                  <w:tcW w:w="416" w:type="pct"/>
                  <w:vAlign w:val="center"/>
                </w:tcPr>
                <w:p w14:paraId="05F0435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57.38</w:t>
                  </w:r>
                </w:p>
              </w:tc>
              <w:tc>
                <w:tcPr>
                  <w:tcW w:w="251" w:type="pct"/>
                  <w:vMerge w:val="continue"/>
                  <w:vAlign w:val="center"/>
                </w:tcPr>
                <w:p w14:paraId="0F0B299D">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19876A99">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6603D305">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37.38</w:t>
                  </w:r>
                </w:p>
              </w:tc>
              <w:tc>
                <w:tcPr>
                  <w:tcW w:w="396" w:type="pct"/>
                  <w:vAlign w:val="center"/>
                </w:tcPr>
                <w:p w14:paraId="2E529064">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152B4A0A">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vAlign w:val="center"/>
                </w:tcPr>
                <w:p w14:paraId="0B1D63F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69" w:type="pct"/>
                  <w:vMerge w:val="continue"/>
                  <w:vAlign w:val="center"/>
                </w:tcPr>
                <w:p w14:paraId="3973BE7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07D71D08">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vAlign w:val="center"/>
                </w:tcPr>
                <w:p w14:paraId="1996E29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10" w:type="pct"/>
                  <w:vMerge w:val="continue"/>
                  <w:vAlign w:val="center"/>
                </w:tcPr>
                <w:p w14:paraId="3422FBC0">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00ADBBD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7BF3C4E6">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30EEA20B">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1D9372E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10889D0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212.62</w:t>
                  </w:r>
                </w:p>
              </w:tc>
              <w:tc>
                <w:tcPr>
                  <w:tcW w:w="416" w:type="pct"/>
                  <w:vAlign w:val="center"/>
                </w:tcPr>
                <w:p w14:paraId="3F1903A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54.12</w:t>
                  </w:r>
                </w:p>
              </w:tc>
              <w:tc>
                <w:tcPr>
                  <w:tcW w:w="251" w:type="pct"/>
                  <w:vMerge w:val="continue"/>
                  <w:vAlign w:val="center"/>
                </w:tcPr>
                <w:p w14:paraId="3EBF0137">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52FCAD38">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19404436">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34.12</w:t>
                  </w:r>
                </w:p>
              </w:tc>
              <w:tc>
                <w:tcPr>
                  <w:tcW w:w="396" w:type="pct"/>
                  <w:vAlign w:val="center"/>
                </w:tcPr>
                <w:p w14:paraId="4FC57B39">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5A7B3E4E">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vAlign w:val="center"/>
                </w:tcPr>
                <w:p w14:paraId="7CDF6C7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69" w:type="pct"/>
                  <w:vMerge w:val="continue"/>
                  <w:vAlign w:val="center"/>
                </w:tcPr>
                <w:p w14:paraId="1ECE9FC6">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0D481D2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vAlign w:val="center"/>
                </w:tcPr>
                <w:p w14:paraId="60FC2B66">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10" w:type="pct"/>
                  <w:vMerge w:val="continue"/>
                  <w:vAlign w:val="center"/>
                </w:tcPr>
                <w:p w14:paraId="7EBD9ABB">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0BDFF78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55B9480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68227A2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64DCFDA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190A372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85.27</w:t>
                  </w:r>
                </w:p>
              </w:tc>
              <w:tc>
                <w:tcPr>
                  <w:tcW w:w="416" w:type="pct"/>
                  <w:vAlign w:val="center"/>
                </w:tcPr>
                <w:p w14:paraId="3BC7AC0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54.28</w:t>
                  </w:r>
                </w:p>
              </w:tc>
              <w:tc>
                <w:tcPr>
                  <w:tcW w:w="251" w:type="pct"/>
                  <w:vMerge w:val="continue"/>
                  <w:vAlign w:val="center"/>
                </w:tcPr>
                <w:p w14:paraId="7B0E168D">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5C1F98E0">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464DBD36">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34.28</w:t>
                  </w:r>
                </w:p>
              </w:tc>
              <w:tc>
                <w:tcPr>
                  <w:tcW w:w="396" w:type="pct"/>
                  <w:vAlign w:val="center"/>
                </w:tcPr>
                <w:p w14:paraId="7C8850F8">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4FD1BC0F">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vAlign w:val="center"/>
                </w:tcPr>
                <w:p w14:paraId="18DC502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69" w:type="pct"/>
                  <w:vMerge w:val="continue"/>
                  <w:vAlign w:val="center"/>
                </w:tcPr>
                <w:p w14:paraId="06225A9B">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1797D9E7">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vAlign w:val="center"/>
                </w:tcPr>
                <w:p w14:paraId="1DCE836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10" w:type="pct"/>
                  <w:vMerge w:val="continue"/>
                  <w:vAlign w:val="center"/>
                </w:tcPr>
                <w:p w14:paraId="26FC4A49">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19BB0977">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422359A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1AF9D370">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191336B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31BD4F3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15.27</w:t>
                  </w:r>
                </w:p>
              </w:tc>
              <w:tc>
                <w:tcPr>
                  <w:tcW w:w="416" w:type="pct"/>
                  <w:vAlign w:val="center"/>
                </w:tcPr>
                <w:p w14:paraId="05A123E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57.77</w:t>
                  </w:r>
                </w:p>
              </w:tc>
              <w:tc>
                <w:tcPr>
                  <w:tcW w:w="251" w:type="pct"/>
                  <w:vMerge w:val="continue"/>
                  <w:vAlign w:val="center"/>
                </w:tcPr>
                <w:p w14:paraId="68B1721F">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6860C2A5">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36BBEC66">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37.77</w:t>
                  </w:r>
                </w:p>
              </w:tc>
              <w:tc>
                <w:tcPr>
                  <w:tcW w:w="396" w:type="pct"/>
                  <w:vAlign w:val="center"/>
                </w:tcPr>
                <w:p w14:paraId="7B4E61F6">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1AF20F0C">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vAlign w:val="center"/>
                </w:tcPr>
                <w:p w14:paraId="45071E23">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69" w:type="pct"/>
                  <w:vMerge w:val="continue"/>
                  <w:vAlign w:val="center"/>
                </w:tcPr>
                <w:p w14:paraId="13DE65E9">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74BACCB6">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vAlign w:val="center"/>
                </w:tcPr>
                <w:p w14:paraId="41A06E4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10" w:type="pct"/>
                  <w:vMerge w:val="continue"/>
                  <w:vAlign w:val="center"/>
                </w:tcPr>
                <w:p w14:paraId="156FD579">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5408E0CB">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0C43375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7692A3C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3A81EAEB">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20BAB3C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54.33</w:t>
                  </w:r>
                </w:p>
              </w:tc>
              <w:tc>
                <w:tcPr>
                  <w:tcW w:w="416" w:type="pct"/>
                  <w:vAlign w:val="center"/>
                </w:tcPr>
                <w:p w14:paraId="2C24718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54.53</w:t>
                  </w:r>
                </w:p>
              </w:tc>
              <w:tc>
                <w:tcPr>
                  <w:tcW w:w="251" w:type="pct"/>
                  <w:vMerge w:val="continue"/>
                  <w:vAlign w:val="center"/>
                </w:tcPr>
                <w:p w14:paraId="5150019B">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4D627424">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7B74E4B8">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34.53</w:t>
                  </w:r>
                </w:p>
              </w:tc>
              <w:tc>
                <w:tcPr>
                  <w:tcW w:w="396" w:type="pct"/>
                  <w:vAlign w:val="center"/>
                </w:tcPr>
                <w:p w14:paraId="6461F209">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39478DE6">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vAlign w:val="center"/>
                </w:tcPr>
                <w:p w14:paraId="1E5A3671">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69" w:type="pct"/>
                  <w:vMerge w:val="continue"/>
                  <w:vAlign w:val="center"/>
                </w:tcPr>
                <w:p w14:paraId="6656070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24A7CD89">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vAlign w:val="center"/>
                </w:tcPr>
                <w:p w14:paraId="730CEF7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10" w:type="pct"/>
                  <w:vMerge w:val="continue"/>
                  <w:vAlign w:val="center"/>
                </w:tcPr>
                <w:p w14:paraId="7F8800D7">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1F319B2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7DA33021">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27FDD80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6841903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157298C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21.44</w:t>
                  </w:r>
                </w:p>
              </w:tc>
              <w:tc>
                <w:tcPr>
                  <w:tcW w:w="416" w:type="pct"/>
                  <w:vAlign w:val="center"/>
                </w:tcPr>
                <w:p w14:paraId="531A833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56.33</w:t>
                  </w:r>
                </w:p>
              </w:tc>
              <w:tc>
                <w:tcPr>
                  <w:tcW w:w="251" w:type="pct"/>
                  <w:vMerge w:val="continue"/>
                  <w:vAlign w:val="center"/>
                </w:tcPr>
                <w:p w14:paraId="0911B4BF">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428F8D58">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09195B5F">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36.33</w:t>
                  </w:r>
                </w:p>
              </w:tc>
              <w:tc>
                <w:tcPr>
                  <w:tcW w:w="396" w:type="pct"/>
                  <w:vAlign w:val="center"/>
                </w:tcPr>
                <w:p w14:paraId="47140507">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0438A9FE">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restart"/>
                  <w:shd w:val="clear" w:color="auto" w:fill="auto"/>
                  <w:vAlign w:val="center"/>
                </w:tcPr>
                <w:p w14:paraId="5D6CF7EB">
                  <w:pPr>
                    <w:widowControl/>
                    <w:spacing w:line="240" w:lineRule="auto"/>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13</w:t>
                  </w:r>
                </w:p>
              </w:tc>
              <w:tc>
                <w:tcPr>
                  <w:tcW w:w="269" w:type="pct"/>
                  <w:vMerge w:val="continue"/>
                  <w:vAlign w:val="center"/>
                </w:tcPr>
                <w:p w14:paraId="64229209">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restart"/>
                  <w:shd w:val="clear" w:color="auto" w:fill="auto"/>
                  <w:vAlign w:val="center"/>
                </w:tcPr>
                <w:p w14:paraId="10A5C0FA">
                  <w:pPr>
                    <w:keepNext w:val="0"/>
                    <w:keepLines w:val="0"/>
                    <w:pageBreakBefore w:val="0"/>
                    <w:widowControl/>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仓储包装系统</w:t>
                  </w:r>
                </w:p>
              </w:tc>
              <w:tc>
                <w:tcPr>
                  <w:tcW w:w="299" w:type="pct"/>
                  <w:vMerge w:val="restart"/>
                  <w:shd w:val="clear" w:color="auto" w:fill="auto"/>
                  <w:vAlign w:val="center"/>
                </w:tcPr>
                <w:p w14:paraId="1E255DFC">
                  <w:pPr>
                    <w:pStyle w:val="139"/>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410" w:type="pct"/>
                  <w:vMerge w:val="restart"/>
                  <w:vAlign w:val="center"/>
                </w:tcPr>
                <w:p w14:paraId="50D612C5">
                  <w:pPr>
                    <w:widowControl/>
                    <w:spacing w:line="240" w:lineRule="auto"/>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85/1</w:t>
                  </w:r>
                </w:p>
              </w:tc>
              <w:tc>
                <w:tcPr>
                  <w:tcW w:w="437" w:type="pct"/>
                  <w:vMerge w:val="continue"/>
                  <w:vAlign w:val="center"/>
                </w:tcPr>
                <w:p w14:paraId="0192BD4A">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restart"/>
                  <w:vAlign w:val="center"/>
                </w:tcPr>
                <w:p w14:paraId="053BB82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204.1</w:t>
                  </w:r>
                </w:p>
              </w:tc>
              <w:tc>
                <w:tcPr>
                  <w:tcW w:w="283" w:type="pct"/>
                  <w:vMerge w:val="restart"/>
                  <w:vAlign w:val="center"/>
                </w:tcPr>
                <w:p w14:paraId="08A77F8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193.54</w:t>
                  </w:r>
                </w:p>
              </w:tc>
              <w:tc>
                <w:tcPr>
                  <w:tcW w:w="254" w:type="pct"/>
                  <w:vMerge w:val="restart"/>
                  <w:vAlign w:val="center"/>
                </w:tcPr>
                <w:p w14:paraId="26426F0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342" w:type="pct"/>
                  <w:vAlign w:val="center"/>
                </w:tcPr>
                <w:p w14:paraId="1D0F873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31.05</w:t>
                  </w:r>
                </w:p>
              </w:tc>
              <w:tc>
                <w:tcPr>
                  <w:tcW w:w="416" w:type="pct"/>
                  <w:vAlign w:val="center"/>
                </w:tcPr>
                <w:p w14:paraId="2C1B60E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50.31</w:t>
                  </w:r>
                </w:p>
              </w:tc>
              <w:tc>
                <w:tcPr>
                  <w:tcW w:w="251" w:type="pct"/>
                  <w:vMerge w:val="continue"/>
                  <w:vAlign w:val="center"/>
                </w:tcPr>
                <w:p w14:paraId="7C3B427D">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110EBAA7">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3F556753">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30.31</w:t>
                  </w:r>
                </w:p>
              </w:tc>
              <w:tc>
                <w:tcPr>
                  <w:tcW w:w="396" w:type="pct"/>
                  <w:vAlign w:val="center"/>
                </w:tcPr>
                <w:p w14:paraId="65B52761">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2764181F">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vAlign w:val="center"/>
                </w:tcPr>
                <w:p w14:paraId="69DEF84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69" w:type="pct"/>
                  <w:vMerge w:val="continue"/>
                  <w:vAlign w:val="center"/>
                </w:tcPr>
                <w:p w14:paraId="4083BA3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08AE42E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vAlign w:val="center"/>
                </w:tcPr>
                <w:p w14:paraId="13D79426">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10" w:type="pct"/>
                  <w:vMerge w:val="continue"/>
                  <w:vAlign w:val="center"/>
                </w:tcPr>
                <w:p w14:paraId="7EF049E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5F88DFA7">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759FD24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202579D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496959F6">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3B3CCA2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213.96</w:t>
                  </w:r>
                </w:p>
              </w:tc>
              <w:tc>
                <w:tcPr>
                  <w:tcW w:w="416" w:type="pct"/>
                  <w:vAlign w:val="center"/>
                </w:tcPr>
                <w:p w14:paraId="03B20B2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49.12</w:t>
                  </w:r>
                </w:p>
              </w:tc>
              <w:tc>
                <w:tcPr>
                  <w:tcW w:w="251" w:type="pct"/>
                  <w:vMerge w:val="continue"/>
                  <w:vAlign w:val="center"/>
                </w:tcPr>
                <w:p w14:paraId="057BE96D">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1EB61BAD">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53B1F018">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29.12</w:t>
                  </w:r>
                </w:p>
              </w:tc>
              <w:tc>
                <w:tcPr>
                  <w:tcW w:w="396" w:type="pct"/>
                  <w:vAlign w:val="center"/>
                </w:tcPr>
                <w:p w14:paraId="31BA52B8">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73FE0B23">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vAlign w:val="center"/>
                </w:tcPr>
                <w:p w14:paraId="4EDD30C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69" w:type="pct"/>
                  <w:vMerge w:val="continue"/>
                  <w:vAlign w:val="center"/>
                </w:tcPr>
                <w:p w14:paraId="6FF83969">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1CA77A67">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vAlign w:val="center"/>
                </w:tcPr>
                <w:p w14:paraId="2A66C269">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10" w:type="pct"/>
                  <w:vMerge w:val="continue"/>
                  <w:vAlign w:val="center"/>
                </w:tcPr>
                <w:p w14:paraId="5EF7D210">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798C76E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7CD6BA3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17F1DE2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02898126">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1FCA4D8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70.75</w:t>
                  </w:r>
                </w:p>
              </w:tc>
              <w:tc>
                <w:tcPr>
                  <w:tcW w:w="416" w:type="pct"/>
                  <w:vAlign w:val="center"/>
                </w:tcPr>
                <w:p w14:paraId="1E07EF1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49.36</w:t>
                  </w:r>
                </w:p>
              </w:tc>
              <w:tc>
                <w:tcPr>
                  <w:tcW w:w="251" w:type="pct"/>
                  <w:vMerge w:val="continue"/>
                  <w:vAlign w:val="center"/>
                </w:tcPr>
                <w:p w14:paraId="1AE4F947">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4D655379">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79E2249D">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29.36</w:t>
                  </w:r>
                </w:p>
              </w:tc>
              <w:tc>
                <w:tcPr>
                  <w:tcW w:w="396" w:type="pct"/>
                  <w:vAlign w:val="center"/>
                </w:tcPr>
                <w:p w14:paraId="4F963AB1">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586C7A18">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vAlign w:val="center"/>
                </w:tcPr>
                <w:p w14:paraId="0C2743CB">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69" w:type="pct"/>
                  <w:vMerge w:val="continue"/>
                  <w:vAlign w:val="center"/>
                </w:tcPr>
                <w:p w14:paraId="09EB65FA">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1F47E858">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vAlign w:val="center"/>
                </w:tcPr>
                <w:p w14:paraId="335620A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10" w:type="pct"/>
                  <w:vMerge w:val="continue"/>
                  <w:vAlign w:val="center"/>
                </w:tcPr>
                <w:p w14:paraId="50EAAE48">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5B422FF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376FDD89">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3DD29FF7">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0B9DEFE3">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3F0A584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16.81</w:t>
                  </w:r>
                </w:p>
              </w:tc>
              <w:tc>
                <w:tcPr>
                  <w:tcW w:w="416" w:type="pct"/>
                  <w:vAlign w:val="center"/>
                </w:tcPr>
                <w:p w14:paraId="59D29BF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52.31</w:t>
                  </w:r>
                </w:p>
              </w:tc>
              <w:tc>
                <w:tcPr>
                  <w:tcW w:w="251" w:type="pct"/>
                  <w:vMerge w:val="continue"/>
                  <w:vAlign w:val="center"/>
                </w:tcPr>
                <w:p w14:paraId="6C4C66F2">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657FBFAA">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04009735">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32.31</w:t>
                  </w:r>
                </w:p>
              </w:tc>
              <w:tc>
                <w:tcPr>
                  <w:tcW w:w="396" w:type="pct"/>
                  <w:vAlign w:val="center"/>
                </w:tcPr>
                <w:p w14:paraId="2E74C81F">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06B6F093">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vAlign w:val="center"/>
                </w:tcPr>
                <w:p w14:paraId="67E31010">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69" w:type="pct"/>
                  <w:vMerge w:val="continue"/>
                  <w:vAlign w:val="center"/>
                </w:tcPr>
                <w:p w14:paraId="278B8BCB">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2563E2CA">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vAlign w:val="center"/>
                </w:tcPr>
                <w:p w14:paraId="06E07033">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10" w:type="pct"/>
                  <w:vMerge w:val="continue"/>
                  <w:vAlign w:val="center"/>
                </w:tcPr>
                <w:p w14:paraId="0BB96093">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01C6691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4230EC2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76CE2E89">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7740474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01E2263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39.82</w:t>
                  </w:r>
                </w:p>
              </w:tc>
              <w:tc>
                <w:tcPr>
                  <w:tcW w:w="416" w:type="pct"/>
                  <w:vAlign w:val="center"/>
                </w:tcPr>
                <w:p w14:paraId="012502D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49.87</w:t>
                  </w:r>
                </w:p>
              </w:tc>
              <w:tc>
                <w:tcPr>
                  <w:tcW w:w="251" w:type="pct"/>
                  <w:vMerge w:val="continue"/>
                  <w:vAlign w:val="center"/>
                </w:tcPr>
                <w:p w14:paraId="6B025726">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6800BE22">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740E98E6">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29.87</w:t>
                  </w:r>
                </w:p>
              </w:tc>
              <w:tc>
                <w:tcPr>
                  <w:tcW w:w="396" w:type="pct"/>
                  <w:vAlign w:val="center"/>
                </w:tcPr>
                <w:p w14:paraId="08A6779F">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053BF2D6">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vAlign w:val="center"/>
                </w:tcPr>
                <w:p w14:paraId="6EB8294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69" w:type="pct"/>
                  <w:vMerge w:val="continue"/>
                  <w:vAlign w:val="center"/>
                </w:tcPr>
                <w:p w14:paraId="79CD7AB1">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1B44BB5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vAlign w:val="center"/>
                </w:tcPr>
                <w:p w14:paraId="18D082D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10" w:type="pct"/>
                  <w:vMerge w:val="continue"/>
                  <w:vAlign w:val="center"/>
                </w:tcPr>
                <w:p w14:paraId="777243F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155E03F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0B48D44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04083CAA">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203B8F3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28E4BE6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20.57</w:t>
                  </w:r>
                </w:p>
              </w:tc>
              <w:tc>
                <w:tcPr>
                  <w:tcW w:w="416" w:type="pct"/>
                  <w:vAlign w:val="center"/>
                </w:tcPr>
                <w:p w14:paraId="630571F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51.48</w:t>
                  </w:r>
                </w:p>
              </w:tc>
              <w:tc>
                <w:tcPr>
                  <w:tcW w:w="251" w:type="pct"/>
                  <w:vMerge w:val="continue"/>
                  <w:vAlign w:val="center"/>
                </w:tcPr>
                <w:p w14:paraId="5F569762">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531220C0">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661A8ACD">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31.48</w:t>
                  </w:r>
                </w:p>
              </w:tc>
              <w:tc>
                <w:tcPr>
                  <w:tcW w:w="396" w:type="pct"/>
                  <w:vAlign w:val="center"/>
                </w:tcPr>
                <w:p w14:paraId="55557D04">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7ABDD557">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restart"/>
                  <w:shd w:val="clear" w:color="auto" w:fill="auto"/>
                  <w:vAlign w:val="center"/>
                </w:tcPr>
                <w:p w14:paraId="3185FF16">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w:t>
                  </w:r>
                </w:p>
              </w:tc>
              <w:tc>
                <w:tcPr>
                  <w:tcW w:w="269" w:type="pct"/>
                  <w:vMerge w:val="restart"/>
                  <w:vAlign w:val="center"/>
                </w:tcPr>
                <w:p w14:paraId="46B55C3D">
                  <w:pPr>
                    <w:widowControl/>
                    <w:spacing w:line="240" w:lineRule="auto"/>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自由锻衬板生产线</w:t>
                  </w:r>
                </w:p>
              </w:tc>
              <w:tc>
                <w:tcPr>
                  <w:tcW w:w="361" w:type="pct"/>
                  <w:vMerge w:val="restart"/>
                  <w:shd w:val="clear" w:color="auto" w:fill="auto"/>
                  <w:vAlign w:val="center"/>
                </w:tcPr>
                <w:p w14:paraId="349CE775">
                  <w:pPr>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自由锻压机</w:t>
                  </w:r>
                </w:p>
              </w:tc>
              <w:tc>
                <w:tcPr>
                  <w:tcW w:w="299" w:type="pct"/>
                  <w:vMerge w:val="restart"/>
                  <w:shd w:val="clear" w:color="auto" w:fill="auto"/>
                  <w:vAlign w:val="center"/>
                </w:tcPr>
                <w:p w14:paraId="260E0BA5">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1</w:t>
                  </w:r>
                </w:p>
              </w:tc>
              <w:tc>
                <w:tcPr>
                  <w:tcW w:w="410" w:type="pct"/>
                  <w:vMerge w:val="restart"/>
                  <w:vAlign w:val="center"/>
                </w:tcPr>
                <w:p w14:paraId="5B41BE80">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100/1</w:t>
                  </w:r>
                </w:p>
              </w:tc>
              <w:tc>
                <w:tcPr>
                  <w:tcW w:w="437" w:type="pct"/>
                  <w:vMerge w:val="continue"/>
                  <w:vAlign w:val="center"/>
                </w:tcPr>
                <w:p w14:paraId="171902A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restart"/>
                  <w:vAlign w:val="center"/>
                </w:tcPr>
                <w:p w14:paraId="654726D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15.7</w:t>
                  </w:r>
                </w:p>
              </w:tc>
              <w:tc>
                <w:tcPr>
                  <w:tcW w:w="283" w:type="pct"/>
                  <w:vMerge w:val="restart"/>
                  <w:vAlign w:val="center"/>
                </w:tcPr>
                <w:p w14:paraId="47BF5B6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157.29</w:t>
                  </w:r>
                </w:p>
              </w:tc>
              <w:tc>
                <w:tcPr>
                  <w:tcW w:w="254" w:type="pct"/>
                  <w:vMerge w:val="restart"/>
                  <w:vAlign w:val="center"/>
                </w:tcPr>
                <w:p w14:paraId="40833B5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342" w:type="pct"/>
                  <w:vAlign w:val="center"/>
                </w:tcPr>
                <w:p w14:paraId="037332C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22.90</w:t>
                  </w:r>
                </w:p>
              </w:tc>
              <w:tc>
                <w:tcPr>
                  <w:tcW w:w="416" w:type="pct"/>
                  <w:vAlign w:val="center"/>
                </w:tcPr>
                <w:p w14:paraId="1581D70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66.11</w:t>
                  </w:r>
                </w:p>
              </w:tc>
              <w:tc>
                <w:tcPr>
                  <w:tcW w:w="251" w:type="pct"/>
                  <w:vMerge w:val="continue"/>
                  <w:vAlign w:val="center"/>
                </w:tcPr>
                <w:p w14:paraId="3C41E795">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1539C62D">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6A5B2146">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46.11</w:t>
                  </w:r>
                </w:p>
              </w:tc>
              <w:tc>
                <w:tcPr>
                  <w:tcW w:w="396" w:type="pct"/>
                  <w:vAlign w:val="center"/>
                </w:tcPr>
                <w:p w14:paraId="4F87FF40">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2EC857C5">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vAlign w:val="center"/>
                </w:tcPr>
                <w:p w14:paraId="20E39BFA">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69" w:type="pct"/>
                  <w:vMerge w:val="continue"/>
                  <w:vAlign w:val="center"/>
                </w:tcPr>
                <w:p w14:paraId="25DB82B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365E7E0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vAlign w:val="center"/>
                </w:tcPr>
                <w:p w14:paraId="533CFDA8">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10" w:type="pct"/>
                  <w:vMerge w:val="continue"/>
                  <w:vAlign w:val="center"/>
                </w:tcPr>
                <w:p w14:paraId="7225D827">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1A893AF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0A8E80A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7D5B117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6E26CFF6">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2354848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22.28</w:t>
                  </w:r>
                </w:p>
              </w:tc>
              <w:tc>
                <w:tcPr>
                  <w:tcW w:w="416" w:type="pct"/>
                  <w:vAlign w:val="center"/>
                </w:tcPr>
                <w:p w14:paraId="6D2C0EC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66.20</w:t>
                  </w:r>
                </w:p>
              </w:tc>
              <w:tc>
                <w:tcPr>
                  <w:tcW w:w="251" w:type="pct"/>
                  <w:vMerge w:val="continue"/>
                  <w:vAlign w:val="center"/>
                </w:tcPr>
                <w:p w14:paraId="3A16301E">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5A8931B2">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3FE261FE">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46.2</w:t>
                  </w:r>
                </w:p>
              </w:tc>
              <w:tc>
                <w:tcPr>
                  <w:tcW w:w="396" w:type="pct"/>
                  <w:vAlign w:val="center"/>
                </w:tcPr>
                <w:p w14:paraId="0A1796BD">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7F715F41">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vAlign w:val="center"/>
                </w:tcPr>
                <w:p w14:paraId="32332D6B">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69" w:type="pct"/>
                  <w:vMerge w:val="continue"/>
                  <w:vAlign w:val="center"/>
                </w:tcPr>
                <w:p w14:paraId="112CA6CB">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06D5340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vAlign w:val="center"/>
                </w:tcPr>
                <w:p w14:paraId="1AEE8AC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10" w:type="pct"/>
                  <w:vMerge w:val="continue"/>
                  <w:vAlign w:val="center"/>
                </w:tcPr>
                <w:p w14:paraId="1DDB4C5B">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30B8697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6891402A">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41F13E2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67E670A3">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3C32DC6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82.32</w:t>
                  </w:r>
                </w:p>
              </w:tc>
              <w:tc>
                <w:tcPr>
                  <w:tcW w:w="416" w:type="pct"/>
                  <w:vAlign w:val="center"/>
                </w:tcPr>
                <w:p w14:paraId="49CBE35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64.29</w:t>
                  </w:r>
                </w:p>
              </w:tc>
              <w:tc>
                <w:tcPr>
                  <w:tcW w:w="251" w:type="pct"/>
                  <w:vMerge w:val="continue"/>
                  <w:vAlign w:val="center"/>
                </w:tcPr>
                <w:p w14:paraId="63A02BA3">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3059E839">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6D58AF29">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44.29</w:t>
                  </w:r>
                </w:p>
              </w:tc>
              <w:tc>
                <w:tcPr>
                  <w:tcW w:w="396" w:type="pct"/>
                  <w:vAlign w:val="center"/>
                </w:tcPr>
                <w:p w14:paraId="43CCB944">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06D0888C">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vAlign w:val="center"/>
                </w:tcPr>
                <w:p w14:paraId="6357F350">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69" w:type="pct"/>
                  <w:vMerge w:val="continue"/>
                  <w:vAlign w:val="center"/>
                </w:tcPr>
                <w:p w14:paraId="101113C7">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79D7D569">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vAlign w:val="center"/>
                </w:tcPr>
                <w:p w14:paraId="397BF0A1">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10" w:type="pct"/>
                  <w:vMerge w:val="continue"/>
                  <w:vAlign w:val="center"/>
                </w:tcPr>
                <w:p w14:paraId="1B367A3B">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0172E056">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2ED07763">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2AE785E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624D6A3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7804F57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174.96</w:t>
                  </w:r>
                </w:p>
              </w:tc>
              <w:tc>
                <w:tcPr>
                  <w:tcW w:w="416" w:type="pct"/>
                  <w:vAlign w:val="center"/>
                </w:tcPr>
                <w:p w14:paraId="10477A2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64.14</w:t>
                  </w:r>
                </w:p>
              </w:tc>
              <w:tc>
                <w:tcPr>
                  <w:tcW w:w="251" w:type="pct"/>
                  <w:vMerge w:val="continue"/>
                  <w:vAlign w:val="center"/>
                </w:tcPr>
                <w:p w14:paraId="72F6D5E3">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0A720709">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49E3A5FF">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44.14</w:t>
                  </w:r>
                </w:p>
              </w:tc>
              <w:tc>
                <w:tcPr>
                  <w:tcW w:w="396" w:type="pct"/>
                  <w:vAlign w:val="center"/>
                </w:tcPr>
                <w:p w14:paraId="5A5779D1">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7BC5CE1D">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81" w:type="pct"/>
                  <w:vMerge w:val="continue"/>
                  <w:vAlign w:val="center"/>
                </w:tcPr>
                <w:p w14:paraId="4D4B6190">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69" w:type="pct"/>
                  <w:vMerge w:val="continue"/>
                  <w:vAlign w:val="center"/>
                </w:tcPr>
                <w:p w14:paraId="63829FEA">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5F09BBB7">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vAlign w:val="center"/>
                </w:tcPr>
                <w:p w14:paraId="260DAD0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10" w:type="pct"/>
                  <w:vMerge w:val="continue"/>
                  <w:vAlign w:val="center"/>
                </w:tcPr>
                <w:p w14:paraId="40B9373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74B2E6D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02FD5B1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7C50AC9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6D6909F7">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3425E69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49.29</w:t>
                  </w:r>
                </w:p>
              </w:tc>
              <w:tc>
                <w:tcPr>
                  <w:tcW w:w="416" w:type="pct"/>
                  <w:vAlign w:val="center"/>
                </w:tcPr>
                <w:p w14:paraId="5C3F51A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64.62</w:t>
                  </w:r>
                </w:p>
              </w:tc>
              <w:tc>
                <w:tcPr>
                  <w:tcW w:w="251" w:type="pct"/>
                  <w:vMerge w:val="continue"/>
                  <w:vAlign w:val="center"/>
                </w:tcPr>
                <w:p w14:paraId="3CEE1B9F">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0F343E8E">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0F9BD7CA">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44.62</w:t>
                  </w:r>
                </w:p>
              </w:tc>
              <w:tc>
                <w:tcPr>
                  <w:tcW w:w="396" w:type="pct"/>
                  <w:vAlign w:val="center"/>
                </w:tcPr>
                <w:p w14:paraId="6391ED11">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047F05F0">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vAlign w:val="center"/>
                </w:tcPr>
                <w:p w14:paraId="5A5AF6F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69" w:type="pct"/>
                  <w:vMerge w:val="continue"/>
                  <w:vAlign w:val="center"/>
                </w:tcPr>
                <w:p w14:paraId="28B8143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03A15876">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vAlign w:val="center"/>
                </w:tcPr>
                <w:p w14:paraId="3DFB387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10" w:type="pct"/>
                  <w:vMerge w:val="continue"/>
                  <w:vAlign w:val="center"/>
                </w:tcPr>
                <w:p w14:paraId="0FA827D0">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340D5080">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1B6718E9">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02237907">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0FCEC6B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0565717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211.88</w:t>
                  </w:r>
                </w:p>
              </w:tc>
              <w:tc>
                <w:tcPr>
                  <w:tcW w:w="416" w:type="pct"/>
                  <w:vAlign w:val="center"/>
                </w:tcPr>
                <w:p w14:paraId="28CD776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64.12</w:t>
                  </w:r>
                </w:p>
              </w:tc>
              <w:tc>
                <w:tcPr>
                  <w:tcW w:w="251" w:type="pct"/>
                  <w:vMerge w:val="continue"/>
                  <w:vAlign w:val="center"/>
                </w:tcPr>
                <w:p w14:paraId="4CABAD59">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0B1E18EE">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173F1704">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44.12</w:t>
                  </w:r>
                </w:p>
              </w:tc>
              <w:tc>
                <w:tcPr>
                  <w:tcW w:w="396" w:type="pct"/>
                  <w:vAlign w:val="center"/>
                </w:tcPr>
                <w:p w14:paraId="0D509007">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35D35C77">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restart"/>
                  <w:shd w:val="clear" w:color="auto" w:fill="auto"/>
                  <w:vAlign w:val="center"/>
                </w:tcPr>
                <w:p w14:paraId="12C8C89A">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w:t>
                  </w:r>
                </w:p>
              </w:tc>
              <w:tc>
                <w:tcPr>
                  <w:tcW w:w="269" w:type="pct"/>
                  <w:vMerge w:val="continue"/>
                  <w:vAlign w:val="center"/>
                </w:tcPr>
                <w:p w14:paraId="06F5B46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restart"/>
                  <w:shd w:val="clear" w:color="auto" w:fill="auto"/>
                  <w:vAlign w:val="center"/>
                </w:tcPr>
                <w:p w14:paraId="37889F92">
                  <w:pPr>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装取料机</w:t>
                  </w:r>
                </w:p>
              </w:tc>
              <w:tc>
                <w:tcPr>
                  <w:tcW w:w="299" w:type="pct"/>
                  <w:vMerge w:val="restart"/>
                  <w:shd w:val="clear" w:color="auto" w:fill="auto"/>
                  <w:vAlign w:val="center"/>
                </w:tcPr>
                <w:p w14:paraId="7B8EB837">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1</w:t>
                  </w:r>
                </w:p>
              </w:tc>
              <w:tc>
                <w:tcPr>
                  <w:tcW w:w="410" w:type="pct"/>
                  <w:vMerge w:val="restart"/>
                  <w:vAlign w:val="center"/>
                </w:tcPr>
                <w:p w14:paraId="36A4AF9A">
                  <w:pPr>
                    <w:widowControl/>
                    <w:spacing w:line="240" w:lineRule="auto"/>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85/1</w:t>
                  </w:r>
                </w:p>
              </w:tc>
              <w:tc>
                <w:tcPr>
                  <w:tcW w:w="437" w:type="pct"/>
                  <w:vMerge w:val="continue"/>
                  <w:vAlign w:val="center"/>
                </w:tcPr>
                <w:p w14:paraId="01F1F08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restart"/>
                  <w:vAlign w:val="center"/>
                </w:tcPr>
                <w:p w14:paraId="24CF088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15.37</w:t>
                  </w:r>
                </w:p>
              </w:tc>
              <w:tc>
                <w:tcPr>
                  <w:tcW w:w="283" w:type="pct"/>
                  <w:vMerge w:val="restart"/>
                  <w:vAlign w:val="center"/>
                </w:tcPr>
                <w:p w14:paraId="5535FBE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167.16</w:t>
                  </w:r>
                </w:p>
              </w:tc>
              <w:tc>
                <w:tcPr>
                  <w:tcW w:w="254" w:type="pct"/>
                  <w:vMerge w:val="restart"/>
                  <w:vAlign w:val="center"/>
                </w:tcPr>
                <w:p w14:paraId="7A510B5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342" w:type="pct"/>
                  <w:vAlign w:val="center"/>
                </w:tcPr>
                <w:p w14:paraId="138D9C3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32.71</w:t>
                  </w:r>
                </w:p>
              </w:tc>
              <w:tc>
                <w:tcPr>
                  <w:tcW w:w="416" w:type="pct"/>
                  <w:vAlign w:val="center"/>
                </w:tcPr>
                <w:p w14:paraId="1CBB6DC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50.20</w:t>
                  </w:r>
                </w:p>
              </w:tc>
              <w:tc>
                <w:tcPr>
                  <w:tcW w:w="251" w:type="pct"/>
                  <w:vMerge w:val="continue"/>
                  <w:vAlign w:val="center"/>
                </w:tcPr>
                <w:p w14:paraId="4096EE9D">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18FCD723">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6741D245">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30.2</w:t>
                  </w:r>
                </w:p>
              </w:tc>
              <w:tc>
                <w:tcPr>
                  <w:tcW w:w="396" w:type="pct"/>
                  <w:vAlign w:val="center"/>
                </w:tcPr>
                <w:p w14:paraId="322BB7EC">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7F381F7A">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vAlign w:val="center"/>
                </w:tcPr>
                <w:p w14:paraId="341AF2C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69" w:type="pct"/>
                  <w:vMerge w:val="continue"/>
                  <w:vAlign w:val="center"/>
                </w:tcPr>
                <w:p w14:paraId="3F054797">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4F3F30F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vAlign w:val="center"/>
                </w:tcPr>
                <w:p w14:paraId="17D4497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10" w:type="pct"/>
                  <w:vMerge w:val="continue"/>
                  <w:vAlign w:val="center"/>
                </w:tcPr>
                <w:p w14:paraId="19BC4DE0">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412E8060">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7AB58DA3">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72A95F8A">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1711422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0AA2F8A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23.40</w:t>
                  </w:r>
                </w:p>
              </w:tc>
              <w:tc>
                <w:tcPr>
                  <w:tcW w:w="416" w:type="pct"/>
                  <w:vAlign w:val="center"/>
                </w:tcPr>
                <w:p w14:paraId="18FC946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51.04</w:t>
                  </w:r>
                </w:p>
              </w:tc>
              <w:tc>
                <w:tcPr>
                  <w:tcW w:w="251" w:type="pct"/>
                  <w:vMerge w:val="continue"/>
                  <w:vAlign w:val="center"/>
                </w:tcPr>
                <w:p w14:paraId="47AC9A63">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2209E547">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21249389">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31.04</w:t>
                  </w:r>
                </w:p>
              </w:tc>
              <w:tc>
                <w:tcPr>
                  <w:tcW w:w="396" w:type="pct"/>
                  <w:vAlign w:val="center"/>
                </w:tcPr>
                <w:p w14:paraId="2473FBC5">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371C1A02">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vAlign w:val="center"/>
                </w:tcPr>
                <w:p w14:paraId="51F7BC6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69" w:type="pct"/>
                  <w:vMerge w:val="continue"/>
                  <w:vAlign w:val="center"/>
                </w:tcPr>
                <w:p w14:paraId="659AAC1A">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02321EC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vAlign w:val="center"/>
                </w:tcPr>
                <w:p w14:paraId="2D86B286">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10" w:type="pct"/>
                  <w:vMerge w:val="continue"/>
                  <w:vAlign w:val="center"/>
                </w:tcPr>
                <w:p w14:paraId="4AE1F57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2475BA96">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06C8F030">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3CEBD19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6D4691AA">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278B006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72.49</w:t>
                  </w:r>
                </w:p>
              </w:tc>
              <w:tc>
                <w:tcPr>
                  <w:tcW w:w="416" w:type="pct"/>
                  <w:vAlign w:val="center"/>
                </w:tcPr>
                <w:p w14:paraId="393F572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49.34</w:t>
                  </w:r>
                </w:p>
              </w:tc>
              <w:tc>
                <w:tcPr>
                  <w:tcW w:w="251" w:type="pct"/>
                  <w:vMerge w:val="continue"/>
                  <w:vAlign w:val="center"/>
                </w:tcPr>
                <w:p w14:paraId="0A801D9C">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5E566FBD">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28FB5447">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29.34</w:t>
                  </w:r>
                </w:p>
              </w:tc>
              <w:tc>
                <w:tcPr>
                  <w:tcW w:w="396" w:type="pct"/>
                  <w:vAlign w:val="center"/>
                </w:tcPr>
                <w:p w14:paraId="71FADD83">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60488AB8">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vAlign w:val="center"/>
                </w:tcPr>
                <w:p w14:paraId="10A50D3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69" w:type="pct"/>
                  <w:vMerge w:val="continue"/>
                  <w:vAlign w:val="center"/>
                </w:tcPr>
                <w:p w14:paraId="4BD22911">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1126457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vAlign w:val="center"/>
                </w:tcPr>
                <w:p w14:paraId="4E0B0453">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10" w:type="pct"/>
                  <w:vMerge w:val="continue"/>
                  <w:vAlign w:val="center"/>
                </w:tcPr>
                <w:p w14:paraId="7580525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7ECF4AB8">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7978094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0C552B6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45AF7A20">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7826738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173.71</w:t>
                  </w:r>
                </w:p>
              </w:tc>
              <w:tc>
                <w:tcPr>
                  <w:tcW w:w="416" w:type="pct"/>
                  <w:vAlign w:val="center"/>
                </w:tcPr>
                <w:p w14:paraId="4F6E6D3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49.14</w:t>
                  </w:r>
                </w:p>
              </w:tc>
              <w:tc>
                <w:tcPr>
                  <w:tcW w:w="251" w:type="pct"/>
                  <w:vMerge w:val="continue"/>
                  <w:vAlign w:val="center"/>
                </w:tcPr>
                <w:p w14:paraId="2D95ADC5">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72FEF65B">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2E9829E1">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29.14</w:t>
                  </w:r>
                </w:p>
              </w:tc>
              <w:tc>
                <w:tcPr>
                  <w:tcW w:w="396" w:type="pct"/>
                  <w:vAlign w:val="center"/>
                </w:tcPr>
                <w:p w14:paraId="043053EA">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4D03BB3E">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vAlign w:val="center"/>
                </w:tcPr>
                <w:p w14:paraId="7EA2E3F3">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69" w:type="pct"/>
                  <w:vMerge w:val="continue"/>
                  <w:vAlign w:val="center"/>
                </w:tcPr>
                <w:p w14:paraId="4BE2144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630614D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vAlign w:val="center"/>
                </w:tcPr>
                <w:p w14:paraId="6A94D79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10" w:type="pct"/>
                  <w:vMerge w:val="continue"/>
                  <w:vAlign w:val="center"/>
                </w:tcPr>
                <w:p w14:paraId="284981E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4F2F3A6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72D63B3A">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75E5491A">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6C2E49F7">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26EDA30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39.47</w:t>
                  </w:r>
                </w:p>
              </w:tc>
              <w:tc>
                <w:tcPr>
                  <w:tcW w:w="416" w:type="pct"/>
                  <w:vAlign w:val="center"/>
                </w:tcPr>
                <w:p w14:paraId="4BB204D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49.88</w:t>
                  </w:r>
                </w:p>
              </w:tc>
              <w:tc>
                <w:tcPr>
                  <w:tcW w:w="251" w:type="pct"/>
                  <w:vMerge w:val="continue"/>
                  <w:vAlign w:val="center"/>
                </w:tcPr>
                <w:p w14:paraId="146396F3">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5A79AD27">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1DF16FF8">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29.88</w:t>
                  </w:r>
                </w:p>
              </w:tc>
              <w:tc>
                <w:tcPr>
                  <w:tcW w:w="396" w:type="pct"/>
                  <w:vAlign w:val="center"/>
                </w:tcPr>
                <w:p w14:paraId="47ADF089">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4C3CB533">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vAlign w:val="center"/>
                </w:tcPr>
                <w:p w14:paraId="264B55C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69" w:type="pct"/>
                  <w:vMerge w:val="continue"/>
                  <w:vAlign w:val="center"/>
                </w:tcPr>
                <w:p w14:paraId="797056C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604D544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vAlign w:val="center"/>
                </w:tcPr>
                <w:p w14:paraId="121C3090">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10" w:type="pct"/>
                  <w:vMerge w:val="continue"/>
                  <w:vAlign w:val="center"/>
                </w:tcPr>
                <w:p w14:paraId="5791943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5206DEF0">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5C3BEB2B">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0BAA09DA">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1B47024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43384C4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211.08</w:t>
                  </w:r>
                </w:p>
              </w:tc>
              <w:tc>
                <w:tcPr>
                  <w:tcW w:w="416" w:type="pct"/>
                  <w:vAlign w:val="center"/>
                </w:tcPr>
                <w:p w14:paraId="4BB1375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49.12</w:t>
                  </w:r>
                </w:p>
              </w:tc>
              <w:tc>
                <w:tcPr>
                  <w:tcW w:w="251" w:type="pct"/>
                  <w:vMerge w:val="continue"/>
                  <w:vAlign w:val="center"/>
                </w:tcPr>
                <w:p w14:paraId="1A3E583D">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34A9B2ED">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1911B914">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29.12</w:t>
                  </w:r>
                </w:p>
              </w:tc>
              <w:tc>
                <w:tcPr>
                  <w:tcW w:w="396" w:type="pct"/>
                  <w:vAlign w:val="center"/>
                </w:tcPr>
                <w:p w14:paraId="36D038B0">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630F8B62">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restart"/>
                  <w:shd w:val="clear" w:color="auto" w:fill="auto"/>
                  <w:vAlign w:val="center"/>
                </w:tcPr>
                <w:p w14:paraId="47EAB671">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3</w:t>
                  </w:r>
                </w:p>
              </w:tc>
              <w:tc>
                <w:tcPr>
                  <w:tcW w:w="269" w:type="pct"/>
                  <w:vMerge w:val="continue"/>
                  <w:vAlign w:val="center"/>
                </w:tcPr>
                <w:p w14:paraId="5AF156C0">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restart"/>
                  <w:shd w:val="clear" w:color="auto" w:fill="auto"/>
                  <w:vAlign w:val="center"/>
                </w:tcPr>
                <w:p w14:paraId="022F8903">
                  <w:pPr>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电</w:t>
                  </w:r>
                  <w:r>
                    <w:rPr>
                      <w:rFonts w:hint="eastAsia" w:cs="Times New Roman"/>
                      <w:color w:val="auto"/>
                      <w:sz w:val="21"/>
                      <w:szCs w:val="21"/>
                      <w:highlight w:val="none"/>
                      <w:lang w:val="en-US" w:eastAsia="zh-CN"/>
                    </w:rPr>
                    <w:t>加热</w:t>
                  </w:r>
                  <w:r>
                    <w:rPr>
                      <w:rFonts w:hint="default" w:ascii="Times New Roman" w:hAnsi="Times New Roman" w:eastAsia="宋体" w:cs="Times New Roman"/>
                      <w:color w:val="auto"/>
                      <w:sz w:val="21"/>
                      <w:szCs w:val="21"/>
                      <w:highlight w:val="none"/>
                    </w:rPr>
                    <w:t>炉</w:t>
                  </w:r>
                  <w:r>
                    <w:rPr>
                      <w:rFonts w:hint="eastAsia" w:cs="Times New Roman"/>
                      <w:color w:val="auto"/>
                      <w:sz w:val="21"/>
                      <w:szCs w:val="21"/>
                      <w:highlight w:val="none"/>
                      <w:lang w:val="en-US" w:eastAsia="zh-CN"/>
                    </w:rPr>
                    <w:t>/电回火炉/电热处理炉</w:t>
                  </w:r>
                </w:p>
              </w:tc>
              <w:tc>
                <w:tcPr>
                  <w:tcW w:w="299" w:type="pct"/>
                  <w:vMerge w:val="restart"/>
                  <w:shd w:val="clear" w:color="auto" w:fill="auto"/>
                  <w:vAlign w:val="center"/>
                </w:tcPr>
                <w:p w14:paraId="5D7A35E6">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9</w:t>
                  </w:r>
                </w:p>
              </w:tc>
              <w:tc>
                <w:tcPr>
                  <w:tcW w:w="410" w:type="pct"/>
                  <w:vMerge w:val="restart"/>
                  <w:vAlign w:val="center"/>
                </w:tcPr>
                <w:p w14:paraId="61C26B46">
                  <w:pPr>
                    <w:widowControl/>
                    <w:spacing w:line="240" w:lineRule="auto"/>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85/1</w:t>
                  </w:r>
                </w:p>
              </w:tc>
              <w:tc>
                <w:tcPr>
                  <w:tcW w:w="437" w:type="pct"/>
                  <w:vMerge w:val="continue"/>
                  <w:vAlign w:val="center"/>
                </w:tcPr>
                <w:p w14:paraId="32B934D1">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restart"/>
                  <w:vAlign w:val="center"/>
                </w:tcPr>
                <w:p w14:paraId="377EACB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54</w:t>
                  </w:r>
                </w:p>
              </w:tc>
              <w:tc>
                <w:tcPr>
                  <w:tcW w:w="283" w:type="pct"/>
                  <w:vMerge w:val="restart"/>
                  <w:vAlign w:val="center"/>
                </w:tcPr>
                <w:p w14:paraId="0F22A15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164.41</w:t>
                  </w:r>
                </w:p>
              </w:tc>
              <w:tc>
                <w:tcPr>
                  <w:tcW w:w="254" w:type="pct"/>
                  <w:vMerge w:val="restart"/>
                  <w:vAlign w:val="center"/>
                </w:tcPr>
                <w:p w14:paraId="690D270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342" w:type="pct"/>
                  <w:vAlign w:val="center"/>
                </w:tcPr>
                <w:p w14:paraId="0CE5DBE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24.31</w:t>
                  </w:r>
                </w:p>
              </w:tc>
              <w:tc>
                <w:tcPr>
                  <w:tcW w:w="416" w:type="pct"/>
                  <w:vAlign w:val="center"/>
                </w:tcPr>
                <w:p w14:paraId="6D410B7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55.93</w:t>
                  </w:r>
                </w:p>
              </w:tc>
              <w:tc>
                <w:tcPr>
                  <w:tcW w:w="251" w:type="pct"/>
                  <w:vMerge w:val="continue"/>
                  <w:vAlign w:val="center"/>
                </w:tcPr>
                <w:p w14:paraId="7D0D9BC4">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2B49CD43">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61F41589">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35.93</w:t>
                  </w:r>
                </w:p>
              </w:tc>
              <w:tc>
                <w:tcPr>
                  <w:tcW w:w="396" w:type="pct"/>
                  <w:vAlign w:val="center"/>
                </w:tcPr>
                <w:p w14:paraId="0A057C5E">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7F0B6FAE">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vAlign w:val="center"/>
                </w:tcPr>
                <w:p w14:paraId="5F9690E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69" w:type="pct"/>
                  <w:vMerge w:val="continue"/>
                  <w:vAlign w:val="center"/>
                </w:tcPr>
                <w:p w14:paraId="775DF51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shd w:val="clear" w:color="auto" w:fill="auto"/>
                  <w:vAlign w:val="center"/>
                </w:tcPr>
                <w:p w14:paraId="78CD49F0">
                  <w:pPr>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299" w:type="pct"/>
                  <w:vMerge w:val="continue"/>
                  <w:shd w:val="clear" w:color="auto" w:fill="auto"/>
                  <w:vAlign w:val="center"/>
                </w:tcPr>
                <w:p w14:paraId="438E6DBC">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410" w:type="pct"/>
                  <w:vMerge w:val="continue"/>
                  <w:vAlign w:val="center"/>
                </w:tcPr>
                <w:p w14:paraId="2DC751A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00E9F100">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17B059F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3CC1BCF0">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6B8D149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4D0E648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61.21</w:t>
                  </w:r>
                </w:p>
              </w:tc>
              <w:tc>
                <w:tcPr>
                  <w:tcW w:w="416" w:type="pct"/>
                  <w:vAlign w:val="center"/>
                </w:tcPr>
                <w:p w14:paraId="114CC8A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54.44</w:t>
                  </w:r>
                </w:p>
              </w:tc>
              <w:tc>
                <w:tcPr>
                  <w:tcW w:w="251" w:type="pct"/>
                  <w:vMerge w:val="continue"/>
                  <w:vAlign w:val="center"/>
                </w:tcPr>
                <w:p w14:paraId="48A1B53D">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154CED0B">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63971E7D">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34.44</w:t>
                  </w:r>
                </w:p>
              </w:tc>
              <w:tc>
                <w:tcPr>
                  <w:tcW w:w="396" w:type="pct"/>
                  <w:vAlign w:val="center"/>
                </w:tcPr>
                <w:p w14:paraId="1B5EEEB8">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0F1717BD">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vAlign w:val="center"/>
                </w:tcPr>
                <w:p w14:paraId="5CC39ED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69" w:type="pct"/>
                  <w:vMerge w:val="continue"/>
                  <w:vAlign w:val="center"/>
                </w:tcPr>
                <w:p w14:paraId="2708BC16">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shd w:val="clear" w:color="auto" w:fill="auto"/>
                  <w:vAlign w:val="center"/>
                </w:tcPr>
                <w:p w14:paraId="6E9D34DD">
                  <w:pPr>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299" w:type="pct"/>
                  <w:vMerge w:val="continue"/>
                  <w:shd w:val="clear" w:color="auto" w:fill="auto"/>
                  <w:vAlign w:val="center"/>
                </w:tcPr>
                <w:p w14:paraId="7D3EE1B2">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410" w:type="pct"/>
                  <w:vMerge w:val="continue"/>
                  <w:vAlign w:val="center"/>
                </w:tcPr>
                <w:p w14:paraId="6F1EFC09">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6D6A6E11">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27FCF483">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67C7E7F0">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6E774610">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25194C7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80.22</w:t>
                  </w:r>
                </w:p>
              </w:tc>
              <w:tc>
                <w:tcPr>
                  <w:tcW w:w="416" w:type="pct"/>
                  <w:vAlign w:val="center"/>
                </w:tcPr>
                <w:p w14:paraId="1282867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54.30</w:t>
                  </w:r>
                </w:p>
              </w:tc>
              <w:tc>
                <w:tcPr>
                  <w:tcW w:w="251" w:type="pct"/>
                  <w:vMerge w:val="continue"/>
                  <w:vAlign w:val="center"/>
                </w:tcPr>
                <w:p w14:paraId="666699AC">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6731629B">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3755A0C7">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34.3</w:t>
                  </w:r>
                </w:p>
              </w:tc>
              <w:tc>
                <w:tcPr>
                  <w:tcW w:w="396" w:type="pct"/>
                  <w:vAlign w:val="center"/>
                </w:tcPr>
                <w:p w14:paraId="2FEFD6A7">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5DD3DA52">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vAlign w:val="center"/>
                </w:tcPr>
                <w:p w14:paraId="54F78B2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69" w:type="pct"/>
                  <w:vMerge w:val="continue"/>
                  <w:vAlign w:val="center"/>
                </w:tcPr>
                <w:p w14:paraId="7933C333">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shd w:val="clear" w:color="auto" w:fill="auto"/>
                  <w:vAlign w:val="center"/>
                </w:tcPr>
                <w:p w14:paraId="2C49AC9E">
                  <w:pPr>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299" w:type="pct"/>
                  <w:vMerge w:val="continue"/>
                  <w:shd w:val="clear" w:color="auto" w:fill="auto"/>
                  <w:vAlign w:val="center"/>
                </w:tcPr>
                <w:p w14:paraId="06D41380">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410" w:type="pct"/>
                  <w:vMerge w:val="continue"/>
                  <w:vAlign w:val="center"/>
                </w:tcPr>
                <w:p w14:paraId="07F50AC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55C9630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0C026EFB">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51768F33">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6F584AC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74E3F1F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136.01</w:t>
                  </w:r>
                </w:p>
              </w:tc>
              <w:tc>
                <w:tcPr>
                  <w:tcW w:w="416" w:type="pct"/>
                  <w:vAlign w:val="center"/>
                </w:tcPr>
                <w:p w14:paraId="1605096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54.17</w:t>
                  </w:r>
                </w:p>
              </w:tc>
              <w:tc>
                <w:tcPr>
                  <w:tcW w:w="251" w:type="pct"/>
                  <w:vMerge w:val="continue"/>
                  <w:vAlign w:val="center"/>
                </w:tcPr>
                <w:p w14:paraId="34EA0334">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6ECCFB01">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143D5BA9">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34.17</w:t>
                  </w:r>
                </w:p>
              </w:tc>
              <w:tc>
                <w:tcPr>
                  <w:tcW w:w="396" w:type="pct"/>
                  <w:vAlign w:val="center"/>
                </w:tcPr>
                <w:p w14:paraId="5521FC61">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1A3317BA">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vAlign w:val="center"/>
                </w:tcPr>
                <w:p w14:paraId="530F777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69" w:type="pct"/>
                  <w:vMerge w:val="continue"/>
                  <w:vAlign w:val="center"/>
                </w:tcPr>
                <w:p w14:paraId="1E29220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5264E8A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vAlign w:val="center"/>
                </w:tcPr>
                <w:p w14:paraId="18EADDA4">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410" w:type="pct"/>
                  <w:vMerge w:val="continue"/>
                  <w:vAlign w:val="center"/>
                </w:tcPr>
                <w:p w14:paraId="7E2331B8">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5501963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04D5319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1DDCCFDA">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2A55594A">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469C525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47.61</w:t>
                  </w:r>
                </w:p>
              </w:tc>
              <w:tc>
                <w:tcPr>
                  <w:tcW w:w="416" w:type="pct"/>
                  <w:vAlign w:val="center"/>
                </w:tcPr>
                <w:p w14:paraId="6367431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54.65</w:t>
                  </w:r>
                </w:p>
              </w:tc>
              <w:tc>
                <w:tcPr>
                  <w:tcW w:w="251" w:type="pct"/>
                  <w:vMerge w:val="continue"/>
                  <w:vAlign w:val="center"/>
                </w:tcPr>
                <w:p w14:paraId="0D0C3960">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74C19256">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1BFCDE7F">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34.65</w:t>
                  </w:r>
                </w:p>
              </w:tc>
              <w:tc>
                <w:tcPr>
                  <w:tcW w:w="396" w:type="pct"/>
                  <w:vAlign w:val="center"/>
                </w:tcPr>
                <w:p w14:paraId="63B31A36">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2AF0B93B">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vAlign w:val="center"/>
                </w:tcPr>
                <w:p w14:paraId="2BB72260">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69" w:type="pct"/>
                  <w:vMerge w:val="continue"/>
                  <w:vAlign w:val="center"/>
                </w:tcPr>
                <w:p w14:paraId="1EFEE91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44440FF0">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vAlign w:val="center"/>
                </w:tcPr>
                <w:p w14:paraId="40146A1E">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410" w:type="pct"/>
                  <w:vMerge w:val="continue"/>
                  <w:vAlign w:val="center"/>
                </w:tcPr>
                <w:p w14:paraId="2D3D30D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4CD93E4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39E9341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13FED411">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6FEB442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61E5E89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173.01</w:t>
                  </w:r>
                </w:p>
              </w:tc>
              <w:tc>
                <w:tcPr>
                  <w:tcW w:w="416" w:type="pct"/>
                  <w:vAlign w:val="center"/>
                </w:tcPr>
                <w:p w14:paraId="4177089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54.14</w:t>
                  </w:r>
                </w:p>
              </w:tc>
              <w:tc>
                <w:tcPr>
                  <w:tcW w:w="251" w:type="pct"/>
                  <w:vMerge w:val="continue"/>
                  <w:vAlign w:val="center"/>
                </w:tcPr>
                <w:p w14:paraId="59C7C281">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7210E414">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61CC41FC">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34.14</w:t>
                  </w:r>
                </w:p>
              </w:tc>
              <w:tc>
                <w:tcPr>
                  <w:tcW w:w="396" w:type="pct"/>
                  <w:vAlign w:val="center"/>
                </w:tcPr>
                <w:p w14:paraId="3566F287">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6DFC203E">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restart"/>
                  <w:vAlign w:val="center"/>
                </w:tcPr>
                <w:p w14:paraId="1BFC3A49">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269" w:type="pct"/>
                  <w:vMerge w:val="continue"/>
                  <w:vAlign w:val="center"/>
                </w:tcPr>
                <w:p w14:paraId="1FDC0111">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restart"/>
                  <w:shd w:val="clear" w:color="auto" w:fill="auto"/>
                  <w:vAlign w:val="center"/>
                </w:tcPr>
                <w:p w14:paraId="02FAFC0B">
                  <w:pPr>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燃气加热炉</w:t>
                  </w:r>
                </w:p>
              </w:tc>
              <w:tc>
                <w:tcPr>
                  <w:tcW w:w="299" w:type="pct"/>
                  <w:vMerge w:val="restart"/>
                  <w:shd w:val="clear" w:color="auto" w:fill="auto"/>
                  <w:vAlign w:val="center"/>
                </w:tcPr>
                <w:p w14:paraId="342B7760">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3</w:t>
                  </w:r>
                </w:p>
              </w:tc>
              <w:tc>
                <w:tcPr>
                  <w:tcW w:w="410" w:type="pct"/>
                  <w:vMerge w:val="restart"/>
                  <w:vAlign w:val="center"/>
                </w:tcPr>
                <w:p w14:paraId="54828C46">
                  <w:pPr>
                    <w:widowControl/>
                    <w:spacing w:line="240" w:lineRule="auto"/>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90/1</w:t>
                  </w:r>
                </w:p>
              </w:tc>
              <w:tc>
                <w:tcPr>
                  <w:tcW w:w="437" w:type="pct"/>
                  <w:vMerge w:val="continue"/>
                  <w:vAlign w:val="center"/>
                </w:tcPr>
                <w:p w14:paraId="6F1A436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restart"/>
                  <w:vAlign w:val="center"/>
                </w:tcPr>
                <w:p w14:paraId="74E7ED3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65.35</w:t>
                  </w:r>
                </w:p>
              </w:tc>
              <w:tc>
                <w:tcPr>
                  <w:tcW w:w="283" w:type="pct"/>
                  <w:vMerge w:val="restart"/>
                  <w:vAlign w:val="center"/>
                </w:tcPr>
                <w:p w14:paraId="2DEBB92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165.07</w:t>
                  </w:r>
                </w:p>
              </w:tc>
              <w:tc>
                <w:tcPr>
                  <w:tcW w:w="254" w:type="pct"/>
                  <w:vMerge w:val="restart"/>
                  <w:vAlign w:val="center"/>
                </w:tcPr>
                <w:p w14:paraId="300536E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342" w:type="pct"/>
                  <w:vAlign w:val="center"/>
                </w:tcPr>
                <w:p w14:paraId="40BCEBD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23.29</w:t>
                  </w:r>
                </w:p>
              </w:tc>
              <w:tc>
                <w:tcPr>
                  <w:tcW w:w="416" w:type="pct"/>
                  <w:vAlign w:val="center"/>
                </w:tcPr>
                <w:p w14:paraId="361A649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59.06</w:t>
                  </w:r>
                </w:p>
              </w:tc>
              <w:tc>
                <w:tcPr>
                  <w:tcW w:w="251" w:type="pct"/>
                  <w:vMerge w:val="continue"/>
                  <w:vAlign w:val="center"/>
                </w:tcPr>
                <w:p w14:paraId="492889AD">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74887D26">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74279C7F">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39.06</w:t>
                  </w:r>
                </w:p>
              </w:tc>
              <w:tc>
                <w:tcPr>
                  <w:tcW w:w="396" w:type="pct"/>
                  <w:vAlign w:val="center"/>
                </w:tcPr>
                <w:p w14:paraId="23B4A317">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1B3E5CBA">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vAlign w:val="center"/>
                </w:tcPr>
                <w:p w14:paraId="470F854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69" w:type="pct"/>
                  <w:vMerge w:val="continue"/>
                  <w:vAlign w:val="center"/>
                </w:tcPr>
                <w:p w14:paraId="510A4B23">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5B4825B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vAlign w:val="center"/>
                </w:tcPr>
                <w:p w14:paraId="51AA6F00">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410" w:type="pct"/>
                  <w:vMerge w:val="continue"/>
                  <w:vAlign w:val="center"/>
                </w:tcPr>
                <w:p w14:paraId="7456090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5B1F9920">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18F73F8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369EDDB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59022EA0">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1EFD54A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72.54</w:t>
                  </w:r>
                </w:p>
              </w:tc>
              <w:tc>
                <w:tcPr>
                  <w:tcW w:w="416" w:type="pct"/>
                  <w:vAlign w:val="center"/>
                </w:tcPr>
                <w:p w14:paraId="3C5DF3D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57.34</w:t>
                  </w:r>
                </w:p>
              </w:tc>
              <w:tc>
                <w:tcPr>
                  <w:tcW w:w="251" w:type="pct"/>
                  <w:vMerge w:val="continue"/>
                  <w:vAlign w:val="center"/>
                </w:tcPr>
                <w:p w14:paraId="776B80CD">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42E3A14B">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106E6D76">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37.34</w:t>
                  </w:r>
                </w:p>
              </w:tc>
              <w:tc>
                <w:tcPr>
                  <w:tcW w:w="396" w:type="pct"/>
                  <w:vAlign w:val="center"/>
                </w:tcPr>
                <w:p w14:paraId="61D3393A">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18012AD4">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vAlign w:val="center"/>
                </w:tcPr>
                <w:p w14:paraId="0086A32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69" w:type="pct"/>
                  <w:vMerge w:val="continue"/>
                  <w:vAlign w:val="center"/>
                </w:tcPr>
                <w:p w14:paraId="25462D7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3A43752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vAlign w:val="center"/>
                </w:tcPr>
                <w:p w14:paraId="39530F5F">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410" w:type="pct"/>
                  <w:vMerge w:val="continue"/>
                  <w:vAlign w:val="center"/>
                </w:tcPr>
                <w:p w14:paraId="72680357">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01E6CB6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5155B73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6073148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771D7827">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6F1D552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81.03</w:t>
                  </w:r>
                </w:p>
              </w:tc>
              <w:tc>
                <w:tcPr>
                  <w:tcW w:w="416" w:type="pct"/>
                  <w:vAlign w:val="center"/>
                </w:tcPr>
                <w:p w14:paraId="4816466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57.29</w:t>
                  </w:r>
                </w:p>
              </w:tc>
              <w:tc>
                <w:tcPr>
                  <w:tcW w:w="251" w:type="pct"/>
                  <w:vMerge w:val="continue"/>
                  <w:vAlign w:val="center"/>
                </w:tcPr>
                <w:p w14:paraId="5298B6C7">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192FE909">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26ADD64F">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37.29</w:t>
                  </w:r>
                </w:p>
              </w:tc>
              <w:tc>
                <w:tcPr>
                  <w:tcW w:w="396" w:type="pct"/>
                  <w:vAlign w:val="center"/>
                </w:tcPr>
                <w:p w14:paraId="779522C5">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15425171">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vAlign w:val="center"/>
                </w:tcPr>
                <w:p w14:paraId="691D951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69" w:type="pct"/>
                  <w:vMerge w:val="continue"/>
                  <w:vAlign w:val="center"/>
                </w:tcPr>
                <w:p w14:paraId="4A8D9BD8">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2EC29E3A">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vAlign w:val="center"/>
                </w:tcPr>
                <w:p w14:paraId="3BE86E2C">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410" w:type="pct"/>
                  <w:vMerge w:val="continue"/>
                  <w:vAlign w:val="center"/>
                </w:tcPr>
                <w:p w14:paraId="656765F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7191CAA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1CBA4EE3">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53CB3579">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49806459">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0BF152B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124.70</w:t>
                  </w:r>
                </w:p>
              </w:tc>
              <w:tc>
                <w:tcPr>
                  <w:tcW w:w="416" w:type="pct"/>
                  <w:vAlign w:val="center"/>
                </w:tcPr>
                <w:p w14:paraId="6E69766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57.18</w:t>
                  </w:r>
                </w:p>
              </w:tc>
              <w:tc>
                <w:tcPr>
                  <w:tcW w:w="251" w:type="pct"/>
                  <w:vMerge w:val="continue"/>
                  <w:vAlign w:val="center"/>
                </w:tcPr>
                <w:p w14:paraId="46873CC2">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0A33D350">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347EFE18">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37.18</w:t>
                  </w:r>
                </w:p>
              </w:tc>
              <w:tc>
                <w:tcPr>
                  <w:tcW w:w="396" w:type="pct"/>
                  <w:vAlign w:val="center"/>
                </w:tcPr>
                <w:p w14:paraId="7B3AE16B">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0F745825">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vAlign w:val="center"/>
                </w:tcPr>
                <w:p w14:paraId="14E7BAE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69" w:type="pct"/>
                  <w:vMerge w:val="continue"/>
                  <w:vAlign w:val="center"/>
                </w:tcPr>
                <w:p w14:paraId="418EEC73">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4F8859FA">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vAlign w:val="center"/>
                </w:tcPr>
                <w:p w14:paraId="7AB5F18C">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410" w:type="pct"/>
                  <w:vMerge w:val="continue"/>
                  <w:vAlign w:val="center"/>
                </w:tcPr>
                <w:p w14:paraId="1658569B">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6871BFB3">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4F2520B9">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5B8170D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6E6C651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144D872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48.55</w:t>
                  </w:r>
                </w:p>
              </w:tc>
              <w:tc>
                <w:tcPr>
                  <w:tcW w:w="416" w:type="pct"/>
                  <w:vAlign w:val="center"/>
                </w:tcPr>
                <w:p w14:paraId="3429C9F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57.63</w:t>
                  </w:r>
                </w:p>
              </w:tc>
              <w:tc>
                <w:tcPr>
                  <w:tcW w:w="251" w:type="pct"/>
                  <w:vMerge w:val="continue"/>
                  <w:vAlign w:val="center"/>
                </w:tcPr>
                <w:p w14:paraId="397EEC13">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5AD4E9A2">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053723C1">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37.63</w:t>
                  </w:r>
                </w:p>
              </w:tc>
              <w:tc>
                <w:tcPr>
                  <w:tcW w:w="396" w:type="pct"/>
                  <w:vAlign w:val="center"/>
                </w:tcPr>
                <w:p w14:paraId="4F3CFBD7">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35A34818">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vAlign w:val="center"/>
                </w:tcPr>
                <w:p w14:paraId="11C4BD8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69" w:type="pct"/>
                  <w:vMerge w:val="continue"/>
                  <w:vAlign w:val="center"/>
                </w:tcPr>
                <w:p w14:paraId="668ED1E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55F4F4C8">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vAlign w:val="center"/>
                </w:tcPr>
                <w:p w14:paraId="4BDE0744">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410" w:type="pct"/>
                  <w:vMerge w:val="continue"/>
                  <w:vAlign w:val="center"/>
                </w:tcPr>
                <w:p w14:paraId="5CE50673">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77CB7F73">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627C319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37628EA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6F86CD6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5955E89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161.66</w:t>
                  </w:r>
                </w:p>
              </w:tc>
              <w:tc>
                <w:tcPr>
                  <w:tcW w:w="416" w:type="pct"/>
                  <w:vAlign w:val="center"/>
                </w:tcPr>
                <w:p w14:paraId="246AE89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57.15</w:t>
                  </w:r>
                </w:p>
              </w:tc>
              <w:tc>
                <w:tcPr>
                  <w:tcW w:w="251" w:type="pct"/>
                  <w:vMerge w:val="continue"/>
                  <w:vAlign w:val="center"/>
                </w:tcPr>
                <w:p w14:paraId="66FB1831">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44037893">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68AC2C18">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37.15</w:t>
                  </w:r>
                </w:p>
              </w:tc>
              <w:tc>
                <w:tcPr>
                  <w:tcW w:w="396" w:type="pct"/>
                  <w:vAlign w:val="center"/>
                </w:tcPr>
                <w:p w14:paraId="5438599C">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12C73AB1">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restart"/>
                  <w:shd w:val="clear" w:color="auto" w:fill="auto"/>
                  <w:vAlign w:val="center"/>
                </w:tcPr>
                <w:p w14:paraId="31C941FB">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5</w:t>
                  </w:r>
                </w:p>
              </w:tc>
              <w:tc>
                <w:tcPr>
                  <w:tcW w:w="269" w:type="pct"/>
                  <w:vMerge w:val="continue"/>
                  <w:vAlign w:val="center"/>
                </w:tcPr>
                <w:p w14:paraId="3CC921D7">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restart"/>
                  <w:shd w:val="clear" w:color="auto" w:fill="auto"/>
                  <w:vAlign w:val="center"/>
                </w:tcPr>
                <w:p w14:paraId="40FD081B">
                  <w:pPr>
                    <w:widowControl/>
                    <w:spacing w:line="240" w:lineRule="auto"/>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燃气回火炉</w:t>
                  </w:r>
                </w:p>
              </w:tc>
              <w:tc>
                <w:tcPr>
                  <w:tcW w:w="299" w:type="pct"/>
                  <w:vMerge w:val="restart"/>
                  <w:shd w:val="clear" w:color="auto" w:fill="auto"/>
                  <w:vAlign w:val="center"/>
                </w:tcPr>
                <w:p w14:paraId="430D8663">
                  <w:pPr>
                    <w:widowControl/>
                    <w:spacing w:line="240" w:lineRule="auto"/>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410" w:type="pct"/>
                  <w:vMerge w:val="restart"/>
                  <w:vAlign w:val="center"/>
                </w:tcPr>
                <w:p w14:paraId="5519B4EC">
                  <w:pPr>
                    <w:widowControl/>
                    <w:spacing w:line="240" w:lineRule="auto"/>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90/1</w:t>
                  </w:r>
                </w:p>
              </w:tc>
              <w:tc>
                <w:tcPr>
                  <w:tcW w:w="437" w:type="pct"/>
                  <w:vMerge w:val="continue"/>
                  <w:vAlign w:val="center"/>
                </w:tcPr>
                <w:p w14:paraId="6B3341D7">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restart"/>
                  <w:vAlign w:val="center"/>
                </w:tcPr>
                <w:p w14:paraId="6F2D226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36.88</w:t>
                  </w:r>
                </w:p>
              </w:tc>
              <w:tc>
                <w:tcPr>
                  <w:tcW w:w="283" w:type="pct"/>
                  <w:vMerge w:val="restart"/>
                  <w:vAlign w:val="center"/>
                </w:tcPr>
                <w:p w14:paraId="1FEC61B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229.94</w:t>
                  </w:r>
                </w:p>
              </w:tc>
              <w:tc>
                <w:tcPr>
                  <w:tcW w:w="254" w:type="pct"/>
                  <w:vMerge w:val="restart"/>
                  <w:vAlign w:val="center"/>
                </w:tcPr>
                <w:p w14:paraId="31D981C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342" w:type="pct"/>
                  <w:vAlign w:val="center"/>
                </w:tcPr>
                <w:p w14:paraId="5D80F78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91.64</w:t>
                  </w:r>
                </w:p>
              </w:tc>
              <w:tc>
                <w:tcPr>
                  <w:tcW w:w="416" w:type="pct"/>
                  <w:vAlign w:val="center"/>
                </w:tcPr>
                <w:p w14:paraId="5827A35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54.25</w:t>
                  </w:r>
                </w:p>
              </w:tc>
              <w:tc>
                <w:tcPr>
                  <w:tcW w:w="251" w:type="pct"/>
                  <w:vMerge w:val="continue"/>
                  <w:vAlign w:val="center"/>
                </w:tcPr>
                <w:p w14:paraId="07039ACA">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58737498">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14DB11A4">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34.25</w:t>
                  </w:r>
                </w:p>
              </w:tc>
              <w:tc>
                <w:tcPr>
                  <w:tcW w:w="396" w:type="pct"/>
                  <w:vAlign w:val="center"/>
                </w:tcPr>
                <w:p w14:paraId="20185892">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7F776709">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vAlign w:val="center"/>
                </w:tcPr>
                <w:p w14:paraId="6723590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69" w:type="pct"/>
                  <w:vMerge w:val="continue"/>
                  <w:vAlign w:val="center"/>
                </w:tcPr>
                <w:p w14:paraId="55E13C3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1EDB683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vAlign w:val="center"/>
                </w:tcPr>
                <w:p w14:paraId="05A3C2E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10" w:type="pct"/>
                  <w:vMerge w:val="continue"/>
                  <w:vAlign w:val="center"/>
                </w:tcPr>
                <w:p w14:paraId="289B824A">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608C0CF1">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77B5B94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2A04A0D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289AD48B">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7C7699B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53.84</w:t>
                  </w:r>
                </w:p>
              </w:tc>
              <w:tc>
                <w:tcPr>
                  <w:tcW w:w="416" w:type="pct"/>
                  <w:vAlign w:val="center"/>
                </w:tcPr>
                <w:p w14:paraId="5B99995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54.54</w:t>
                  </w:r>
                </w:p>
              </w:tc>
              <w:tc>
                <w:tcPr>
                  <w:tcW w:w="251" w:type="pct"/>
                  <w:vMerge w:val="continue"/>
                  <w:vAlign w:val="center"/>
                </w:tcPr>
                <w:p w14:paraId="6B6A40A4">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2835C9D8">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24CCAC08">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34.54</w:t>
                  </w:r>
                </w:p>
              </w:tc>
              <w:tc>
                <w:tcPr>
                  <w:tcW w:w="396" w:type="pct"/>
                  <w:vAlign w:val="center"/>
                </w:tcPr>
                <w:p w14:paraId="3E9CD071">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223C9BA3">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vAlign w:val="center"/>
                </w:tcPr>
                <w:p w14:paraId="7EB586B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69" w:type="pct"/>
                  <w:vMerge w:val="continue"/>
                  <w:vAlign w:val="center"/>
                </w:tcPr>
                <w:p w14:paraId="6E20DC2B">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3A6C2EA0">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vAlign w:val="center"/>
                </w:tcPr>
                <w:p w14:paraId="5AAFD09A">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10" w:type="pct"/>
                  <w:vMerge w:val="continue"/>
                  <w:vAlign w:val="center"/>
                </w:tcPr>
                <w:p w14:paraId="46CCD048">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56FBB78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2AF75C76">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29AF471A">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5895D9B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275A6AA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13.02</w:t>
                  </w:r>
                </w:p>
              </w:tc>
              <w:tc>
                <w:tcPr>
                  <w:tcW w:w="416" w:type="pct"/>
                  <w:vAlign w:val="center"/>
                </w:tcPr>
                <w:p w14:paraId="401C01A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58.61</w:t>
                  </w:r>
                </w:p>
              </w:tc>
              <w:tc>
                <w:tcPr>
                  <w:tcW w:w="251" w:type="pct"/>
                  <w:vMerge w:val="continue"/>
                  <w:vAlign w:val="center"/>
                </w:tcPr>
                <w:p w14:paraId="2BC3873F">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3F306D53">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6C65601F">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38.61</w:t>
                  </w:r>
                </w:p>
              </w:tc>
              <w:tc>
                <w:tcPr>
                  <w:tcW w:w="396" w:type="pct"/>
                  <w:vAlign w:val="center"/>
                </w:tcPr>
                <w:p w14:paraId="0010A758">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713D7A3F">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vAlign w:val="center"/>
                </w:tcPr>
                <w:p w14:paraId="79DB61B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69" w:type="pct"/>
                  <w:vMerge w:val="continue"/>
                  <w:vAlign w:val="center"/>
                </w:tcPr>
                <w:p w14:paraId="3FA7F67A">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16019D9B">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vAlign w:val="center"/>
                </w:tcPr>
                <w:p w14:paraId="5385A77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10" w:type="pct"/>
                  <w:vMerge w:val="continue"/>
                  <w:vAlign w:val="center"/>
                </w:tcPr>
                <w:p w14:paraId="1908A911">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648879EB">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26A6CECA">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3A443DA9">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2476E39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4DA70DD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142.48</w:t>
                  </w:r>
                </w:p>
              </w:tc>
              <w:tc>
                <w:tcPr>
                  <w:tcW w:w="416" w:type="pct"/>
                  <w:vAlign w:val="center"/>
                </w:tcPr>
                <w:p w14:paraId="6DDFB96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54.16</w:t>
                  </w:r>
                </w:p>
              </w:tc>
              <w:tc>
                <w:tcPr>
                  <w:tcW w:w="251" w:type="pct"/>
                  <w:vMerge w:val="continue"/>
                  <w:vAlign w:val="center"/>
                </w:tcPr>
                <w:p w14:paraId="6687AD4A">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4245DCE1">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15068501">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34.16</w:t>
                  </w:r>
                </w:p>
              </w:tc>
              <w:tc>
                <w:tcPr>
                  <w:tcW w:w="396" w:type="pct"/>
                  <w:vAlign w:val="center"/>
                </w:tcPr>
                <w:p w14:paraId="7DA07239">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69F68AC9">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vAlign w:val="center"/>
                </w:tcPr>
                <w:p w14:paraId="6180646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69" w:type="pct"/>
                  <w:vMerge w:val="continue"/>
                  <w:vAlign w:val="center"/>
                </w:tcPr>
                <w:p w14:paraId="3851A889">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37E2A5D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vAlign w:val="center"/>
                </w:tcPr>
                <w:p w14:paraId="7102A0D7">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10" w:type="pct"/>
                  <w:vMerge w:val="continue"/>
                  <w:vAlign w:val="center"/>
                </w:tcPr>
                <w:p w14:paraId="1AC9F660">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1F744FDA">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003FF49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541915B1">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30679F5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7D6D1B9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19.67</w:t>
                  </w:r>
                </w:p>
              </w:tc>
              <w:tc>
                <w:tcPr>
                  <w:tcW w:w="416" w:type="pct"/>
                  <w:vAlign w:val="center"/>
                </w:tcPr>
                <w:p w14:paraId="19AFA7B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56.65</w:t>
                  </w:r>
                </w:p>
              </w:tc>
              <w:tc>
                <w:tcPr>
                  <w:tcW w:w="251" w:type="pct"/>
                  <w:vMerge w:val="continue"/>
                  <w:vAlign w:val="center"/>
                </w:tcPr>
                <w:p w14:paraId="2A9CB8FF">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51EF5495">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216C0EA4">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36.65</w:t>
                  </w:r>
                </w:p>
              </w:tc>
              <w:tc>
                <w:tcPr>
                  <w:tcW w:w="396" w:type="pct"/>
                  <w:vAlign w:val="center"/>
                </w:tcPr>
                <w:p w14:paraId="51FE33AA">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7520667E">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vAlign w:val="center"/>
                </w:tcPr>
                <w:p w14:paraId="4DB5379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69" w:type="pct"/>
                  <w:vMerge w:val="continue"/>
                  <w:vAlign w:val="center"/>
                </w:tcPr>
                <w:p w14:paraId="20435F8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4D90DFF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vAlign w:val="center"/>
                </w:tcPr>
                <w:p w14:paraId="78A2C46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10" w:type="pct"/>
                  <w:vMerge w:val="continue"/>
                  <w:vAlign w:val="center"/>
                </w:tcPr>
                <w:p w14:paraId="3E5EC7E7">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0403DC3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609037B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2AF751B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11E4E9B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74EBD2A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182.56</w:t>
                  </w:r>
                </w:p>
              </w:tc>
              <w:tc>
                <w:tcPr>
                  <w:tcW w:w="416" w:type="pct"/>
                  <w:vAlign w:val="center"/>
                </w:tcPr>
                <w:p w14:paraId="4A3E192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54.13</w:t>
                  </w:r>
                </w:p>
              </w:tc>
              <w:tc>
                <w:tcPr>
                  <w:tcW w:w="251" w:type="pct"/>
                  <w:vMerge w:val="continue"/>
                  <w:vAlign w:val="center"/>
                </w:tcPr>
                <w:p w14:paraId="1547AC3F">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6C3CB33B">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632A69C6">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34.13</w:t>
                  </w:r>
                </w:p>
              </w:tc>
              <w:tc>
                <w:tcPr>
                  <w:tcW w:w="396" w:type="pct"/>
                  <w:vAlign w:val="center"/>
                </w:tcPr>
                <w:p w14:paraId="1B47F2E1">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54F208AE">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restart"/>
                  <w:shd w:val="clear" w:color="auto" w:fill="auto"/>
                  <w:vAlign w:val="center"/>
                </w:tcPr>
                <w:p w14:paraId="63A17EC8">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6</w:t>
                  </w:r>
                </w:p>
              </w:tc>
              <w:tc>
                <w:tcPr>
                  <w:tcW w:w="269" w:type="pct"/>
                  <w:vMerge w:val="continue"/>
                  <w:vAlign w:val="center"/>
                </w:tcPr>
                <w:p w14:paraId="163F841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restart"/>
                  <w:shd w:val="clear" w:color="auto" w:fill="auto"/>
                  <w:vAlign w:val="center"/>
                </w:tcPr>
                <w:p w14:paraId="47BD03A2">
                  <w:pPr>
                    <w:widowControl/>
                    <w:spacing w:line="240" w:lineRule="auto"/>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带锯床</w:t>
                  </w:r>
                </w:p>
              </w:tc>
              <w:tc>
                <w:tcPr>
                  <w:tcW w:w="299" w:type="pct"/>
                  <w:vMerge w:val="restart"/>
                  <w:shd w:val="clear" w:color="auto" w:fill="auto"/>
                  <w:vAlign w:val="center"/>
                </w:tcPr>
                <w:p w14:paraId="0FE35E75">
                  <w:pPr>
                    <w:widowControl/>
                    <w:spacing w:line="240" w:lineRule="auto"/>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4</w:t>
                  </w:r>
                </w:p>
              </w:tc>
              <w:tc>
                <w:tcPr>
                  <w:tcW w:w="410" w:type="pct"/>
                  <w:vMerge w:val="restart"/>
                  <w:vAlign w:val="center"/>
                </w:tcPr>
                <w:p w14:paraId="29B2A737">
                  <w:pPr>
                    <w:widowControl/>
                    <w:spacing w:line="240" w:lineRule="auto"/>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90/1</w:t>
                  </w:r>
                </w:p>
              </w:tc>
              <w:tc>
                <w:tcPr>
                  <w:tcW w:w="437" w:type="pct"/>
                  <w:vMerge w:val="continue"/>
                  <w:vAlign w:val="center"/>
                </w:tcPr>
                <w:p w14:paraId="61D9544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restart"/>
                  <w:vAlign w:val="center"/>
                </w:tcPr>
                <w:p w14:paraId="5898BCC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23.31</w:t>
                  </w:r>
                </w:p>
              </w:tc>
              <w:tc>
                <w:tcPr>
                  <w:tcW w:w="283" w:type="pct"/>
                  <w:vMerge w:val="restart"/>
                  <w:vAlign w:val="center"/>
                </w:tcPr>
                <w:p w14:paraId="5977584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200.81</w:t>
                  </w:r>
                </w:p>
              </w:tc>
              <w:tc>
                <w:tcPr>
                  <w:tcW w:w="254" w:type="pct"/>
                  <w:vMerge w:val="restart"/>
                  <w:vAlign w:val="center"/>
                </w:tcPr>
                <w:p w14:paraId="36CDAC1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342" w:type="pct"/>
                  <w:vAlign w:val="center"/>
                </w:tcPr>
                <w:p w14:paraId="3C453B5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64.83</w:t>
                  </w:r>
                </w:p>
              </w:tc>
              <w:tc>
                <w:tcPr>
                  <w:tcW w:w="416" w:type="pct"/>
                  <w:vAlign w:val="center"/>
                </w:tcPr>
                <w:p w14:paraId="6477AA6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60.40</w:t>
                  </w:r>
                </w:p>
              </w:tc>
              <w:tc>
                <w:tcPr>
                  <w:tcW w:w="251" w:type="pct"/>
                  <w:vMerge w:val="continue"/>
                  <w:vAlign w:val="center"/>
                </w:tcPr>
                <w:p w14:paraId="2C4ED3B1">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778E8B66">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4319C2E1">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40.4</w:t>
                  </w:r>
                </w:p>
              </w:tc>
              <w:tc>
                <w:tcPr>
                  <w:tcW w:w="396" w:type="pct"/>
                  <w:vAlign w:val="center"/>
                </w:tcPr>
                <w:p w14:paraId="7B2112D8">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3336A3C7">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7B5D2EC5">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69" w:type="pct"/>
                  <w:vMerge w:val="continue"/>
                  <w:vAlign w:val="center"/>
                </w:tcPr>
                <w:p w14:paraId="7123E36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shd w:val="clear" w:color="auto" w:fill="auto"/>
                  <w:vAlign w:val="center"/>
                </w:tcPr>
                <w:p w14:paraId="49733870">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shd w:val="clear" w:color="auto" w:fill="auto"/>
                  <w:vAlign w:val="center"/>
                </w:tcPr>
                <w:p w14:paraId="20388D51">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410" w:type="pct"/>
                  <w:vMerge w:val="continue"/>
                  <w:vAlign w:val="center"/>
                </w:tcPr>
                <w:p w14:paraId="51C8BCE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0F51F8E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223B3876">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00DC0453">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777E78A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2E80718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36.17</w:t>
                  </w:r>
                </w:p>
              </w:tc>
              <w:tc>
                <w:tcPr>
                  <w:tcW w:w="416" w:type="pct"/>
                  <w:vAlign w:val="center"/>
                </w:tcPr>
                <w:p w14:paraId="682A3B9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61.02</w:t>
                  </w:r>
                </w:p>
              </w:tc>
              <w:tc>
                <w:tcPr>
                  <w:tcW w:w="251" w:type="pct"/>
                  <w:vMerge w:val="continue"/>
                  <w:vAlign w:val="center"/>
                </w:tcPr>
                <w:p w14:paraId="51707136">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21020C4B">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059C1C81">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41.02</w:t>
                  </w:r>
                </w:p>
              </w:tc>
              <w:tc>
                <w:tcPr>
                  <w:tcW w:w="396" w:type="pct"/>
                  <w:vAlign w:val="center"/>
                </w:tcPr>
                <w:p w14:paraId="0780EC18">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33547443">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7C374582">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69" w:type="pct"/>
                  <w:vMerge w:val="continue"/>
                  <w:vAlign w:val="center"/>
                </w:tcPr>
                <w:p w14:paraId="227A177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shd w:val="clear" w:color="auto" w:fill="auto"/>
                  <w:vAlign w:val="center"/>
                </w:tcPr>
                <w:p w14:paraId="27C0B28B">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shd w:val="clear" w:color="auto" w:fill="auto"/>
                  <w:vAlign w:val="center"/>
                </w:tcPr>
                <w:p w14:paraId="511BDB2D">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410" w:type="pct"/>
                  <w:vMerge w:val="continue"/>
                  <w:vAlign w:val="center"/>
                </w:tcPr>
                <w:p w14:paraId="76559AD6">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42DBF4E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5BC0F88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279CBF20">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65C8BF4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00C0890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40.15</w:t>
                  </w:r>
                </w:p>
              </w:tc>
              <w:tc>
                <w:tcPr>
                  <w:tcW w:w="416" w:type="pct"/>
                  <w:vAlign w:val="center"/>
                </w:tcPr>
                <w:p w14:paraId="472DB59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60.86</w:t>
                  </w:r>
                </w:p>
              </w:tc>
              <w:tc>
                <w:tcPr>
                  <w:tcW w:w="251" w:type="pct"/>
                  <w:vMerge w:val="continue"/>
                  <w:vAlign w:val="center"/>
                </w:tcPr>
                <w:p w14:paraId="1A46228E">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783A94E2">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6822DC43">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40.86</w:t>
                  </w:r>
                </w:p>
              </w:tc>
              <w:tc>
                <w:tcPr>
                  <w:tcW w:w="396" w:type="pct"/>
                  <w:vAlign w:val="center"/>
                </w:tcPr>
                <w:p w14:paraId="12BCE838">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6A332AC0">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4982E941">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69" w:type="pct"/>
                  <w:vMerge w:val="continue"/>
                  <w:vAlign w:val="center"/>
                </w:tcPr>
                <w:p w14:paraId="3FDA25E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shd w:val="clear" w:color="auto" w:fill="auto"/>
                  <w:vAlign w:val="center"/>
                </w:tcPr>
                <w:p w14:paraId="33D02789">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shd w:val="clear" w:color="auto" w:fill="auto"/>
                  <w:vAlign w:val="center"/>
                </w:tcPr>
                <w:p w14:paraId="062B6759">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410" w:type="pct"/>
                  <w:vMerge w:val="continue"/>
                  <w:vAlign w:val="center"/>
                </w:tcPr>
                <w:p w14:paraId="5D890F67">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00E9ECE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700CEE6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7B8809F6">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1C67E3E6">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3D5110C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160.51</w:t>
                  </w:r>
                </w:p>
              </w:tc>
              <w:tc>
                <w:tcPr>
                  <w:tcW w:w="416" w:type="pct"/>
                  <w:vAlign w:val="center"/>
                </w:tcPr>
                <w:p w14:paraId="0765C69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60.15</w:t>
                  </w:r>
                </w:p>
              </w:tc>
              <w:tc>
                <w:tcPr>
                  <w:tcW w:w="251" w:type="pct"/>
                  <w:vMerge w:val="continue"/>
                  <w:vAlign w:val="center"/>
                </w:tcPr>
                <w:p w14:paraId="64E08075">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16A59176">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215C112D">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40.15</w:t>
                  </w:r>
                </w:p>
              </w:tc>
              <w:tc>
                <w:tcPr>
                  <w:tcW w:w="396" w:type="pct"/>
                  <w:vAlign w:val="center"/>
                </w:tcPr>
                <w:p w14:paraId="74DB2B76">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55C44A88">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6CB5FF47">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69" w:type="pct"/>
                  <w:vMerge w:val="continue"/>
                  <w:vAlign w:val="center"/>
                </w:tcPr>
                <w:p w14:paraId="096C51B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shd w:val="clear" w:color="auto" w:fill="auto"/>
                  <w:vAlign w:val="center"/>
                </w:tcPr>
                <w:p w14:paraId="2A667B8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shd w:val="clear" w:color="auto" w:fill="auto"/>
                  <w:vAlign w:val="center"/>
                </w:tcPr>
                <w:p w14:paraId="197FFEC9">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410" w:type="pct"/>
                  <w:vMerge w:val="continue"/>
                  <w:vAlign w:val="center"/>
                </w:tcPr>
                <w:p w14:paraId="422AA9BB">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5BB74508">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30940218">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2E66ECB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7A2D8F3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599C37F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7.27</w:t>
                  </w:r>
                </w:p>
              </w:tc>
              <w:tc>
                <w:tcPr>
                  <w:tcW w:w="416" w:type="pct"/>
                  <w:vAlign w:val="center"/>
                </w:tcPr>
                <w:p w14:paraId="2190DF0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68.46</w:t>
                  </w:r>
                </w:p>
              </w:tc>
              <w:tc>
                <w:tcPr>
                  <w:tcW w:w="251" w:type="pct"/>
                  <w:vMerge w:val="continue"/>
                  <w:vAlign w:val="center"/>
                </w:tcPr>
                <w:p w14:paraId="4B810CCF">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257A6F2B">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793CAFEB">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48.46</w:t>
                  </w:r>
                </w:p>
              </w:tc>
              <w:tc>
                <w:tcPr>
                  <w:tcW w:w="396" w:type="pct"/>
                  <w:vAlign w:val="center"/>
                </w:tcPr>
                <w:p w14:paraId="6A2B6B2C">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5404A184">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2D6DC7EF">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69" w:type="pct"/>
                  <w:vMerge w:val="continue"/>
                  <w:vAlign w:val="center"/>
                </w:tcPr>
                <w:p w14:paraId="57BB6D9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shd w:val="clear" w:color="auto" w:fill="auto"/>
                  <w:vAlign w:val="center"/>
                </w:tcPr>
                <w:p w14:paraId="50A9EAB6">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shd w:val="clear" w:color="auto" w:fill="auto"/>
                  <w:vAlign w:val="center"/>
                </w:tcPr>
                <w:p w14:paraId="1F15182B">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410" w:type="pct"/>
                  <w:vMerge w:val="continue"/>
                  <w:vAlign w:val="center"/>
                </w:tcPr>
                <w:p w14:paraId="3B8B99A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070E9286">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7D5C6EB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29FA8CA6">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6DFCE7F9">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6B3EA33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199.36</w:t>
                  </w:r>
                </w:p>
              </w:tc>
              <w:tc>
                <w:tcPr>
                  <w:tcW w:w="416" w:type="pct"/>
                  <w:vAlign w:val="center"/>
                </w:tcPr>
                <w:p w14:paraId="2D07FC6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60.13</w:t>
                  </w:r>
                </w:p>
              </w:tc>
              <w:tc>
                <w:tcPr>
                  <w:tcW w:w="251" w:type="pct"/>
                  <w:vMerge w:val="continue"/>
                  <w:vAlign w:val="center"/>
                </w:tcPr>
                <w:p w14:paraId="50D44CF5">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2E2F7814">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65D9E5FC">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40.13</w:t>
                  </w:r>
                </w:p>
              </w:tc>
              <w:tc>
                <w:tcPr>
                  <w:tcW w:w="396" w:type="pct"/>
                  <w:vAlign w:val="center"/>
                </w:tcPr>
                <w:p w14:paraId="30170DBD">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7E0CFDFF">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restart"/>
                  <w:shd w:val="clear" w:color="auto" w:fill="auto"/>
                  <w:vAlign w:val="center"/>
                </w:tcPr>
                <w:p w14:paraId="04C10BCA">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269" w:type="pct"/>
                  <w:vMerge w:val="restart"/>
                  <w:vAlign w:val="center"/>
                </w:tcPr>
                <w:p w14:paraId="7138DE3B">
                  <w:pPr>
                    <w:widowControl/>
                    <w:spacing w:line="240" w:lineRule="auto"/>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SA"/>
                    </w:rPr>
                    <w:t>其他公辅设施</w:t>
                  </w:r>
                </w:p>
              </w:tc>
              <w:tc>
                <w:tcPr>
                  <w:tcW w:w="361" w:type="pct"/>
                  <w:vMerge w:val="restart"/>
                  <w:shd w:val="clear" w:color="auto" w:fill="auto"/>
                  <w:vAlign w:val="center"/>
                </w:tcPr>
                <w:p w14:paraId="6842AEBC">
                  <w:pPr>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变压器</w:t>
                  </w:r>
                </w:p>
              </w:tc>
              <w:tc>
                <w:tcPr>
                  <w:tcW w:w="299" w:type="pct"/>
                  <w:vMerge w:val="restart"/>
                  <w:shd w:val="clear" w:color="auto" w:fill="auto"/>
                  <w:vAlign w:val="center"/>
                </w:tcPr>
                <w:p w14:paraId="4BFC412E">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410" w:type="pct"/>
                  <w:vMerge w:val="restart"/>
                  <w:vAlign w:val="center"/>
                </w:tcPr>
                <w:p w14:paraId="44E0F9E9">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65/1</w:t>
                  </w:r>
                </w:p>
              </w:tc>
              <w:tc>
                <w:tcPr>
                  <w:tcW w:w="437" w:type="pct"/>
                  <w:vMerge w:val="continue"/>
                  <w:vAlign w:val="center"/>
                </w:tcPr>
                <w:p w14:paraId="31D97C06">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restart"/>
                  <w:vAlign w:val="center"/>
                </w:tcPr>
                <w:p w14:paraId="21821EE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215</w:t>
                  </w:r>
                </w:p>
              </w:tc>
              <w:tc>
                <w:tcPr>
                  <w:tcW w:w="283" w:type="pct"/>
                  <w:vMerge w:val="restart"/>
                  <w:vAlign w:val="center"/>
                </w:tcPr>
                <w:p w14:paraId="3E80D98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170</w:t>
                  </w:r>
                </w:p>
              </w:tc>
              <w:tc>
                <w:tcPr>
                  <w:tcW w:w="254" w:type="pct"/>
                  <w:vMerge w:val="restart"/>
                  <w:vAlign w:val="center"/>
                </w:tcPr>
                <w:p w14:paraId="23968EB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342" w:type="pct"/>
                  <w:vAlign w:val="center"/>
                </w:tcPr>
                <w:p w14:paraId="5C574E1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6.16</w:t>
                  </w:r>
                </w:p>
              </w:tc>
              <w:tc>
                <w:tcPr>
                  <w:tcW w:w="416" w:type="pct"/>
                  <w:vAlign w:val="center"/>
                </w:tcPr>
                <w:p w14:paraId="70D02E6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38.72</w:t>
                  </w:r>
                </w:p>
              </w:tc>
              <w:tc>
                <w:tcPr>
                  <w:tcW w:w="251" w:type="pct"/>
                  <w:vMerge w:val="continue"/>
                  <w:vAlign w:val="center"/>
                </w:tcPr>
                <w:p w14:paraId="777CE4B1">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1DBF28A9">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6DE78C90">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18.72</w:t>
                  </w:r>
                </w:p>
              </w:tc>
              <w:tc>
                <w:tcPr>
                  <w:tcW w:w="396" w:type="pct"/>
                  <w:vAlign w:val="center"/>
                </w:tcPr>
                <w:p w14:paraId="2065CE2B">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1B1AD626">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2CBED468">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69" w:type="pct"/>
                  <w:vMerge w:val="continue"/>
                  <w:vAlign w:val="center"/>
                </w:tcPr>
                <w:p w14:paraId="4BE12920">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shd w:val="clear" w:color="auto" w:fill="auto"/>
                  <w:vAlign w:val="center"/>
                </w:tcPr>
                <w:p w14:paraId="177D62E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shd w:val="clear" w:color="auto" w:fill="auto"/>
                  <w:vAlign w:val="center"/>
                </w:tcPr>
                <w:p w14:paraId="1D5D2E98">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410" w:type="pct"/>
                  <w:vMerge w:val="continue"/>
                  <w:vAlign w:val="center"/>
                </w:tcPr>
                <w:p w14:paraId="69DB99A1">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1932D98A">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0555D33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51CDB3B0">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0EAED5E7">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32E3A2D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221.31</w:t>
                  </w:r>
                </w:p>
              </w:tc>
              <w:tc>
                <w:tcPr>
                  <w:tcW w:w="416" w:type="pct"/>
                  <w:vAlign w:val="center"/>
                </w:tcPr>
                <w:p w14:paraId="139204D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29.12</w:t>
                  </w:r>
                </w:p>
              </w:tc>
              <w:tc>
                <w:tcPr>
                  <w:tcW w:w="251" w:type="pct"/>
                  <w:vMerge w:val="continue"/>
                  <w:vAlign w:val="center"/>
                </w:tcPr>
                <w:p w14:paraId="028855BC">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41206C43">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548D030B">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9.12</w:t>
                  </w:r>
                </w:p>
              </w:tc>
              <w:tc>
                <w:tcPr>
                  <w:tcW w:w="396" w:type="pct"/>
                  <w:vAlign w:val="center"/>
                </w:tcPr>
                <w:p w14:paraId="096DF288">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2D2CB256">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12773FBA">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69" w:type="pct"/>
                  <w:vMerge w:val="continue"/>
                  <w:vAlign w:val="center"/>
                </w:tcPr>
                <w:p w14:paraId="5B28CDB9">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shd w:val="clear" w:color="auto" w:fill="auto"/>
                  <w:vAlign w:val="center"/>
                </w:tcPr>
                <w:p w14:paraId="0A053B81">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shd w:val="clear" w:color="auto" w:fill="auto"/>
                  <w:vAlign w:val="center"/>
                </w:tcPr>
                <w:p w14:paraId="12C8D449">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410" w:type="pct"/>
                  <w:vMerge w:val="continue"/>
                  <w:vAlign w:val="center"/>
                </w:tcPr>
                <w:p w14:paraId="7970249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192BEEE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1DD6252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07BEFA3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51DF98B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73CF119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95.50</w:t>
                  </w:r>
                </w:p>
              </w:tc>
              <w:tc>
                <w:tcPr>
                  <w:tcW w:w="416" w:type="pct"/>
                  <w:vAlign w:val="center"/>
                </w:tcPr>
                <w:p w14:paraId="2696134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29.24</w:t>
                  </w:r>
                </w:p>
              </w:tc>
              <w:tc>
                <w:tcPr>
                  <w:tcW w:w="251" w:type="pct"/>
                  <w:vMerge w:val="continue"/>
                  <w:vAlign w:val="center"/>
                </w:tcPr>
                <w:p w14:paraId="105C65CC">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431DA861">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3688CA3B">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9.24</w:t>
                  </w:r>
                </w:p>
              </w:tc>
              <w:tc>
                <w:tcPr>
                  <w:tcW w:w="396" w:type="pct"/>
                  <w:vAlign w:val="center"/>
                </w:tcPr>
                <w:p w14:paraId="70652176">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161104F2">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54BDA506">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69" w:type="pct"/>
                  <w:vMerge w:val="continue"/>
                  <w:vAlign w:val="center"/>
                </w:tcPr>
                <w:p w14:paraId="2FB8BD2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shd w:val="clear" w:color="auto" w:fill="auto"/>
                  <w:vAlign w:val="center"/>
                </w:tcPr>
                <w:p w14:paraId="0694EAE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shd w:val="clear" w:color="auto" w:fill="auto"/>
                  <w:vAlign w:val="center"/>
                </w:tcPr>
                <w:p w14:paraId="2A2AF4A2">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410" w:type="pct"/>
                  <w:vMerge w:val="continue"/>
                  <w:vAlign w:val="center"/>
                </w:tcPr>
                <w:p w14:paraId="63284673">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5E5B8CF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344BB4E3">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4D8A36D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1D1428E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6E6042E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23.82</w:t>
                  </w:r>
                </w:p>
              </w:tc>
              <w:tc>
                <w:tcPr>
                  <w:tcW w:w="416" w:type="pct"/>
                  <w:vAlign w:val="center"/>
                </w:tcPr>
                <w:p w14:paraId="533F42A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30.99</w:t>
                  </w:r>
                </w:p>
              </w:tc>
              <w:tc>
                <w:tcPr>
                  <w:tcW w:w="251" w:type="pct"/>
                  <w:vMerge w:val="continue"/>
                  <w:vAlign w:val="center"/>
                </w:tcPr>
                <w:p w14:paraId="26383C7B">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0AD92613">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186849CB">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10.99</w:t>
                  </w:r>
                </w:p>
              </w:tc>
              <w:tc>
                <w:tcPr>
                  <w:tcW w:w="396" w:type="pct"/>
                  <w:vAlign w:val="center"/>
                </w:tcPr>
                <w:p w14:paraId="64E13111">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13ECA096">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655CE449">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69" w:type="pct"/>
                  <w:vMerge w:val="continue"/>
                  <w:vAlign w:val="center"/>
                </w:tcPr>
                <w:p w14:paraId="470D5B6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shd w:val="clear" w:color="auto" w:fill="auto"/>
                  <w:vAlign w:val="center"/>
                </w:tcPr>
                <w:p w14:paraId="5D522218">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shd w:val="clear" w:color="auto" w:fill="auto"/>
                  <w:vAlign w:val="center"/>
                </w:tcPr>
                <w:p w14:paraId="408B1134">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410" w:type="pct"/>
                  <w:vMerge w:val="continue"/>
                  <w:vAlign w:val="center"/>
                </w:tcPr>
                <w:p w14:paraId="6BBAE19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580F94E3">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25AA9C7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48A25EE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597C7C4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0C4653D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64.65</w:t>
                  </w:r>
                </w:p>
              </w:tc>
              <w:tc>
                <w:tcPr>
                  <w:tcW w:w="416" w:type="pct"/>
                  <w:vAlign w:val="center"/>
                </w:tcPr>
                <w:p w14:paraId="6F82982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29.41</w:t>
                  </w:r>
                </w:p>
              </w:tc>
              <w:tc>
                <w:tcPr>
                  <w:tcW w:w="251" w:type="pct"/>
                  <w:vMerge w:val="continue"/>
                  <w:vAlign w:val="center"/>
                </w:tcPr>
                <w:p w14:paraId="44B509CC">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28A24A35">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0C0EAF46">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9.41</w:t>
                  </w:r>
                </w:p>
              </w:tc>
              <w:tc>
                <w:tcPr>
                  <w:tcW w:w="396" w:type="pct"/>
                  <w:vAlign w:val="center"/>
                </w:tcPr>
                <w:p w14:paraId="0AE8970C">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03E8DF5F">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2E96747B">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69" w:type="pct"/>
                  <w:vMerge w:val="continue"/>
                  <w:vAlign w:val="center"/>
                </w:tcPr>
                <w:p w14:paraId="55444207">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shd w:val="clear" w:color="auto" w:fill="auto"/>
                  <w:vAlign w:val="center"/>
                </w:tcPr>
                <w:p w14:paraId="5030871B">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shd w:val="clear" w:color="auto" w:fill="auto"/>
                  <w:vAlign w:val="center"/>
                </w:tcPr>
                <w:p w14:paraId="37C53F3C">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410" w:type="pct"/>
                  <w:vMerge w:val="continue"/>
                  <w:vAlign w:val="center"/>
                </w:tcPr>
                <w:p w14:paraId="44691BD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2CC75AD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674B85D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21FCDFEA">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7942266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2B4D62D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12.43</w:t>
                  </w:r>
                </w:p>
              </w:tc>
              <w:tc>
                <w:tcPr>
                  <w:tcW w:w="416" w:type="pct"/>
                  <w:vAlign w:val="center"/>
                </w:tcPr>
                <w:p w14:paraId="69898D2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33.87</w:t>
                  </w:r>
                </w:p>
              </w:tc>
              <w:tc>
                <w:tcPr>
                  <w:tcW w:w="251" w:type="pct"/>
                  <w:vMerge w:val="continue"/>
                  <w:vAlign w:val="center"/>
                </w:tcPr>
                <w:p w14:paraId="653C3FF2">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492F6E7A">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595A1F91">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13.87</w:t>
                  </w:r>
                </w:p>
              </w:tc>
              <w:tc>
                <w:tcPr>
                  <w:tcW w:w="396" w:type="pct"/>
                  <w:vAlign w:val="center"/>
                </w:tcPr>
                <w:p w14:paraId="2EDCFCDA">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30F53087">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4A4AD5CE">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69" w:type="pct"/>
                  <w:vMerge w:val="continue"/>
                  <w:vAlign w:val="center"/>
                </w:tcPr>
                <w:p w14:paraId="0E80407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shd w:val="clear" w:color="auto" w:fill="auto"/>
                  <w:vAlign w:val="center"/>
                </w:tcPr>
                <w:p w14:paraId="3E7CEEB1">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shd w:val="clear" w:color="auto" w:fill="auto"/>
                  <w:vAlign w:val="center"/>
                </w:tcPr>
                <w:p w14:paraId="48016E40">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410" w:type="pct"/>
                  <w:vMerge w:val="continue"/>
                  <w:vAlign w:val="center"/>
                </w:tcPr>
                <w:p w14:paraId="7A5914B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680E624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restart"/>
                  <w:vAlign w:val="center"/>
                </w:tcPr>
                <w:p w14:paraId="27B2D0C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45</w:t>
                  </w:r>
                </w:p>
              </w:tc>
              <w:tc>
                <w:tcPr>
                  <w:tcW w:w="283" w:type="pct"/>
                  <w:vMerge w:val="restart"/>
                  <w:vAlign w:val="center"/>
                </w:tcPr>
                <w:p w14:paraId="6696E74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160</w:t>
                  </w:r>
                </w:p>
              </w:tc>
              <w:tc>
                <w:tcPr>
                  <w:tcW w:w="254" w:type="pct"/>
                  <w:vMerge w:val="restart"/>
                  <w:vAlign w:val="center"/>
                </w:tcPr>
                <w:p w14:paraId="51FF98D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342" w:type="pct"/>
                  <w:vAlign w:val="center"/>
                </w:tcPr>
                <w:p w14:paraId="6888249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21.27</w:t>
                  </w:r>
                </w:p>
              </w:tc>
              <w:tc>
                <w:tcPr>
                  <w:tcW w:w="416" w:type="pct"/>
                  <w:vAlign w:val="center"/>
                </w:tcPr>
                <w:p w14:paraId="78A4C4F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31.36</w:t>
                  </w:r>
                </w:p>
              </w:tc>
              <w:tc>
                <w:tcPr>
                  <w:tcW w:w="251" w:type="pct"/>
                  <w:vMerge w:val="continue"/>
                  <w:vAlign w:val="center"/>
                </w:tcPr>
                <w:p w14:paraId="4504C87C">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3FBD741E">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5479F9CB">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11.36</w:t>
                  </w:r>
                </w:p>
              </w:tc>
              <w:tc>
                <w:tcPr>
                  <w:tcW w:w="396" w:type="pct"/>
                  <w:vAlign w:val="center"/>
                </w:tcPr>
                <w:p w14:paraId="6BA67AB1">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7157572D">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09592546">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69" w:type="pct"/>
                  <w:vMerge w:val="continue"/>
                  <w:vAlign w:val="center"/>
                </w:tcPr>
                <w:p w14:paraId="6919DFA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shd w:val="clear" w:color="auto" w:fill="auto"/>
                  <w:vAlign w:val="center"/>
                </w:tcPr>
                <w:p w14:paraId="695A0793">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shd w:val="clear" w:color="auto" w:fill="auto"/>
                  <w:vAlign w:val="center"/>
                </w:tcPr>
                <w:p w14:paraId="78B75F37">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410" w:type="pct"/>
                  <w:vMerge w:val="continue"/>
                  <w:vAlign w:val="center"/>
                </w:tcPr>
                <w:p w14:paraId="63E3B1A1">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4698CD3A">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2DF40A31">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731305B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58CDF920">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34E1054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51.67</w:t>
                  </w:r>
                </w:p>
              </w:tc>
              <w:tc>
                <w:tcPr>
                  <w:tcW w:w="416" w:type="pct"/>
                  <w:vAlign w:val="center"/>
                </w:tcPr>
                <w:p w14:paraId="2CDDC89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29.57</w:t>
                  </w:r>
                </w:p>
              </w:tc>
              <w:tc>
                <w:tcPr>
                  <w:tcW w:w="251" w:type="pct"/>
                  <w:vMerge w:val="continue"/>
                  <w:vAlign w:val="center"/>
                </w:tcPr>
                <w:p w14:paraId="2256C5A9">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2DBF89E1">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16EE3945">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9.57</w:t>
                  </w:r>
                </w:p>
              </w:tc>
              <w:tc>
                <w:tcPr>
                  <w:tcW w:w="396" w:type="pct"/>
                  <w:vAlign w:val="center"/>
                </w:tcPr>
                <w:p w14:paraId="48A60E99">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1AB4FB93">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5CB411F8">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69" w:type="pct"/>
                  <w:vMerge w:val="continue"/>
                  <w:vAlign w:val="center"/>
                </w:tcPr>
                <w:p w14:paraId="79E7F9C3">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shd w:val="clear" w:color="auto" w:fill="auto"/>
                  <w:vAlign w:val="center"/>
                </w:tcPr>
                <w:p w14:paraId="15ED0346">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shd w:val="clear" w:color="auto" w:fill="auto"/>
                  <w:vAlign w:val="center"/>
                </w:tcPr>
                <w:p w14:paraId="5C17CA0A">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410" w:type="pct"/>
                  <w:vMerge w:val="continue"/>
                  <w:vAlign w:val="center"/>
                </w:tcPr>
                <w:p w14:paraId="665C3FD0">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276FD0E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0D0EE948">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41BFA483">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20E42AB3">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5D39620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83.43</w:t>
                  </w:r>
                </w:p>
              </w:tc>
              <w:tc>
                <w:tcPr>
                  <w:tcW w:w="416" w:type="pct"/>
                  <w:vAlign w:val="center"/>
                </w:tcPr>
                <w:p w14:paraId="685899E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29.28</w:t>
                  </w:r>
                </w:p>
              </w:tc>
              <w:tc>
                <w:tcPr>
                  <w:tcW w:w="251" w:type="pct"/>
                  <w:vMerge w:val="continue"/>
                  <w:vAlign w:val="center"/>
                </w:tcPr>
                <w:p w14:paraId="168DB2B7">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740FAC93">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22B0B0B3">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9.28</w:t>
                  </w:r>
                </w:p>
              </w:tc>
              <w:tc>
                <w:tcPr>
                  <w:tcW w:w="396" w:type="pct"/>
                  <w:vAlign w:val="center"/>
                </w:tcPr>
                <w:p w14:paraId="1166D512">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7EC958B8">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13ADAE2A">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69" w:type="pct"/>
                  <w:vMerge w:val="continue"/>
                  <w:vAlign w:val="center"/>
                </w:tcPr>
                <w:p w14:paraId="5B7E901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shd w:val="clear" w:color="auto" w:fill="auto"/>
                  <w:vAlign w:val="center"/>
                </w:tcPr>
                <w:p w14:paraId="3F3F0440">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shd w:val="clear" w:color="auto" w:fill="auto"/>
                  <w:vAlign w:val="center"/>
                </w:tcPr>
                <w:p w14:paraId="3EA06A32">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410" w:type="pct"/>
                  <w:vMerge w:val="continue"/>
                  <w:vAlign w:val="center"/>
                </w:tcPr>
                <w:p w14:paraId="2FBD6639">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595731F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2E417171">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2BF26E5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1864FEA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16A9CE3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145.60</w:t>
                  </w:r>
                </w:p>
              </w:tc>
              <w:tc>
                <w:tcPr>
                  <w:tcW w:w="416" w:type="pct"/>
                  <w:vAlign w:val="center"/>
                </w:tcPr>
                <w:p w14:paraId="4CEABA6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29.16</w:t>
                  </w:r>
                </w:p>
              </w:tc>
              <w:tc>
                <w:tcPr>
                  <w:tcW w:w="251" w:type="pct"/>
                  <w:vMerge w:val="continue"/>
                  <w:vAlign w:val="center"/>
                </w:tcPr>
                <w:p w14:paraId="60DDF900">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22A86BB8">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2E0BC474">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9.16</w:t>
                  </w:r>
                </w:p>
              </w:tc>
              <w:tc>
                <w:tcPr>
                  <w:tcW w:w="396" w:type="pct"/>
                  <w:vAlign w:val="center"/>
                </w:tcPr>
                <w:p w14:paraId="45BB6D1E">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785C14E7">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42893090">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69" w:type="pct"/>
                  <w:vMerge w:val="continue"/>
                  <w:vAlign w:val="center"/>
                </w:tcPr>
                <w:p w14:paraId="6E7AAB61">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shd w:val="clear" w:color="auto" w:fill="auto"/>
                  <w:vAlign w:val="center"/>
                </w:tcPr>
                <w:p w14:paraId="74EE3AA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shd w:val="clear" w:color="auto" w:fill="auto"/>
                  <w:vAlign w:val="center"/>
                </w:tcPr>
                <w:p w14:paraId="09E900F6">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410" w:type="pct"/>
                  <w:vMerge w:val="continue"/>
                  <w:vAlign w:val="center"/>
                </w:tcPr>
                <w:p w14:paraId="4777CE6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77A90E2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0227457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2297460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3F041851">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32DD838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50.71</w:t>
                  </w:r>
                </w:p>
              </w:tc>
              <w:tc>
                <w:tcPr>
                  <w:tcW w:w="416" w:type="pct"/>
                  <w:vAlign w:val="center"/>
                </w:tcPr>
                <w:p w14:paraId="58BE199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29.59</w:t>
                  </w:r>
                </w:p>
              </w:tc>
              <w:tc>
                <w:tcPr>
                  <w:tcW w:w="251" w:type="pct"/>
                  <w:vMerge w:val="continue"/>
                  <w:vAlign w:val="center"/>
                </w:tcPr>
                <w:p w14:paraId="2D387E8A">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4814FB3D">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0EB13581">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9.59</w:t>
                  </w:r>
                </w:p>
              </w:tc>
              <w:tc>
                <w:tcPr>
                  <w:tcW w:w="396" w:type="pct"/>
                  <w:vAlign w:val="center"/>
                </w:tcPr>
                <w:p w14:paraId="4199C58C">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69493B59">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101648E4">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69" w:type="pct"/>
                  <w:vMerge w:val="continue"/>
                  <w:vAlign w:val="center"/>
                </w:tcPr>
                <w:p w14:paraId="5D102A56">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shd w:val="clear" w:color="auto" w:fill="auto"/>
                  <w:vAlign w:val="center"/>
                </w:tcPr>
                <w:p w14:paraId="389A77B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shd w:val="clear" w:color="auto" w:fill="auto"/>
                  <w:vAlign w:val="center"/>
                </w:tcPr>
                <w:p w14:paraId="3C634008">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410" w:type="pct"/>
                  <w:vMerge w:val="continue"/>
                  <w:vAlign w:val="center"/>
                </w:tcPr>
                <w:p w14:paraId="0A3C7E23">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63221A4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2B309F53">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44996EE6">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25BB6AD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7C4C7A0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182.46</w:t>
                  </w:r>
                </w:p>
              </w:tc>
              <w:tc>
                <w:tcPr>
                  <w:tcW w:w="416" w:type="pct"/>
                  <w:vAlign w:val="center"/>
                </w:tcPr>
                <w:p w14:paraId="6105333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29.13</w:t>
                  </w:r>
                </w:p>
              </w:tc>
              <w:tc>
                <w:tcPr>
                  <w:tcW w:w="251" w:type="pct"/>
                  <w:vMerge w:val="continue"/>
                  <w:vAlign w:val="center"/>
                </w:tcPr>
                <w:p w14:paraId="7B0BF392">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01352F59">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7D24F4D7">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9.13</w:t>
                  </w:r>
                </w:p>
              </w:tc>
              <w:tc>
                <w:tcPr>
                  <w:tcW w:w="396" w:type="pct"/>
                  <w:vAlign w:val="center"/>
                </w:tcPr>
                <w:p w14:paraId="5B869A03">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7BC40AD9">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5745D45A">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69" w:type="pct"/>
                  <w:vMerge w:val="continue"/>
                  <w:vAlign w:val="center"/>
                </w:tcPr>
                <w:p w14:paraId="265712D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shd w:val="clear" w:color="auto" w:fill="auto"/>
                  <w:vAlign w:val="center"/>
                </w:tcPr>
                <w:p w14:paraId="260C6887">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shd w:val="clear" w:color="auto" w:fill="auto"/>
                  <w:vAlign w:val="center"/>
                </w:tcPr>
                <w:p w14:paraId="6D6DBF21">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410" w:type="pct"/>
                  <w:vMerge w:val="continue"/>
                  <w:vAlign w:val="center"/>
                </w:tcPr>
                <w:p w14:paraId="073BC2F1">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1D11D96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restart"/>
                  <w:vAlign w:val="center"/>
                </w:tcPr>
                <w:p w14:paraId="64395CD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-1.83</w:t>
                  </w:r>
                </w:p>
              </w:tc>
              <w:tc>
                <w:tcPr>
                  <w:tcW w:w="283" w:type="pct"/>
                  <w:vMerge w:val="restart"/>
                  <w:vAlign w:val="center"/>
                </w:tcPr>
                <w:p w14:paraId="696B7EB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194.31</w:t>
                  </w:r>
                </w:p>
              </w:tc>
              <w:tc>
                <w:tcPr>
                  <w:tcW w:w="254" w:type="pct"/>
                  <w:vMerge w:val="restart"/>
                  <w:vAlign w:val="center"/>
                </w:tcPr>
                <w:p w14:paraId="51B5A6B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342" w:type="pct"/>
                  <w:vAlign w:val="center"/>
                </w:tcPr>
                <w:p w14:paraId="7315392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62.09</w:t>
                  </w:r>
                </w:p>
              </w:tc>
              <w:tc>
                <w:tcPr>
                  <w:tcW w:w="416" w:type="pct"/>
                  <w:vAlign w:val="center"/>
                </w:tcPr>
                <w:p w14:paraId="780E572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29.43</w:t>
                  </w:r>
                </w:p>
              </w:tc>
              <w:tc>
                <w:tcPr>
                  <w:tcW w:w="251" w:type="pct"/>
                  <w:vMerge w:val="continue"/>
                  <w:vAlign w:val="center"/>
                </w:tcPr>
                <w:p w14:paraId="1EF5A100">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56D56C26">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58954050">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9.43</w:t>
                  </w:r>
                </w:p>
              </w:tc>
              <w:tc>
                <w:tcPr>
                  <w:tcW w:w="396" w:type="pct"/>
                  <w:vAlign w:val="center"/>
                </w:tcPr>
                <w:p w14:paraId="2F37B983">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1770380A">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198392E9">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69" w:type="pct"/>
                  <w:vMerge w:val="continue"/>
                  <w:vAlign w:val="center"/>
                </w:tcPr>
                <w:p w14:paraId="70FF925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shd w:val="clear" w:color="auto" w:fill="auto"/>
                  <w:vAlign w:val="center"/>
                </w:tcPr>
                <w:p w14:paraId="5A6755E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shd w:val="clear" w:color="auto" w:fill="auto"/>
                  <w:vAlign w:val="center"/>
                </w:tcPr>
                <w:p w14:paraId="3085D254">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410" w:type="pct"/>
                  <w:vMerge w:val="continue"/>
                  <w:vAlign w:val="center"/>
                </w:tcPr>
                <w:p w14:paraId="7D2D1EBB">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6815DDA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4122CB8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3F28990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0C8994AB">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70B507C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10.35</w:t>
                  </w:r>
                </w:p>
              </w:tc>
              <w:tc>
                <w:tcPr>
                  <w:tcW w:w="416" w:type="pct"/>
                  <w:vAlign w:val="center"/>
                </w:tcPr>
                <w:p w14:paraId="04DB0C5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35.00</w:t>
                  </w:r>
                </w:p>
              </w:tc>
              <w:tc>
                <w:tcPr>
                  <w:tcW w:w="251" w:type="pct"/>
                  <w:vMerge w:val="continue"/>
                  <w:vAlign w:val="center"/>
                </w:tcPr>
                <w:p w14:paraId="5A75CEA0">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0DB2440C">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6E51B2CF">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396" w:type="pct"/>
                  <w:vAlign w:val="center"/>
                </w:tcPr>
                <w:p w14:paraId="1BD46713">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00726E79">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7C8389E6">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69" w:type="pct"/>
                  <w:vMerge w:val="continue"/>
                  <w:vAlign w:val="center"/>
                </w:tcPr>
                <w:p w14:paraId="01C336E1">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shd w:val="clear" w:color="auto" w:fill="auto"/>
                  <w:vAlign w:val="center"/>
                </w:tcPr>
                <w:p w14:paraId="09E3AA2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shd w:val="clear" w:color="auto" w:fill="auto"/>
                  <w:vAlign w:val="center"/>
                </w:tcPr>
                <w:p w14:paraId="1D25F6D6">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410" w:type="pct"/>
                  <w:vMerge w:val="continue"/>
                  <w:vAlign w:val="center"/>
                </w:tcPr>
                <w:p w14:paraId="54C374B1">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3A1BDAC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0150AC88">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41CA3A8B">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6C12E15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3C7BBAF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43.35</w:t>
                  </w:r>
                </w:p>
              </w:tc>
              <w:tc>
                <w:tcPr>
                  <w:tcW w:w="416" w:type="pct"/>
                  <w:vAlign w:val="center"/>
                </w:tcPr>
                <w:p w14:paraId="39B9DD2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29.76</w:t>
                  </w:r>
                </w:p>
              </w:tc>
              <w:tc>
                <w:tcPr>
                  <w:tcW w:w="251" w:type="pct"/>
                  <w:vMerge w:val="continue"/>
                  <w:vAlign w:val="center"/>
                </w:tcPr>
                <w:p w14:paraId="008876BA">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780FF6FB">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2D59A9F0">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9.76</w:t>
                  </w:r>
                </w:p>
              </w:tc>
              <w:tc>
                <w:tcPr>
                  <w:tcW w:w="396" w:type="pct"/>
                  <w:vAlign w:val="center"/>
                </w:tcPr>
                <w:p w14:paraId="59A71CD9">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4E0C340D">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785013ED">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69" w:type="pct"/>
                  <w:vMerge w:val="continue"/>
                  <w:vAlign w:val="center"/>
                </w:tcPr>
                <w:p w14:paraId="6D8E4F69">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shd w:val="clear" w:color="auto" w:fill="auto"/>
                  <w:vAlign w:val="center"/>
                </w:tcPr>
                <w:p w14:paraId="16E6BE0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shd w:val="clear" w:color="auto" w:fill="auto"/>
                  <w:vAlign w:val="center"/>
                </w:tcPr>
                <w:p w14:paraId="60AEBE48">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410" w:type="pct"/>
                  <w:vMerge w:val="continue"/>
                  <w:vAlign w:val="center"/>
                </w:tcPr>
                <w:p w14:paraId="35AB931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10577C4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5AB4A9B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0C57B8B0">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79E8FB1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20547C8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186.37</w:t>
                  </w:r>
                </w:p>
              </w:tc>
              <w:tc>
                <w:tcPr>
                  <w:tcW w:w="416" w:type="pct"/>
                  <w:vAlign w:val="center"/>
                </w:tcPr>
                <w:p w14:paraId="18DC337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29.13</w:t>
                  </w:r>
                </w:p>
              </w:tc>
              <w:tc>
                <w:tcPr>
                  <w:tcW w:w="251" w:type="pct"/>
                  <w:vMerge w:val="continue"/>
                  <w:vAlign w:val="center"/>
                </w:tcPr>
                <w:p w14:paraId="78F9FA14">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240D84E1">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1A7E9EEF">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9.13</w:t>
                  </w:r>
                </w:p>
              </w:tc>
              <w:tc>
                <w:tcPr>
                  <w:tcW w:w="396" w:type="pct"/>
                  <w:vAlign w:val="center"/>
                </w:tcPr>
                <w:p w14:paraId="4F9DEAFA">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1397DF11">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2FECA9DB">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69" w:type="pct"/>
                  <w:vMerge w:val="continue"/>
                  <w:vAlign w:val="center"/>
                </w:tcPr>
                <w:p w14:paraId="3AA29501">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shd w:val="clear" w:color="auto" w:fill="auto"/>
                  <w:vAlign w:val="center"/>
                </w:tcPr>
                <w:p w14:paraId="6A8C236A">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shd w:val="clear" w:color="auto" w:fill="auto"/>
                  <w:vAlign w:val="center"/>
                </w:tcPr>
                <w:p w14:paraId="153D2249">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410" w:type="pct"/>
                  <w:vMerge w:val="continue"/>
                  <w:vAlign w:val="center"/>
                </w:tcPr>
                <w:p w14:paraId="0DEAE12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7A8D67AB">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0F85397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7093DFE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144300DA">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127033F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10.18</w:t>
                  </w:r>
                </w:p>
              </w:tc>
              <w:tc>
                <w:tcPr>
                  <w:tcW w:w="416" w:type="pct"/>
                  <w:vAlign w:val="center"/>
                </w:tcPr>
                <w:p w14:paraId="5F5C262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35.11</w:t>
                  </w:r>
                </w:p>
              </w:tc>
              <w:tc>
                <w:tcPr>
                  <w:tcW w:w="251" w:type="pct"/>
                  <w:vMerge w:val="continue"/>
                  <w:vAlign w:val="center"/>
                </w:tcPr>
                <w:p w14:paraId="6F01CC8C">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1902A4EA">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430DB8FC">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15.11</w:t>
                  </w:r>
                </w:p>
              </w:tc>
              <w:tc>
                <w:tcPr>
                  <w:tcW w:w="396" w:type="pct"/>
                  <w:vAlign w:val="center"/>
                </w:tcPr>
                <w:p w14:paraId="58B2C118">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197DB21D">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49B9D8C9">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69" w:type="pct"/>
                  <w:vMerge w:val="continue"/>
                  <w:vAlign w:val="center"/>
                </w:tcPr>
                <w:p w14:paraId="7143F8F0">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shd w:val="clear" w:color="auto" w:fill="auto"/>
                  <w:vAlign w:val="center"/>
                </w:tcPr>
                <w:p w14:paraId="0EE05587">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shd w:val="clear" w:color="auto" w:fill="auto"/>
                  <w:vAlign w:val="center"/>
                </w:tcPr>
                <w:p w14:paraId="1ABD07A6">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410" w:type="pct"/>
                  <w:vMerge w:val="continue"/>
                  <w:vAlign w:val="center"/>
                </w:tcPr>
                <w:p w14:paraId="7CF4539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6205FC67">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0BF3213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2FEC4F31">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74692FC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758ADD1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225.08</w:t>
                  </w:r>
                </w:p>
              </w:tc>
              <w:tc>
                <w:tcPr>
                  <w:tcW w:w="416" w:type="pct"/>
                  <w:vAlign w:val="center"/>
                </w:tcPr>
                <w:p w14:paraId="211618A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29.12</w:t>
                  </w:r>
                </w:p>
              </w:tc>
              <w:tc>
                <w:tcPr>
                  <w:tcW w:w="251" w:type="pct"/>
                  <w:vMerge w:val="continue"/>
                  <w:vAlign w:val="center"/>
                </w:tcPr>
                <w:p w14:paraId="71031E78">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2A574A0D">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08A143F6">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9.12</w:t>
                  </w:r>
                </w:p>
              </w:tc>
              <w:tc>
                <w:tcPr>
                  <w:tcW w:w="396" w:type="pct"/>
                  <w:vAlign w:val="center"/>
                </w:tcPr>
                <w:p w14:paraId="6D25D3DA">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77A471FA">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restart"/>
                  <w:shd w:val="clear" w:color="auto" w:fill="auto"/>
                  <w:vAlign w:val="center"/>
                </w:tcPr>
                <w:p w14:paraId="639861F8">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269" w:type="pct"/>
                  <w:vMerge w:val="continue"/>
                  <w:vAlign w:val="center"/>
                </w:tcPr>
                <w:p w14:paraId="4D4943E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restart"/>
                  <w:shd w:val="clear" w:color="auto" w:fill="auto"/>
                  <w:vAlign w:val="center"/>
                </w:tcPr>
                <w:p w14:paraId="41434F58">
                  <w:pPr>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循环水泵</w:t>
                  </w:r>
                </w:p>
              </w:tc>
              <w:tc>
                <w:tcPr>
                  <w:tcW w:w="299" w:type="pct"/>
                  <w:vMerge w:val="restart"/>
                  <w:shd w:val="clear" w:color="auto" w:fill="auto"/>
                  <w:vAlign w:val="center"/>
                </w:tcPr>
                <w:p w14:paraId="2CAA8527">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410" w:type="pct"/>
                  <w:vMerge w:val="restart"/>
                  <w:vAlign w:val="center"/>
                </w:tcPr>
                <w:p w14:paraId="5E7B07B1">
                  <w:pPr>
                    <w:widowControl/>
                    <w:spacing w:line="240" w:lineRule="auto"/>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85/1</w:t>
                  </w:r>
                </w:p>
              </w:tc>
              <w:tc>
                <w:tcPr>
                  <w:tcW w:w="437" w:type="pct"/>
                  <w:vMerge w:val="continue"/>
                  <w:vAlign w:val="center"/>
                </w:tcPr>
                <w:p w14:paraId="0C78BACA">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restart"/>
                  <w:vAlign w:val="center"/>
                </w:tcPr>
                <w:p w14:paraId="36FA0BA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37.54</w:t>
                  </w:r>
                </w:p>
              </w:tc>
              <w:tc>
                <w:tcPr>
                  <w:tcW w:w="283" w:type="pct"/>
                  <w:vMerge w:val="restart"/>
                  <w:vAlign w:val="center"/>
                </w:tcPr>
                <w:p w14:paraId="4247918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141.57</w:t>
                  </w:r>
                </w:p>
              </w:tc>
              <w:tc>
                <w:tcPr>
                  <w:tcW w:w="254" w:type="pct"/>
                  <w:vMerge w:val="restart"/>
                  <w:vAlign w:val="center"/>
                </w:tcPr>
                <w:p w14:paraId="68334C8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342" w:type="pct"/>
                  <w:vAlign w:val="center"/>
                </w:tcPr>
                <w:p w14:paraId="1B5F9F3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4.14</w:t>
                  </w:r>
                </w:p>
              </w:tc>
              <w:tc>
                <w:tcPr>
                  <w:tcW w:w="416" w:type="pct"/>
                  <w:vAlign w:val="center"/>
                </w:tcPr>
                <w:p w14:paraId="0BAC864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61.90</w:t>
                  </w:r>
                </w:p>
              </w:tc>
              <w:tc>
                <w:tcPr>
                  <w:tcW w:w="251" w:type="pct"/>
                  <w:vMerge w:val="continue"/>
                  <w:vAlign w:val="center"/>
                </w:tcPr>
                <w:p w14:paraId="55419962">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5AD1119F">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692EB72D">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41.9</w:t>
                  </w:r>
                </w:p>
              </w:tc>
              <w:tc>
                <w:tcPr>
                  <w:tcW w:w="396" w:type="pct"/>
                  <w:vAlign w:val="center"/>
                </w:tcPr>
                <w:p w14:paraId="4FE9A7C7">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711135C8">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12A0BAF9">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69" w:type="pct"/>
                  <w:vMerge w:val="continue"/>
                  <w:vAlign w:val="center"/>
                </w:tcPr>
                <w:p w14:paraId="56D1F3C9">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shd w:val="clear" w:color="auto" w:fill="auto"/>
                  <w:vAlign w:val="center"/>
                </w:tcPr>
                <w:p w14:paraId="5BB4F87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shd w:val="clear" w:color="auto" w:fill="auto"/>
                  <w:vAlign w:val="center"/>
                </w:tcPr>
                <w:p w14:paraId="7FBA6F99">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410" w:type="pct"/>
                  <w:vMerge w:val="continue"/>
                  <w:vAlign w:val="center"/>
                </w:tcPr>
                <w:p w14:paraId="03DD8847">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3B4D4D8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386487F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0DBEC49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5BCE32C3">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22D1338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41.60</w:t>
                  </w:r>
                </w:p>
              </w:tc>
              <w:tc>
                <w:tcPr>
                  <w:tcW w:w="416" w:type="pct"/>
                  <w:vAlign w:val="center"/>
                </w:tcPr>
                <w:p w14:paraId="1BD502D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49.81</w:t>
                  </w:r>
                </w:p>
              </w:tc>
              <w:tc>
                <w:tcPr>
                  <w:tcW w:w="251" w:type="pct"/>
                  <w:vMerge w:val="continue"/>
                  <w:vAlign w:val="center"/>
                </w:tcPr>
                <w:p w14:paraId="5DBC699F">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420A961F">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7FF7718E">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29.81</w:t>
                  </w:r>
                </w:p>
              </w:tc>
              <w:tc>
                <w:tcPr>
                  <w:tcW w:w="396" w:type="pct"/>
                  <w:vAlign w:val="center"/>
                </w:tcPr>
                <w:p w14:paraId="57B451B2">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79F73880">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2D9617BF">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69" w:type="pct"/>
                  <w:vMerge w:val="continue"/>
                  <w:vAlign w:val="center"/>
                </w:tcPr>
                <w:p w14:paraId="7BEC2ED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shd w:val="clear" w:color="auto" w:fill="auto"/>
                  <w:vAlign w:val="center"/>
                </w:tcPr>
                <w:p w14:paraId="388E21C7">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shd w:val="clear" w:color="auto" w:fill="auto"/>
                  <w:vAlign w:val="center"/>
                </w:tcPr>
                <w:p w14:paraId="30126D13">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410" w:type="pct"/>
                  <w:vMerge w:val="continue"/>
                  <w:vAlign w:val="center"/>
                </w:tcPr>
                <w:p w14:paraId="7833D40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04C7865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504692C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6FB477F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764574B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569C08D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100.74</w:t>
                  </w:r>
                </w:p>
              </w:tc>
              <w:tc>
                <w:tcPr>
                  <w:tcW w:w="416" w:type="pct"/>
                  <w:vAlign w:val="center"/>
                </w:tcPr>
                <w:p w14:paraId="70E142C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49.23</w:t>
                  </w:r>
                </w:p>
              </w:tc>
              <w:tc>
                <w:tcPr>
                  <w:tcW w:w="251" w:type="pct"/>
                  <w:vMerge w:val="continue"/>
                  <w:vAlign w:val="center"/>
                </w:tcPr>
                <w:p w14:paraId="3CDFDF79">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708A98A9">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41AE8193">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29.23</w:t>
                  </w:r>
                </w:p>
              </w:tc>
              <w:tc>
                <w:tcPr>
                  <w:tcW w:w="396" w:type="pct"/>
                  <w:vAlign w:val="center"/>
                </w:tcPr>
                <w:p w14:paraId="09FED19F">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3DC55EA1">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268754A4">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69" w:type="pct"/>
                  <w:vMerge w:val="continue"/>
                  <w:vAlign w:val="center"/>
                </w:tcPr>
                <w:p w14:paraId="240B7EDB">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shd w:val="clear" w:color="auto" w:fill="auto"/>
                  <w:vAlign w:val="center"/>
                </w:tcPr>
                <w:p w14:paraId="4F70090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shd w:val="clear" w:color="auto" w:fill="auto"/>
                  <w:vAlign w:val="center"/>
                </w:tcPr>
                <w:p w14:paraId="2B2981BE">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410" w:type="pct"/>
                  <w:vMerge w:val="continue"/>
                  <w:vAlign w:val="center"/>
                </w:tcPr>
                <w:p w14:paraId="7D6D03B1">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79A78318">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3A0BFDA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7318859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02531451">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4C2D6C2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155.90</w:t>
                  </w:r>
                </w:p>
              </w:tc>
              <w:tc>
                <w:tcPr>
                  <w:tcW w:w="416" w:type="pct"/>
                  <w:vAlign w:val="center"/>
                </w:tcPr>
                <w:p w14:paraId="47692DB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49.15</w:t>
                  </w:r>
                </w:p>
              </w:tc>
              <w:tc>
                <w:tcPr>
                  <w:tcW w:w="251" w:type="pct"/>
                  <w:vMerge w:val="continue"/>
                  <w:vAlign w:val="center"/>
                </w:tcPr>
                <w:p w14:paraId="4DE81A81">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493DFC7A">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66D4E4C0">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29.15</w:t>
                  </w:r>
                </w:p>
              </w:tc>
              <w:tc>
                <w:tcPr>
                  <w:tcW w:w="396" w:type="pct"/>
                  <w:vAlign w:val="center"/>
                </w:tcPr>
                <w:p w14:paraId="222DC3EF">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0A916F03">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739E72A6">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69" w:type="pct"/>
                  <w:vMerge w:val="continue"/>
                  <w:vAlign w:val="center"/>
                </w:tcPr>
                <w:p w14:paraId="3ED54739">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shd w:val="clear" w:color="auto" w:fill="auto"/>
                  <w:vAlign w:val="center"/>
                </w:tcPr>
                <w:p w14:paraId="59961AD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shd w:val="clear" w:color="auto" w:fill="auto"/>
                  <w:vAlign w:val="center"/>
                </w:tcPr>
                <w:p w14:paraId="3D7BD3A3">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410" w:type="pct"/>
                  <w:vMerge w:val="continue"/>
                  <w:vAlign w:val="center"/>
                </w:tcPr>
                <w:p w14:paraId="7012C04A">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2EC3208A">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0742F1BA">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4B3E754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57664BE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4182699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67.92</w:t>
                  </w:r>
                </w:p>
              </w:tc>
              <w:tc>
                <w:tcPr>
                  <w:tcW w:w="416" w:type="pct"/>
                  <w:vAlign w:val="center"/>
                </w:tcPr>
                <w:p w14:paraId="1A9D91A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49.38</w:t>
                  </w:r>
                </w:p>
              </w:tc>
              <w:tc>
                <w:tcPr>
                  <w:tcW w:w="251" w:type="pct"/>
                  <w:vMerge w:val="continue"/>
                  <w:vAlign w:val="center"/>
                </w:tcPr>
                <w:p w14:paraId="77E0044B">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3853613D">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60E0FDC8">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29.38</w:t>
                  </w:r>
                </w:p>
              </w:tc>
              <w:tc>
                <w:tcPr>
                  <w:tcW w:w="396" w:type="pct"/>
                  <w:vAlign w:val="center"/>
                </w:tcPr>
                <w:p w14:paraId="697DF6AC">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7272D803">
              <w:tblPrEx>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20AA3114">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69" w:type="pct"/>
                  <w:vMerge w:val="continue"/>
                  <w:vAlign w:val="center"/>
                </w:tcPr>
                <w:p w14:paraId="3CB1A89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shd w:val="clear" w:color="auto" w:fill="auto"/>
                  <w:vAlign w:val="center"/>
                </w:tcPr>
                <w:p w14:paraId="2291361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shd w:val="clear" w:color="auto" w:fill="auto"/>
                  <w:vAlign w:val="center"/>
                </w:tcPr>
                <w:p w14:paraId="73A0B561">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410" w:type="pct"/>
                  <w:vMerge w:val="continue"/>
                  <w:vAlign w:val="center"/>
                </w:tcPr>
                <w:p w14:paraId="0F213F2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6558501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29B9344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34780E3B">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6D5F63D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0F1C144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191.97</w:t>
                  </w:r>
                </w:p>
              </w:tc>
              <w:tc>
                <w:tcPr>
                  <w:tcW w:w="416" w:type="pct"/>
                  <w:vAlign w:val="center"/>
                </w:tcPr>
                <w:p w14:paraId="788F751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49.13</w:t>
                  </w:r>
                </w:p>
              </w:tc>
              <w:tc>
                <w:tcPr>
                  <w:tcW w:w="251" w:type="pct"/>
                  <w:vMerge w:val="continue"/>
                  <w:vAlign w:val="center"/>
                </w:tcPr>
                <w:p w14:paraId="5F72C8F6">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08569D3E">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4E9E12F3">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29.13</w:t>
                  </w:r>
                </w:p>
              </w:tc>
              <w:tc>
                <w:tcPr>
                  <w:tcW w:w="396" w:type="pct"/>
                  <w:vAlign w:val="center"/>
                </w:tcPr>
                <w:p w14:paraId="2E2A793F">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07862711">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restart"/>
                  <w:shd w:val="clear" w:color="auto" w:fill="auto"/>
                  <w:vAlign w:val="center"/>
                </w:tcPr>
                <w:p w14:paraId="5FFE4909">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269" w:type="pct"/>
                  <w:vMerge w:val="continue"/>
                  <w:vAlign w:val="center"/>
                </w:tcPr>
                <w:p w14:paraId="7A4EB80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restart"/>
                  <w:shd w:val="clear" w:color="auto" w:fill="auto"/>
                  <w:vAlign w:val="center"/>
                </w:tcPr>
                <w:p w14:paraId="14B3B513">
                  <w:pPr>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桥式起重机</w:t>
                  </w:r>
                </w:p>
              </w:tc>
              <w:tc>
                <w:tcPr>
                  <w:tcW w:w="299" w:type="pct"/>
                  <w:vMerge w:val="restart"/>
                  <w:shd w:val="clear" w:color="auto" w:fill="auto"/>
                  <w:vAlign w:val="center"/>
                </w:tcPr>
                <w:p w14:paraId="03BF78DD">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w:t>
                  </w:r>
                </w:p>
              </w:tc>
              <w:tc>
                <w:tcPr>
                  <w:tcW w:w="410" w:type="pct"/>
                  <w:vMerge w:val="restart"/>
                  <w:vAlign w:val="center"/>
                </w:tcPr>
                <w:p w14:paraId="40931951">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80/1</w:t>
                  </w:r>
                </w:p>
              </w:tc>
              <w:tc>
                <w:tcPr>
                  <w:tcW w:w="437" w:type="pct"/>
                  <w:vMerge w:val="continue"/>
                  <w:vAlign w:val="center"/>
                </w:tcPr>
                <w:p w14:paraId="1C04AFD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restart"/>
                  <w:vAlign w:val="center"/>
                </w:tcPr>
                <w:p w14:paraId="59A60E5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91.16</w:t>
                  </w:r>
                </w:p>
              </w:tc>
              <w:tc>
                <w:tcPr>
                  <w:tcW w:w="283" w:type="pct"/>
                  <w:vMerge w:val="restart"/>
                  <w:vAlign w:val="center"/>
                </w:tcPr>
                <w:p w14:paraId="7BAB523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204.12</w:t>
                  </w:r>
                </w:p>
              </w:tc>
              <w:tc>
                <w:tcPr>
                  <w:tcW w:w="254" w:type="pct"/>
                  <w:vMerge w:val="restart"/>
                  <w:vAlign w:val="center"/>
                </w:tcPr>
                <w:p w14:paraId="5729D9D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342" w:type="pct"/>
                  <w:vAlign w:val="center"/>
                </w:tcPr>
                <w:p w14:paraId="7FE2983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58.12</w:t>
                  </w:r>
                </w:p>
              </w:tc>
              <w:tc>
                <w:tcPr>
                  <w:tcW w:w="416" w:type="pct"/>
                  <w:vAlign w:val="center"/>
                </w:tcPr>
                <w:p w14:paraId="146C440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52.98</w:t>
                  </w:r>
                </w:p>
              </w:tc>
              <w:tc>
                <w:tcPr>
                  <w:tcW w:w="251" w:type="pct"/>
                  <w:vMerge w:val="continue"/>
                  <w:vAlign w:val="center"/>
                </w:tcPr>
                <w:p w14:paraId="2B10102B">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48BC5307">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128787DB">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32.98</w:t>
                  </w:r>
                </w:p>
              </w:tc>
              <w:tc>
                <w:tcPr>
                  <w:tcW w:w="396" w:type="pct"/>
                  <w:vAlign w:val="center"/>
                </w:tcPr>
                <w:p w14:paraId="684FE805">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1328537F">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19EF876B">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69" w:type="pct"/>
                  <w:vMerge w:val="continue"/>
                  <w:vAlign w:val="center"/>
                </w:tcPr>
                <w:p w14:paraId="1E29F83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shd w:val="clear" w:color="auto" w:fill="auto"/>
                  <w:vAlign w:val="center"/>
                </w:tcPr>
                <w:p w14:paraId="4000EA71">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shd w:val="clear" w:color="auto" w:fill="auto"/>
                  <w:vAlign w:val="center"/>
                </w:tcPr>
                <w:p w14:paraId="26EAC07C">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410" w:type="pct"/>
                  <w:vMerge w:val="continue"/>
                  <w:vAlign w:val="center"/>
                </w:tcPr>
                <w:p w14:paraId="184A6D5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584E644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710EA80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7FC6C610">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1359758A">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22CF5E0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103.77</w:t>
                  </w:r>
                </w:p>
              </w:tc>
              <w:tc>
                <w:tcPr>
                  <w:tcW w:w="416" w:type="pct"/>
                  <w:vAlign w:val="center"/>
                </w:tcPr>
                <w:p w14:paraId="2272E33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52.72</w:t>
                  </w:r>
                </w:p>
              </w:tc>
              <w:tc>
                <w:tcPr>
                  <w:tcW w:w="251" w:type="pct"/>
                  <w:vMerge w:val="continue"/>
                  <w:vAlign w:val="center"/>
                </w:tcPr>
                <w:p w14:paraId="193895E0">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71A31D2B">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2F5309DF">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32.72</w:t>
                  </w:r>
                </w:p>
              </w:tc>
              <w:tc>
                <w:tcPr>
                  <w:tcW w:w="396" w:type="pct"/>
                  <w:vAlign w:val="center"/>
                </w:tcPr>
                <w:p w14:paraId="2856D0AC">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26070171">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49C17FBA">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69" w:type="pct"/>
                  <w:vMerge w:val="continue"/>
                  <w:vAlign w:val="center"/>
                </w:tcPr>
                <w:p w14:paraId="263EAF06">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shd w:val="clear" w:color="auto" w:fill="auto"/>
                  <w:vAlign w:val="center"/>
                </w:tcPr>
                <w:p w14:paraId="0843D597">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shd w:val="clear" w:color="auto" w:fill="auto"/>
                  <w:vAlign w:val="center"/>
                </w:tcPr>
                <w:p w14:paraId="4C43F02B">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410" w:type="pct"/>
                  <w:vMerge w:val="continue"/>
                  <w:vAlign w:val="center"/>
                </w:tcPr>
                <w:p w14:paraId="4B9ADE1B">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6A71F18B">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4C54C559">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16A2A51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09B8014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51FC602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45.65</w:t>
                  </w:r>
                </w:p>
              </w:tc>
              <w:tc>
                <w:tcPr>
                  <w:tcW w:w="416" w:type="pct"/>
                  <w:vAlign w:val="center"/>
                </w:tcPr>
                <w:p w14:paraId="3A2F3B7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53.20</w:t>
                  </w:r>
                </w:p>
              </w:tc>
              <w:tc>
                <w:tcPr>
                  <w:tcW w:w="251" w:type="pct"/>
                  <w:vMerge w:val="continue"/>
                  <w:vAlign w:val="center"/>
                </w:tcPr>
                <w:p w14:paraId="2F3F4C0E">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60C06A24">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1461C769">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33.2</w:t>
                  </w:r>
                </w:p>
              </w:tc>
              <w:tc>
                <w:tcPr>
                  <w:tcW w:w="396" w:type="pct"/>
                  <w:vAlign w:val="center"/>
                </w:tcPr>
                <w:p w14:paraId="3560AF96">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021F9E15">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161BC8C7">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69" w:type="pct"/>
                  <w:vMerge w:val="continue"/>
                  <w:vAlign w:val="center"/>
                </w:tcPr>
                <w:p w14:paraId="33FCA42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shd w:val="clear" w:color="auto" w:fill="auto"/>
                  <w:vAlign w:val="center"/>
                </w:tcPr>
                <w:p w14:paraId="4A93A0D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shd w:val="clear" w:color="auto" w:fill="auto"/>
                  <w:vAlign w:val="center"/>
                </w:tcPr>
                <w:p w14:paraId="574DB8EF">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410" w:type="pct"/>
                  <w:vMerge w:val="continue"/>
                  <w:vAlign w:val="center"/>
                </w:tcPr>
                <w:p w14:paraId="58C6362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43E1EAAB">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5ED6AB4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28F7D17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2D1A008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31CB656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93.00</w:t>
                  </w:r>
                </w:p>
              </w:tc>
              <w:tc>
                <w:tcPr>
                  <w:tcW w:w="416" w:type="pct"/>
                  <w:vAlign w:val="center"/>
                </w:tcPr>
                <w:p w14:paraId="74165FA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52.75</w:t>
                  </w:r>
                </w:p>
              </w:tc>
              <w:tc>
                <w:tcPr>
                  <w:tcW w:w="251" w:type="pct"/>
                  <w:vMerge w:val="continue"/>
                  <w:vAlign w:val="center"/>
                </w:tcPr>
                <w:p w14:paraId="2939D44C">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1E93D061">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1E7D2487">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32.75</w:t>
                  </w:r>
                </w:p>
              </w:tc>
              <w:tc>
                <w:tcPr>
                  <w:tcW w:w="396" w:type="pct"/>
                  <w:vAlign w:val="center"/>
                </w:tcPr>
                <w:p w14:paraId="664548F3">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78C6CF94">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383B7F7E">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69" w:type="pct"/>
                  <w:vMerge w:val="continue"/>
                  <w:vAlign w:val="center"/>
                </w:tcPr>
                <w:p w14:paraId="2996383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shd w:val="clear" w:color="auto" w:fill="auto"/>
                  <w:vAlign w:val="center"/>
                </w:tcPr>
                <w:p w14:paraId="36845B7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shd w:val="clear" w:color="auto" w:fill="auto"/>
                  <w:vAlign w:val="center"/>
                </w:tcPr>
                <w:p w14:paraId="61C43A04">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410" w:type="pct"/>
                  <w:vMerge w:val="continue"/>
                  <w:vAlign w:val="center"/>
                </w:tcPr>
                <w:p w14:paraId="4FCFDB83">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06B638F0">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61FD4AC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61CEC418">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7F26079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7EC9999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13.50</w:t>
                  </w:r>
                </w:p>
              </w:tc>
              <w:tc>
                <w:tcPr>
                  <w:tcW w:w="416" w:type="pct"/>
                  <w:vAlign w:val="center"/>
                </w:tcPr>
                <w:p w14:paraId="72BCD2B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56.91</w:t>
                  </w:r>
                </w:p>
              </w:tc>
              <w:tc>
                <w:tcPr>
                  <w:tcW w:w="251" w:type="pct"/>
                  <w:vMerge w:val="continue"/>
                  <w:vAlign w:val="center"/>
                </w:tcPr>
                <w:p w14:paraId="46FBC588">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542600E2">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1942C40F">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36.91</w:t>
                  </w:r>
                </w:p>
              </w:tc>
              <w:tc>
                <w:tcPr>
                  <w:tcW w:w="396" w:type="pct"/>
                  <w:vAlign w:val="center"/>
                </w:tcPr>
                <w:p w14:paraId="373F1C98">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4A4F0BB8">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12B3DEF7">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69" w:type="pct"/>
                  <w:vMerge w:val="continue"/>
                  <w:vAlign w:val="center"/>
                </w:tcPr>
                <w:p w14:paraId="117BA803">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shd w:val="clear" w:color="auto" w:fill="auto"/>
                  <w:vAlign w:val="center"/>
                </w:tcPr>
                <w:p w14:paraId="0CC74F81">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shd w:val="clear" w:color="auto" w:fill="auto"/>
                  <w:vAlign w:val="center"/>
                </w:tcPr>
                <w:p w14:paraId="6963A861">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410" w:type="pct"/>
                  <w:vMerge w:val="continue"/>
                  <w:vAlign w:val="center"/>
                </w:tcPr>
                <w:p w14:paraId="5FD942A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7EA1141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6A2FE060">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470CEC4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308F070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2DAFCDB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131.57</w:t>
                  </w:r>
                </w:p>
              </w:tc>
              <w:tc>
                <w:tcPr>
                  <w:tcW w:w="416" w:type="pct"/>
                  <w:vAlign w:val="center"/>
                </w:tcPr>
                <w:p w14:paraId="0223EC4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52.67</w:t>
                  </w:r>
                </w:p>
              </w:tc>
              <w:tc>
                <w:tcPr>
                  <w:tcW w:w="251" w:type="pct"/>
                  <w:vMerge w:val="continue"/>
                  <w:vAlign w:val="center"/>
                </w:tcPr>
                <w:p w14:paraId="3A1A0C21">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2238DC79">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0E44493D">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32.67</w:t>
                  </w:r>
                </w:p>
              </w:tc>
              <w:tc>
                <w:tcPr>
                  <w:tcW w:w="396" w:type="pct"/>
                  <w:vAlign w:val="center"/>
                </w:tcPr>
                <w:p w14:paraId="10E3BBF0">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19C8A0FC">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restart"/>
                  <w:shd w:val="clear" w:color="auto" w:fill="auto"/>
                  <w:vAlign w:val="center"/>
                </w:tcPr>
                <w:p w14:paraId="618AA4CD">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269" w:type="pct"/>
                  <w:vMerge w:val="continue"/>
                  <w:vAlign w:val="center"/>
                </w:tcPr>
                <w:p w14:paraId="4F6AE171">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restart"/>
                  <w:shd w:val="clear" w:color="auto" w:fill="auto"/>
                  <w:vAlign w:val="center"/>
                </w:tcPr>
                <w:p w14:paraId="3FD02F1D">
                  <w:pPr>
                    <w:widowControl/>
                    <w:spacing w:line="240" w:lineRule="auto"/>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液压站</w:t>
                  </w:r>
                </w:p>
              </w:tc>
              <w:tc>
                <w:tcPr>
                  <w:tcW w:w="299" w:type="pct"/>
                  <w:vMerge w:val="restart"/>
                  <w:shd w:val="clear" w:color="auto" w:fill="auto"/>
                  <w:vAlign w:val="center"/>
                </w:tcPr>
                <w:p w14:paraId="3F8DFD41">
                  <w:pPr>
                    <w:widowControl/>
                    <w:spacing w:line="240" w:lineRule="auto"/>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410" w:type="pct"/>
                  <w:vMerge w:val="restart"/>
                  <w:vAlign w:val="center"/>
                </w:tcPr>
                <w:p w14:paraId="0F1DF196">
                  <w:pPr>
                    <w:widowControl/>
                    <w:spacing w:line="240" w:lineRule="auto"/>
                    <w:jc w:val="center"/>
                    <w:textAlignment w:val="bottom"/>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color w:val="auto"/>
                      <w:sz w:val="21"/>
                      <w:szCs w:val="21"/>
                      <w:highlight w:val="none"/>
                      <w:lang w:val="en-US" w:eastAsia="zh-CN"/>
                    </w:rPr>
                    <w:t>80/1</w:t>
                  </w:r>
                </w:p>
              </w:tc>
              <w:tc>
                <w:tcPr>
                  <w:tcW w:w="437" w:type="pct"/>
                  <w:vMerge w:val="continue"/>
                  <w:vAlign w:val="center"/>
                </w:tcPr>
                <w:p w14:paraId="67FC63D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restart"/>
                  <w:vAlign w:val="center"/>
                </w:tcPr>
                <w:p w14:paraId="7E68EEC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157.84</w:t>
                  </w:r>
                </w:p>
              </w:tc>
              <w:tc>
                <w:tcPr>
                  <w:tcW w:w="283" w:type="pct"/>
                  <w:vMerge w:val="restart"/>
                  <w:vAlign w:val="center"/>
                </w:tcPr>
                <w:p w14:paraId="7BFBEED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218.49</w:t>
                  </w:r>
                </w:p>
              </w:tc>
              <w:tc>
                <w:tcPr>
                  <w:tcW w:w="254" w:type="pct"/>
                  <w:vMerge w:val="restart"/>
                  <w:vAlign w:val="center"/>
                </w:tcPr>
                <w:p w14:paraId="01D5149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342" w:type="pct"/>
                  <w:vAlign w:val="center"/>
                </w:tcPr>
                <w:p w14:paraId="1703B3B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62.53</w:t>
                  </w:r>
                </w:p>
              </w:tc>
              <w:tc>
                <w:tcPr>
                  <w:tcW w:w="416" w:type="pct"/>
                  <w:vAlign w:val="center"/>
                </w:tcPr>
                <w:p w14:paraId="3C430CA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44.43</w:t>
                  </w:r>
                </w:p>
              </w:tc>
              <w:tc>
                <w:tcPr>
                  <w:tcW w:w="251" w:type="pct"/>
                  <w:vMerge w:val="continue"/>
                  <w:vAlign w:val="center"/>
                </w:tcPr>
                <w:p w14:paraId="61019FE0">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736BB013">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7AF0658B">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24.43</w:t>
                  </w:r>
                </w:p>
              </w:tc>
              <w:tc>
                <w:tcPr>
                  <w:tcW w:w="396" w:type="pct"/>
                  <w:vAlign w:val="center"/>
                </w:tcPr>
                <w:p w14:paraId="374DEC9F">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2A30B860">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7A3F6FC5">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69" w:type="pct"/>
                  <w:vMerge w:val="continue"/>
                  <w:vAlign w:val="center"/>
                </w:tcPr>
                <w:p w14:paraId="097AA34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shd w:val="clear" w:color="auto" w:fill="auto"/>
                  <w:vAlign w:val="center"/>
                </w:tcPr>
                <w:p w14:paraId="6AE962F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shd w:val="clear" w:color="auto" w:fill="auto"/>
                  <w:vAlign w:val="center"/>
                </w:tcPr>
                <w:p w14:paraId="760A13C2">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410" w:type="pct"/>
                  <w:vMerge w:val="continue"/>
                  <w:vAlign w:val="center"/>
                </w:tcPr>
                <w:p w14:paraId="39794FC0">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1BA30EE3">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23B73CF9">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6E1343A8">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25472DB3">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3AEFF71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171.84</w:t>
                  </w:r>
                </w:p>
              </w:tc>
              <w:tc>
                <w:tcPr>
                  <w:tcW w:w="416" w:type="pct"/>
                  <w:vAlign w:val="center"/>
                </w:tcPr>
                <w:p w14:paraId="11BE8E8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44.14</w:t>
                  </w:r>
                </w:p>
              </w:tc>
              <w:tc>
                <w:tcPr>
                  <w:tcW w:w="251" w:type="pct"/>
                  <w:vMerge w:val="continue"/>
                  <w:vAlign w:val="center"/>
                </w:tcPr>
                <w:p w14:paraId="66E4D035">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7CEB6CC2">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380CE126">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24.14</w:t>
                  </w:r>
                </w:p>
              </w:tc>
              <w:tc>
                <w:tcPr>
                  <w:tcW w:w="396" w:type="pct"/>
                  <w:vAlign w:val="center"/>
                </w:tcPr>
                <w:p w14:paraId="0D2D3BB5">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61F7A6CD">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3F3FB67B">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69" w:type="pct"/>
                  <w:vMerge w:val="continue"/>
                  <w:vAlign w:val="center"/>
                </w:tcPr>
                <w:p w14:paraId="5F6C8268">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shd w:val="clear" w:color="auto" w:fill="auto"/>
                  <w:vAlign w:val="center"/>
                </w:tcPr>
                <w:p w14:paraId="5BA8F2FA">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shd w:val="clear" w:color="auto" w:fill="auto"/>
                  <w:vAlign w:val="center"/>
                </w:tcPr>
                <w:p w14:paraId="21C1099D">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410" w:type="pct"/>
                  <w:vMerge w:val="continue"/>
                  <w:vAlign w:val="center"/>
                </w:tcPr>
                <w:p w14:paraId="67B97ED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34DEC22A">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26A68C88">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4B1A00C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54961006">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7A7A43F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40.02</w:t>
                  </w:r>
                </w:p>
              </w:tc>
              <w:tc>
                <w:tcPr>
                  <w:tcW w:w="416" w:type="pct"/>
                  <w:vAlign w:val="center"/>
                </w:tcPr>
                <w:p w14:paraId="31F3FC4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44.86</w:t>
                  </w:r>
                </w:p>
              </w:tc>
              <w:tc>
                <w:tcPr>
                  <w:tcW w:w="251" w:type="pct"/>
                  <w:vMerge w:val="continue"/>
                  <w:vAlign w:val="center"/>
                </w:tcPr>
                <w:p w14:paraId="26BED31D">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5EAACF73">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59559F34">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24.86</w:t>
                  </w:r>
                </w:p>
              </w:tc>
              <w:tc>
                <w:tcPr>
                  <w:tcW w:w="396" w:type="pct"/>
                  <w:vAlign w:val="center"/>
                </w:tcPr>
                <w:p w14:paraId="1B44D7B8">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7FCAC04B">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405717B4">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69" w:type="pct"/>
                  <w:vMerge w:val="continue"/>
                  <w:vAlign w:val="center"/>
                </w:tcPr>
                <w:p w14:paraId="7625DB7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shd w:val="clear" w:color="auto" w:fill="auto"/>
                  <w:vAlign w:val="center"/>
                </w:tcPr>
                <w:p w14:paraId="0D41F77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shd w:val="clear" w:color="auto" w:fill="auto"/>
                  <w:vAlign w:val="center"/>
                </w:tcPr>
                <w:p w14:paraId="4BF4E1F7">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410" w:type="pct"/>
                  <w:vMerge w:val="continue"/>
                  <w:vAlign w:val="center"/>
                </w:tcPr>
                <w:p w14:paraId="0551704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6EB92A0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4484629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722D504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637EA5A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0D212DE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24.89</w:t>
                  </w:r>
                </w:p>
              </w:tc>
              <w:tc>
                <w:tcPr>
                  <w:tcW w:w="416" w:type="pct"/>
                  <w:vAlign w:val="center"/>
                </w:tcPr>
                <w:p w14:paraId="6D5441C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45.86</w:t>
                  </w:r>
                </w:p>
              </w:tc>
              <w:tc>
                <w:tcPr>
                  <w:tcW w:w="251" w:type="pct"/>
                  <w:vMerge w:val="continue"/>
                  <w:vAlign w:val="center"/>
                </w:tcPr>
                <w:p w14:paraId="604D005C">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3770F418">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39A3B95C">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25.86</w:t>
                  </w:r>
                </w:p>
              </w:tc>
              <w:tc>
                <w:tcPr>
                  <w:tcW w:w="396" w:type="pct"/>
                  <w:vAlign w:val="center"/>
                </w:tcPr>
                <w:p w14:paraId="56F92D00">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0AEF19E9">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7237966F">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69" w:type="pct"/>
                  <w:vMerge w:val="continue"/>
                  <w:vAlign w:val="center"/>
                </w:tcPr>
                <w:p w14:paraId="08D9FEB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shd w:val="clear" w:color="auto" w:fill="auto"/>
                  <w:vAlign w:val="center"/>
                </w:tcPr>
                <w:p w14:paraId="768842E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shd w:val="clear" w:color="auto" w:fill="auto"/>
                  <w:vAlign w:val="center"/>
                </w:tcPr>
                <w:p w14:paraId="79FB406D">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410" w:type="pct"/>
                  <w:vMerge w:val="continue"/>
                  <w:vAlign w:val="center"/>
                </w:tcPr>
                <w:p w14:paraId="78ABE1D9">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3063E330">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6B9D599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5A22750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227472F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6C96A83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8.63</w:t>
                  </w:r>
                </w:p>
              </w:tc>
              <w:tc>
                <w:tcPr>
                  <w:tcW w:w="416" w:type="pct"/>
                  <w:vAlign w:val="center"/>
                </w:tcPr>
                <w:p w14:paraId="0520B4E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51.22</w:t>
                  </w:r>
                </w:p>
              </w:tc>
              <w:tc>
                <w:tcPr>
                  <w:tcW w:w="251" w:type="pct"/>
                  <w:vMerge w:val="continue"/>
                  <w:vAlign w:val="center"/>
                </w:tcPr>
                <w:p w14:paraId="54E9D29E">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29474329">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7A91C4F9">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31.22</w:t>
                  </w:r>
                </w:p>
              </w:tc>
              <w:tc>
                <w:tcPr>
                  <w:tcW w:w="396" w:type="pct"/>
                  <w:vAlign w:val="center"/>
                </w:tcPr>
                <w:p w14:paraId="1DB6EB05">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50D1C453">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0C15F4E8">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69" w:type="pct"/>
                  <w:vMerge w:val="continue"/>
                  <w:vAlign w:val="center"/>
                </w:tcPr>
                <w:p w14:paraId="0B117B0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shd w:val="clear" w:color="auto" w:fill="auto"/>
                  <w:vAlign w:val="center"/>
                </w:tcPr>
                <w:p w14:paraId="4A85347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shd w:val="clear" w:color="auto" w:fill="auto"/>
                  <w:vAlign w:val="center"/>
                </w:tcPr>
                <w:p w14:paraId="657249B2">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410" w:type="pct"/>
                  <w:vMerge w:val="continue"/>
                  <w:vAlign w:val="center"/>
                </w:tcPr>
                <w:p w14:paraId="3C74D52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708D91A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53918F61">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1D6BF6B7">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05186E90">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3D64A17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63.69</w:t>
                  </w:r>
                </w:p>
              </w:tc>
              <w:tc>
                <w:tcPr>
                  <w:tcW w:w="416" w:type="pct"/>
                  <w:vAlign w:val="center"/>
                </w:tcPr>
                <w:p w14:paraId="1BED429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44.41</w:t>
                  </w:r>
                </w:p>
              </w:tc>
              <w:tc>
                <w:tcPr>
                  <w:tcW w:w="251" w:type="pct"/>
                  <w:vMerge w:val="continue"/>
                  <w:vAlign w:val="center"/>
                </w:tcPr>
                <w:p w14:paraId="6B828B91">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37D24770">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2F621BDA">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24.41</w:t>
                  </w:r>
                </w:p>
              </w:tc>
              <w:tc>
                <w:tcPr>
                  <w:tcW w:w="396" w:type="pct"/>
                  <w:vAlign w:val="center"/>
                </w:tcPr>
                <w:p w14:paraId="76C9DBA2">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bl>
          <w:p w14:paraId="59B9EE40">
            <w:pPr>
              <w:ind w:firstLine="420" w:firstLineChars="200"/>
              <w:rPr>
                <w:color w:val="auto"/>
                <w:highlight w:val="cyan"/>
              </w:rPr>
            </w:pPr>
            <w:r>
              <w:rPr>
                <w:color w:val="auto"/>
                <w:sz w:val="21"/>
                <w:szCs w:val="21"/>
              </w:rPr>
              <w:t>备注：</w:t>
            </w:r>
            <w:r>
              <w:rPr>
                <w:color w:val="auto"/>
                <w:sz w:val="21"/>
                <w:szCs w:val="21"/>
                <w:highlight w:val="none"/>
              </w:rPr>
              <w:t>本项目</w:t>
            </w:r>
            <w:r>
              <w:rPr>
                <w:rFonts w:hint="eastAsia"/>
                <w:color w:val="auto"/>
                <w:sz w:val="21"/>
                <w:szCs w:val="21"/>
                <w:highlight w:val="none"/>
                <w:lang w:val="en-US" w:eastAsia="zh-CN"/>
              </w:rPr>
              <w:t>以厂区西南角</w:t>
            </w:r>
            <w:r>
              <w:rPr>
                <w:color w:val="auto"/>
                <w:sz w:val="21"/>
                <w:szCs w:val="21"/>
                <w:highlight w:val="none"/>
              </w:rPr>
              <w:t>作为坐标原点，北向为Y轴正方向，东向为X轴正方向；</w:t>
            </w:r>
            <w:r>
              <w:rPr>
                <w:color w:val="auto"/>
                <w:sz w:val="21"/>
                <w:szCs w:val="21"/>
              </w:rPr>
              <w:t>根据《环境影响评价技术导则-声环境》（HJ2.4-2021）每类设备作业区域集中且有大致相同的强度和地面高度，到接收点有相同的传播条件，可按作为点声源组，点声源组可以用处在组的中部的等效点声源分析，本项目涉及</w:t>
            </w:r>
            <w:r>
              <w:rPr>
                <w:rFonts w:hint="eastAsia"/>
                <w:color w:val="auto"/>
                <w:sz w:val="21"/>
                <w:szCs w:val="21"/>
              </w:rPr>
              <w:t>多台同种类设备分别各自</w:t>
            </w:r>
            <w:r>
              <w:rPr>
                <w:color w:val="auto"/>
                <w:sz w:val="21"/>
                <w:szCs w:val="21"/>
              </w:rPr>
              <w:t>作为点声源组</w:t>
            </w:r>
            <w:r>
              <w:rPr>
                <w:rFonts w:hint="eastAsia"/>
                <w:color w:val="auto"/>
                <w:sz w:val="21"/>
                <w:szCs w:val="21"/>
              </w:rPr>
              <w:t>，</w:t>
            </w:r>
            <w:r>
              <w:rPr>
                <w:color w:val="auto"/>
                <w:sz w:val="21"/>
                <w:szCs w:val="21"/>
              </w:rPr>
              <w:t>等效为一个点声源分析。</w:t>
            </w:r>
          </w:p>
        </w:tc>
      </w:tr>
    </w:tbl>
    <w:p w14:paraId="2199F61E">
      <w:pPr>
        <w:rPr>
          <w:color w:val="auto"/>
        </w:rPr>
        <w:sectPr>
          <w:pgSz w:w="16840" w:h="11907" w:orient="landscape"/>
          <w:pgMar w:top="1531" w:right="1701" w:bottom="1531" w:left="1701" w:header="851" w:footer="851" w:gutter="0"/>
          <w:cols w:space="720" w:num="1"/>
          <w:docGrid w:linePitch="312" w:charSpace="0"/>
        </w:sectPr>
      </w:pPr>
    </w:p>
    <w:tbl>
      <w:tblPr>
        <w:tblStyle w:val="33"/>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37"/>
        <w:gridCol w:w="8244"/>
      </w:tblGrid>
      <w:tr w14:paraId="2F2ECC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2552" w:hRule="atLeast"/>
          <w:jc w:val="center"/>
        </w:trPr>
        <w:tc>
          <w:tcPr>
            <w:tcW w:w="737" w:type="dxa"/>
            <w:noWrap/>
            <w:tcMar>
              <w:left w:w="28" w:type="dxa"/>
              <w:right w:w="28" w:type="dxa"/>
            </w:tcMar>
            <w:vAlign w:val="center"/>
          </w:tcPr>
          <w:p w14:paraId="299A2A97">
            <w:pPr>
              <w:pStyle w:val="30"/>
              <w:adjustRightInd w:val="0"/>
              <w:snapToGrid w:val="0"/>
              <w:spacing w:before="0" w:beforeAutospacing="0" w:after="0" w:afterAutospacing="0"/>
              <w:jc w:val="center"/>
              <w:rPr>
                <w:rFonts w:ascii="Times New Roman" w:hAnsi="Times New Roman"/>
                <w:color w:val="auto"/>
                <w:kern w:val="2"/>
                <w:sz w:val="21"/>
                <w:szCs w:val="21"/>
              </w:rPr>
            </w:pPr>
            <w:r>
              <w:rPr>
                <w:rFonts w:ascii="Times New Roman" w:hAnsi="Times New Roman"/>
                <w:color w:val="auto"/>
                <w:kern w:val="2"/>
                <w:sz w:val="21"/>
                <w:szCs w:val="21"/>
              </w:rPr>
              <w:t>运营</w:t>
            </w:r>
          </w:p>
          <w:p w14:paraId="4E930802">
            <w:pPr>
              <w:pStyle w:val="30"/>
              <w:adjustRightInd w:val="0"/>
              <w:snapToGrid w:val="0"/>
              <w:spacing w:before="0" w:beforeAutospacing="0" w:after="0" w:afterAutospacing="0"/>
              <w:jc w:val="center"/>
              <w:rPr>
                <w:rFonts w:ascii="Times New Roman" w:hAnsi="Times New Roman"/>
                <w:color w:val="auto"/>
                <w:kern w:val="2"/>
                <w:sz w:val="21"/>
                <w:szCs w:val="21"/>
              </w:rPr>
            </w:pPr>
            <w:r>
              <w:rPr>
                <w:rFonts w:ascii="Times New Roman" w:hAnsi="Times New Roman"/>
                <w:color w:val="auto"/>
                <w:kern w:val="2"/>
                <w:sz w:val="21"/>
                <w:szCs w:val="21"/>
              </w:rPr>
              <w:t>期环</w:t>
            </w:r>
          </w:p>
          <w:p w14:paraId="09C1A664">
            <w:pPr>
              <w:pStyle w:val="30"/>
              <w:adjustRightInd w:val="0"/>
              <w:snapToGrid w:val="0"/>
              <w:spacing w:before="0" w:beforeAutospacing="0" w:after="0" w:afterAutospacing="0"/>
              <w:jc w:val="center"/>
              <w:rPr>
                <w:rFonts w:ascii="Times New Roman" w:hAnsi="Times New Roman"/>
                <w:color w:val="auto"/>
                <w:kern w:val="2"/>
                <w:sz w:val="21"/>
                <w:szCs w:val="21"/>
              </w:rPr>
            </w:pPr>
            <w:r>
              <w:rPr>
                <w:rFonts w:ascii="Times New Roman" w:hAnsi="Times New Roman"/>
                <w:color w:val="auto"/>
                <w:kern w:val="2"/>
                <w:sz w:val="21"/>
                <w:szCs w:val="21"/>
              </w:rPr>
              <w:t>境影</w:t>
            </w:r>
          </w:p>
          <w:p w14:paraId="07ADCE0A">
            <w:pPr>
              <w:pStyle w:val="30"/>
              <w:adjustRightInd w:val="0"/>
              <w:snapToGrid w:val="0"/>
              <w:spacing w:before="0" w:beforeAutospacing="0" w:after="0" w:afterAutospacing="0"/>
              <w:jc w:val="center"/>
              <w:rPr>
                <w:rFonts w:ascii="Times New Roman" w:hAnsi="Times New Roman"/>
                <w:color w:val="auto"/>
                <w:kern w:val="2"/>
                <w:sz w:val="21"/>
                <w:szCs w:val="21"/>
              </w:rPr>
            </w:pPr>
            <w:r>
              <w:rPr>
                <w:rFonts w:ascii="Times New Roman" w:hAnsi="Times New Roman"/>
                <w:color w:val="auto"/>
                <w:kern w:val="2"/>
                <w:sz w:val="21"/>
                <w:szCs w:val="21"/>
              </w:rPr>
              <w:t>响和</w:t>
            </w:r>
          </w:p>
          <w:p w14:paraId="530BD8DC">
            <w:pPr>
              <w:pStyle w:val="30"/>
              <w:adjustRightInd w:val="0"/>
              <w:snapToGrid w:val="0"/>
              <w:spacing w:before="0" w:beforeAutospacing="0" w:after="0" w:afterAutospacing="0"/>
              <w:jc w:val="center"/>
              <w:rPr>
                <w:rFonts w:ascii="Times New Roman" w:hAnsi="Times New Roman"/>
                <w:color w:val="auto"/>
                <w:kern w:val="2"/>
                <w:sz w:val="21"/>
                <w:szCs w:val="21"/>
              </w:rPr>
            </w:pPr>
            <w:r>
              <w:rPr>
                <w:rFonts w:ascii="Times New Roman" w:hAnsi="Times New Roman"/>
                <w:color w:val="auto"/>
                <w:kern w:val="2"/>
                <w:sz w:val="21"/>
                <w:szCs w:val="21"/>
              </w:rPr>
              <w:t>保护</w:t>
            </w:r>
          </w:p>
          <w:p w14:paraId="7975A6E9">
            <w:pPr>
              <w:pStyle w:val="30"/>
              <w:adjustRightInd w:val="0"/>
              <w:snapToGrid w:val="0"/>
              <w:spacing w:before="0" w:beforeAutospacing="0" w:after="0" w:afterAutospacing="0"/>
              <w:jc w:val="center"/>
              <w:rPr>
                <w:rFonts w:ascii="Times New Roman" w:hAnsi="Times New Roman"/>
                <w:bCs/>
                <w:color w:val="auto"/>
                <w:kern w:val="2"/>
                <w:sz w:val="21"/>
                <w:szCs w:val="21"/>
              </w:rPr>
            </w:pPr>
            <w:r>
              <w:rPr>
                <w:rFonts w:ascii="Times New Roman" w:hAnsi="Times New Roman"/>
                <w:color w:val="auto"/>
                <w:kern w:val="2"/>
                <w:sz w:val="21"/>
                <w:szCs w:val="21"/>
              </w:rPr>
              <w:t>措施</w:t>
            </w:r>
          </w:p>
        </w:tc>
        <w:tc>
          <w:tcPr>
            <w:tcW w:w="8244" w:type="dxa"/>
            <w:noWrap/>
            <w:vAlign w:val="center"/>
          </w:tcPr>
          <w:p w14:paraId="176004C6">
            <w:pPr>
              <w:pStyle w:val="119"/>
              <w:rPr>
                <w:color w:val="auto"/>
              </w:rPr>
            </w:pPr>
            <w:r>
              <w:rPr>
                <w:rFonts w:hint="eastAsia"/>
                <w:color w:val="auto"/>
              </w:rPr>
              <w:t>3.3 噪声预测及分析</w:t>
            </w:r>
          </w:p>
          <w:p w14:paraId="03C2923B">
            <w:pPr>
              <w:pStyle w:val="119"/>
              <w:rPr>
                <w:rFonts w:cs="宋体"/>
                <w:color w:val="auto"/>
              </w:rPr>
            </w:pPr>
            <w:r>
              <w:rPr>
                <w:rFonts w:hint="eastAsia" w:cs="宋体"/>
                <w:color w:val="auto"/>
              </w:rPr>
              <w:t>（1）预测模式</w:t>
            </w:r>
          </w:p>
          <w:p w14:paraId="726F4AE1">
            <w:pPr>
              <w:widowControl/>
              <w:spacing w:line="360" w:lineRule="auto"/>
              <w:ind w:firstLine="420" w:firstLineChars="200"/>
              <w:jc w:val="left"/>
              <w:rPr>
                <w:rFonts w:hAnsi="宋体"/>
                <w:bCs/>
                <w:color w:val="auto"/>
                <w:szCs w:val="21"/>
              </w:rPr>
            </w:pPr>
            <w:r>
              <w:rPr>
                <w:rFonts w:hint="eastAsia" w:hAnsi="宋体"/>
                <w:bCs/>
                <w:color w:val="auto"/>
                <w:szCs w:val="21"/>
              </w:rPr>
              <w:t>根据《环境影响评价技术导则 声环境》（HJ2.4-2021）中的预测模型进行预测，本项目的声源包括室内声源，首先将室内声源等效为室外声源，计算其声功率级，然后再计算所有室外声源在预测点产生的声压级。</w:t>
            </w:r>
          </w:p>
          <w:p w14:paraId="56800C06">
            <w:pPr>
              <w:widowControl/>
              <w:spacing w:line="360" w:lineRule="auto"/>
              <w:ind w:left="105" w:leftChars="50" w:firstLine="315" w:firstLineChars="150"/>
              <w:jc w:val="left"/>
              <w:rPr>
                <w:rFonts w:hAnsi="宋体"/>
                <w:bCs/>
                <w:color w:val="auto"/>
                <w:szCs w:val="21"/>
              </w:rPr>
            </w:pPr>
            <w:r>
              <w:rPr>
                <w:rFonts w:hint="eastAsia" w:hAnsi="宋体"/>
                <w:bCs/>
                <w:color w:val="auto"/>
                <w:szCs w:val="21"/>
              </w:rPr>
              <w:t>由于本项目厂界外50米范围内无声环境保护目标，因此本项目仅</w:t>
            </w:r>
            <w:r>
              <w:rPr>
                <w:rFonts w:hAnsi="宋体"/>
                <w:bCs/>
                <w:color w:val="auto"/>
                <w:szCs w:val="21"/>
              </w:rPr>
              <w:t>对厂界噪声贡献值</w:t>
            </w:r>
            <w:r>
              <w:rPr>
                <w:rFonts w:hint="eastAsia" w:hAnsi="宋体"/>
                <w:bCs/>
                <w:color w:val="auto"/>
                <w:szCs w:val="21"/>
              </w:rPr>
              <w:t>和预测值</w:t>
            </w:r>
            <w:r>
              <w:rPr>
                <w:rFonts w:hAnsi="宋体"/>
                <w:bCs/>
                <w:color w:val="auto"/>
                <w:szCs w:val="21"/>
              </w:rPr>
              <w:t>进行预测</w:t>
            </w:r>
            <w:r>
              <w:rPr>
                <w:rFonts w:hint="eastAsia" w:hAnsi="宋体"/>
                <w:bCs/>
                <w:color w:val="auto"/>
                <w:szCs w:val="21"/>
              </w:rPr>
              <w:t>，根据建设项目噪声源和环境特征，预测过程中考虑几何发散、大气吸收等造成的衰减，对于屏障衰减只考虑厂界围墙等围护结构造成的传声损失，不考虑绿化林带造成的衰减。</w:t>
            </w:r>
          </w:p>
          <w:p w14:paraId="4680CA0D">
            <w:pPr>
              <w:widowControl/>
              <w:spacing w:line="360" w:lineRule="auto"/>
              <w:ind w:firstLine="420" w:firstLineChars="200"/>
              <w:jc w:val="left"/>
              <w:rPr>
                <w:rFonts w:hAnsi="宋体"/>
                <w:bCs/>
                <w:color w:val="auto"/>
                <w:kern w:val="0"/>
                <w:szCs w:val="21"/>
              </w:rPr>
            </w:pPr>
            <w:r>
              <w:rPr>
                <w:rFonts w:hint="eastAsia" w:hAnsi="宋体"/>
                <w:bCs/>
                <w:color w:val="auto"/>
                <w:kern w:val="0"/>
                <w:szCs w:val="21"/>
              </w:rPr>
              <w:t>①室内声源等效室外声源声功率级</w:t>
            </w:r>
          </w:p>
          <w:p w14:paraId="41EFC73A">
            <w:pPr>
              <w:autoSpaceDE w:val="0"/>
              <w:autoSpaceDN w:val="0"/>
              <w:adjustRightInd w:val="0"/>
              <w:snapToGrid w:val="0"/>
              <w:spacing w:line="360" w:lineRule="auto"/>
              <w:ind w:firstLine="420" w:firstLineChars="200"/>
              <w:rPr>
                <w:rFonts w:ascii="宋体" w:cs="宋体"/>
                <w:color w:val="auto"/>
                <w:kern w:val="0"/>
                <w:szCs w:val="21"/>
              </w:rPr>
            </w:pPr>
            <w:r>
              <w:rPr>
                <w:rFonts w:ascii="宋体" w:cs="宋体"/>
                <w:color w:val="auto"/>
                <w:kern w:val="0"/>
                <w:szCs w:val="21"/>
              </w:rPr>
              <w:t>a</w:t>
            </w:r>
            <w:r>
              <w:rPr>
                <w:rFonts w:hint="eastAsia" w:ascii="宋体" w:cs="宋体"/>
                <w:color w:val="auto"/>
                <w:kern w:val="0"/>
                <w:szCs w:val="21"/>
              </w:rPr>
              <w:t>）</w:t>
            </w:r>
            <w:r>
              <w:rPr>
                <w:rFonts w:ascii="宋体" w:cs="宋体"/>
                <w:color w:val="auto"/>
                <w:kern w:val="0"/>
                <w:szCs w:val="21"/>
              </w:rPr>
              <w:t>计算</w:t>
            </w:r>
            <w:r>
              <w:rPr>
                <w:rFonts w:hint="eastAsia" w:ascii="宋体" w:cs="宋体"/>
                <w:color w:val="auto"/>
                <w:kern w:val="0"/>
                <w:szCs w:val="21"/>
              </w:rPr>
              <w:t>某个室内声源靠近围护结构处产生的</w:t>
            </w:r>
            <w:r>
              <w:rPr>
                <w:color w:val="auto"/>
                <w:kern w:val="0"/>
                <w:szCs w:val="21"/>
              </w:rPr>
              <w:t>A</w:t>
            </w:r>
            <w:r>
              <w:rPr>
                <w:rFonts w:hint="eastAsia" w:ascii="宋体" w:cs="宋体"/>
                <w:color w:val="auto"/>
                <w:kern w:val="0"/>
                <w:szCs w:val="21"/>
              </w:rPr>
              <w:t>声压级</w:t>
            </w:r>
          </w:p>
          <w:p w14:paraId="62274113">
            <w:pPr>
              <w:autoSpaceDE w:val="0"/>
              <w:autoSpaceDN w:val="0"/>
              <w:adjustRightInd w:val="0"/>
              <w:snapToGrid w:val="0"/>
              <w:spacing w:line="360" w:lineRule="auto"/>
              <w:ind w:firstLine="420" w:firstLineChars="200"/>
              <w:rPr>
                <w:rFonts w:ascii="宋体" w:cs="宋体"/>
                <w:color w:val="auto"/>
                <w:kern w:val="0"/>
                <w:szCs w:val="21"/>
              </w:rPr>
            </w:pPr>
            <w:r>
              <w:rPr>
                <w:rFonts w:ascii="宋体" w:cs="宋体"/>
                <w:color w:val="auto"/>
                <w:kern w:val="0"/>
                <w:szCs w:val="21"/>
              </w:rPr>
              <w:drawing>
                <wp:inline distT="0" distB="0" distL="0" distR="0">
                  <wp:extent cx="1647825" cy="396875"/>
                  <wp:effectExtent l="0" t="0" r="9525" b="3175"/>
                  <wp:docPr id="4" name="Objec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ject 13"/>
                          <pic:cNvPicPr>
                            <a:picLocks noChangeAspect="1" noChangeArrowheads="1"/>
                          </pic:cNvPicPr>
                        </pic:nvPicPr>
                        <pic:blipFill>
                          <a:blip r:embed="rId25"/>
                          <a:srcRect/>
                          <a:stretch>
                            <a:fillRect/>
                          </a:stretch>
                        </pic:blipFill>
                        <pic:spPr>
                          <a:xfrm>
                            <a:off x="0" y="0"/>
                            <a:ext cx="1647825" cy="396875"/>
                          </a:xfrm>
                          <a:prstGeom prst="rect">
                            <a:avLst/>
                          </a:prstGeom>
                          <a:noFill/>
                          <a:ln w="9525">
                            <a:noFill/>
                            <a:miter lim="800000"/>
                            <a:headEnd/>
                            <a:tailEnd/>
                          </a:ln>
                        </pic:spPr>
                      </pic:pic>
                    </a:graphicData>
                  </a:graphic>
                </wp:inline>
              </w:drawing>
            </w:r>
          </w:p>
          <w:p w14:paraId="403062B8">
            <w:pPr>
              <w:spacing w:line="360" w:lineRule="auto"/>
              <w:ind w:firstLine="420" w:firstLineChars="200"/>
              <w:rPr>
                <w:color w:val="auto"/>
                <w:szCs w:val="21"/>
              </w:rPr>
            </w:pPr>
            <w:r>
              <w:rPr>
                <w:color w:val="auto"/>
                <w:szCs w:val="21"/>
              </w:rPr>
              <w:t>式中：</w:t>
            </w:r>
            <w:r>
              <w:rPr>
                <w:color w:val="auto"/>
                <w:szCs w:val="21"/>
                <w:vertAlign w:val="subscript"/>
              </w:rPr>
              <w:t xml:space="preserve"> </w:t>
            </w:r>
            <w:r>
              <w:rPr>
                <w:color w:val="auto"/>
                <w:position w:val="-14"/>
                <w:szCs w:val="21"/>
                <w:vertAlign w:val="subscript"/>
              </w:rPr>
              <w:drawing>
                <wp:inline distT="0" distB="0" distL="0" distR="0">
                  <wp:extent cx="207010" cy="233045"/>
                  <wp:effectExtent l="0" t="0" r="0" b="15875"/>
                  <wp:docPr id="5" name="Object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ject 57"/>
                          <pic:cNvPicPr>
                            <a:picLocks noChangeAspect="1" noChangeArrowheads="1"/>
                          </pic:cNvPicPr>
                        </pic:nvPicPr>
                        <pic:blipFill>
                          <a:blip r:embed="rId26"/>
                          <a:srcRect/>
                          <a:stretch>
                            <a:fillRect/>
                          </a:stretch>
                        </pic:blipFill>
                        <pic:spPr>
                          <a:xfrm>
                            <a:off x="0" y="0"/>
                            <a:ext cx="207010" cy="233045"/>
                          </a:xfrm>
                          <a:prstGeom prst="rect">
                            <a:avLst/>
                          </a:prstGeom>
                          <a:noFill/>
                          <a:ln w="9525">
                            <a:noFill/>
                            <a:miter lim="800000"/>
                            <a:headEnd/>
                            <a:tailEnd/>
                          </a:ln>
                        </pic:spPr>
                      </pic:pic>
                    </a:graphicData>
                  </a:graphic>
                </wp:inline>
              </w:drawing>
            </w:r>
            <w:r>
              <w:rPr>
                <w:color w:val="auto"/>
                <w:szCs w:val="21"/>
                <w:lang w:val="pt-BR"/>
              </w:rPr>
              <w:t>——</w:t>
            </w:r>
            <w:r>
              <w:rPr>
                <w:color w:val="auto"/>
                <w:szCs w:val="21"/>
              </w:rPr>
              <w:t>室内声源在靠近围护结构处产生的</w:t>
            </w:r>
            <w:r>
              <w:rPr>
                <w:rFonts w:hint="eastAsia"/>
                <w:color w:val="auto"/>
                <w:szCs w:val="21"/>
              </w:rPr>
              <w:t>A</w:t>
            </w:r>
            <w:r>
              <w:rPr>
                <w:color w:val="auto"/>
                <w:szCs w:val="21"/>
              </w:rPr>
              <w:t>声级，</w:t>
            </w:r>
            <w:r>
              <w:rPr>
                <w:color w:val="auto"/>
                <w:szCs w:val="21"/>
                <w:lang w:val="pt-BR"/>
              </w:rPr>
              <w:t>dB；</w:t>
            </w:r>
          </w:p>
          <w:p w14:paraId="19B823A4">
            <w:pPr>
              <w:spacing w:line="360" w:lineRule="auto"/>
              <w:ind w:firstLine="1050" w:firstLineChars="500"/>
              <w:rPr>
                <w:color w:val="auto"/>
                <w:szCs w:val="21"/>
              </w:rPr>
            </w:pPr>
            <w:r>
              <w:rPr>
                <w:color w:val="auto"/>
                <w:position w:val="-12"/>
                <w:szCs w:val="21"/>
                <w:vertAlign w:val="subscript"/>
              </w:rPr>
              <w:drawing>
                <wp:inline distT="0" distB="0" distL="0" distR="0">
                  <wp:extent cx="207010" cy="207010"/>
                  <wp:effectExtent l="0" t="0" r="2540" b="0"/>
                  <wp:docPr id="6" name="Object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ject 58"/>
                          <pic:cNvPicPr>
                            <a:picLocks noChangeAspect="1" noChangeArrowheads="1"/>
                          </pic:cNvPicPr>
                        </pic:nvPicPr>
                        <pic:blipFill>
                          <a:blip r:embed="rId27"/>
                          <a:srcRect/>
                          <a:stretch>
                            <a:fillRect/>
                          </a:stretch>
                        </pic:blipFill>
                        <pic:spPr>
                          <a:xfrm>
                            <a:off x="0" y="0"/>
                            <a:ext cx="207010" cy="207010"/>
                          </a:xfrm>
                          <a:prstGeom prst="rect">
                            <a:avLst/>
                          </a:prstGeom>
                          <a:noFill/>
                          <a:ln w="9525">
                            <a:noFill/>
                            <a:miter lim="800000"/>
                            <a:headEnd/>
                            <a:tailEnd/>
                          </a:ln>
                        </pic:spPr>
                      </pic:pic>
                    </a:graphicData>
                  </a:graphic>
                </wp:inline>
              </w:drawing>
            </w:r>
            <w:r>
              <w:rPr>
                <w:color w:val="auto"/>
                <w:szCs w:val="21"/>
                <w:lang w:val="pt-BR"/>
              </w:rPr>
              <w:t>——</w:t>
            </w:r>
            <w:r>
              <w:rPr>
                <w:color w:val="auto"/>
                <w:szCs w:val="21"/>
              </w:rPr>
              <w:t>声源的</w:t>
            </w:r>
            <w:r>
              <w:rPr>
                <w:rFonts w:hint="eastAsia"/>
                <w:color w:val="auto"/>
                <w:szCs w:val="21"/>
              </w:rPr>
              <w:t>A</w:t>
            </w:r>
            <w:r>
              <w:rPr>
                <w:color w:val="auto"/>
                <w:szCs w:val="21"/>
              </w:rPr>
              <w:t>声功率级，</w:t>
            </w:r>
            <w:r>
              <w:rPr>
                <w:color w:val="auto"/>
                <w:szCs w:val="21"/>
                <w:lang w:val="pt-BR"/>
              </w:rPr>
              <w:t>dB；</w:t>
            </w:r>
          </w:p>
          <w:p w14:paraId="5D03DFEC">
            <w:pPr>
              <w:spacing w:line="360" w:lineRule="auto"/>
              <w:ind w:firstLine="1050" w:firstLineChars="500"/>
              <w:rPr>
                <w:color w:val="auto"/>
                <w:szCs w:val="21"/>
              </w:rPr>
            </w:pPr>
            <w:r>
              <w:rPr>
                <w:color w:val="auto"/>
                <w:position w:val="-4"/>
                <w:szCs w:val="21"/>
                <w:vertAlign w:val="subscript"/>
              </w:rPr>
              <w:drawing>
                <wp:inline distT="0" distB="0" distL="0" distR="0">
                  <wp:extent cx="120650" cy="137795"/>
                  <wp:effectExtent l="0" t="0" r="12700" b="16510"/>
                  <wp:docPr id="7" name="Object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ject 59"/>
                          <pic:cNvPicPr>
                            <a:picLocks noChangeAspect="1" noChangeArrowheads="1"/>
                          </pic:cNvPicPr>
                        </pic:nvPicPr>
                        <pic:blipFill>
                          <a:blip r:embed="rId28"/>
                          <a:srcRect/>
                          <a:stretch>
                            <a:fillRect/>
                          </a:stretch>
                        </pic:blipFill>
                        <pic:spPr>
                          <a:xfrm>
                            <a:off x="0" y="0"/>
                            <a:ext cx="120650" cy="137795"/>
                          </a:xfrm>
                          <a:prstGeom prst="rect">
                            <a:avLst/>
                          </a:prstGeom>
                          <a:noFill/>
                          <a:ln w="9525">
                            <a:noFill/>
                            <a:miter lim="800000"/>
                            <a:headEnd/>
                            <a:tailEnd/>
                          </a:ln>
                        </pic:spPr>
                      </pic:pic>
                    </a:graphicData>
                  </a:graphic>
                </wp:inline>
              </w:drawing>
            </w:r>
            <w:r>
              <w:rPr>
                <w:color w:val="auto"/>
                <w:szCs w:val="21"/>
                <w:lang w:val="pt-BR"/>
              </w:rPr>
              <w:t>——</w:t>
            </w:r>
            <w:r>
              <w:rPr>
                <w:color w:val="auto"/>
                <w:szCs w:val="21"/>
              </w:rPr>
              <w:t>声源到靠近围护结构某点处的距离，m；</w:t>
            </w:r>
          </w:p>
          <w:p w14:paraId="67947EB3">
            <w:pPr>
              <w:spacing w:line="360" w:lineRule="auto"/>
              <w:ind w:firstLine="1050" w:firstLineChars="500"/>
              <w:rPr>
                <w:color w:val="auto"/>
                <w:szCs w:val="21"/>
              </w:rPr>
            </w:pPr>
            <w:r>
              <w:rPr>
                <w:color w:val="auto"/>
                <w:position w:val="-10"/>
                <w:szCs w:val="21"/>
                <w:vertAlign w:val="subscript"/>
              </w:rPr>
              <w:drawing>
                <wp:inline distT="0" distB="0" distL="0" distR="0">
                  <wp:extent cx="146685" cy="207010"/>
                  <wp:effectExtent l="0" t="0" r="5715" b="1905"/>
                  <wp:docPr id="8" name="Object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ject 60"/>
                          <pic:cNvPicPr>
                            <a:picLocks noChangeAspect="1" noChangeArrowheads="1"/>
                          </pic:cNvPicPr>
                        </pic:nvPicPr>
                        <pic:blipFill>
                          <a:blip r:embed="rId29"/>
                          <a:srcRect/>
                          <a:stretch>
                            <a:fillRect/>
                          </a:stretch>
                        </pic:blipFill>
                        <pic:spPr>
                          <a:xfrm>
                            <a:off x="0" y="0"/>
                            <a:ext cx="146685" cy="207010"/>
                          </a:xfrm>
                          <a:prstGeom prst="rect">
                            <a:avLst/>
                          </a:prstGeom>
                          <a:noFill/>
                          <a:ln w="9525">
                            <a:noFill/>
                            <a:miter lim="800000"/>
                            <a:headEnd/>
                            <a:tailEnd/>
                          </a:ln>
                        </pic:spPr>
                      </pic:pic>
                    </a:graphicData>
                  </a:graphic>
                </wp:inline>
              </w:drawing>
            </w:r>
            <w:r>
              <w:rPr>
                <w:color w:val="auto"/>
                <w:szCs w:val="21"/>
                <w:lang w:val="pt-BR"/>
              </w:rPr>
              <w:t>——</w:t>
            </w:r>
            <w:r>
              <w:rPr>
                <w:color w:val="auto"/>
                <w:szCs w:val="21"/>
              </w:rPr>
              <w:t>指向性因子；</w:t>
            </w:r>
          </w:p>
          <w:p w14:paraId="0183DB61">
            <w:pPr>
              <w:autoSpaceDE w:val="0"/>
              <w:autoSpaceDN w:val="0"/>
              <w:adjustRightInd w:val="0"/>
              <w:snapToGrid w:val="0"/>
              <w:spacing w:line="360" w:lineRule="auto"/>
              <w:ind w:firstLine="1050" w:firstLineChars="500"/>
              <w:rPr>
                <w:rFonts w:cs="宋体"/>
                <w:color w:val="auto"/>
                <w:kern w:val="0"/>
                <w:szCs w:val="21"/>
              </w:rPr>
            </w:pPr>
            <w:r>
              <w:rPr>
                <w:rFonts w:cs="宋体"/>
                <w:color w:val="auto"/>
                <w:kern w:val="0"/>
                <w:position w:val="-4"/>
                <w:szCs w:val="21"/>
                <w:vertAlign w:val="subscript"/>
              </w:rPr>
              <w:drawing>
                <wp:inline distT="0" distB="0" distL="0" distR="0">
                  <wp:extent cx="146685" cy="146685"/>
                  <wp:effectExtent l="0" t="0" r="0" b="4445"/>
                  <wp:docPr id="42" name="Object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ject 61"/>
                          <pic:cNvPicPr>
                            <a:picLocks noChangeAspect="1" noChangeArrowheads="1"/>
                          </pic:cNvPicPr>
                        </pic:nvPicPr>
                        <pic:blipFill>
                          <a:blip r:embed="rId30"/>
                          <a:srcRect/>
                          <a:stretch>
                            <a:fillRect/>
                          </a:stretch>
                        </pic:blipFill>
                        <pic:spPr>
                          <a:xfrm>
                            <a:off x="0" y="0"/>
                            <a:ext cx="146685" cy="146685"/>
                          </a:xfrm>
                          <a:prstGeom prst="rect">
                            <a:avLst/>
                          </a:prstGeom>
                          <a:noFill/>
                          <a:ln w="9525">
                            <a:noFill/>
                            <a:miter lim="800000"/>
                            <a:headEnd/>
                            <a:tailEnd/>
                          </a:ln>
                        </pic:spPr>
                      </pic:pic>
                    </a:graphicData>
                  </a:graphic>
                </wp:inline>
              </w:drawing>
            </w:r>
            <w:r>
              <w:rPr>
                <w:rFonts w:cs="宋体"/>
                <w:color w:val="auto"/>
                <w:kern w:val="0"/>
                <w:szCs w:val="21"/>
                <w:lang w:val="pt-BR"/>
              </w:rPr>
              <w:t>——</w:t>
            </w:r>
            <w:r>
              <w:rPr>
                <w:rFonts w:cs="宋体"/>
                <w:color w:val="auto"/>
                <w:kern w:val="0"/>
                <w:szCs w:val="21"/>
              </w:rPr>
              <w:t>房间常数，</w:t>
            </w:r>
            <w:r>
              <w:rPr>
                <w:rFonts w:cs="宋体"/>
                <w:color w:val="auto"/>
                <w:kern w:val="0"/>
                <w:position w:val="-10"/>
                <w:szCs w:val="21"/>
                <w:vertAlign w:val="subscript"/>
              </w:rPr>
              <w:drawing>
                <wp:inline distT="0" distB="0" distL="0" distR="0">
                  <wp:extent cx="966470" cy="207010"/>
                  <wp:effectExtent l="0" t="0" r="5080" b="1905"/>
                  <wp:docPr id="43" name="Object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Object 62"/>
                          <pic:cNvPicPr>
                            <a:picLocks noChangeAspect="1" noChangeArrowheads="1"/>
                          </pic:cNvPicPr>
                        </pic:nvPicPr>
                        <pic:blipFill>
                          <a:blip r:embed="rId31"/>
                          <a:srcRect/>
                          <a:stretch>
                            <a:fillRect/>
                          </a:stretch>
                        </pic:blipFill>
                        <pic:spPr>
                          <a:xfrm>
                            <a:off x="0" y="0"/>
                            <a:ext cx="966470" cy="207010"/>
                          </a:xfrm>
                          <a:prstGeom prst="rect">
                            <a:avLst/>
                          </a:prstGeom>
                          <a:noFill/>
                          <a:ln w="9525">
                            <a:noFill/>
                            <a:miter lim="800000"/>
                            <a:headEnd/>
                            <a:tailEnd/>
                          </a:ln>
                        </pic:spPr>
                      </pic:pic>
                    </a:graphicData>
                  </a:graphic>
                </wp:inline>
              </w:drawing>
            </w:r>
            <w:r>
              <w:rPr>
                <w:rFonts w:cs="宋体"/>
                <w:color w:val="auto"/>
                <w:kern w:val="0"/>
                <w:szCs w:val="21"/>
              </w:rPr>
              <w:t>，</w:t>
            </w:r>
            <w:r>
              <w:rPr>
                <w:rFonts w:cs="宋体"/>
                <w:color w:val="auto"/>
                <w:kern w:val="0"/>
                <w:position w:val="-6"/>
                <w:szCs w:val="21"/>
              </w:rPr>
              <w:drawing>
                <wp:inline distT="0" distB="0" distL="0" distR="0">
                  <wp:extent cx="137795" cy="180975"/>
                  <wp:effectExtent l="0" t="0" r="14605" b="8890"/>
                  <wp:docPr id="44" name="Object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Object 63"/>
                          <pic:cNvPicPr>
                            <a:picLocks noChangeAspect="1" noChangeArrowheads="1"/>
                          </pic:cNvPicPr>
                        </pic:nvPicPr>
                        <pic:blipFill>
                          <a:blip r:embed="rId32"/>
                          <a:srcRect/>
                          <a:stretch>
                            <a:fillRect/>
                          </a:stretch>
                        </pic:blipFill>
                        <pic:spPr>
                          <a:xfrm>
                            <a:off x="0" y="0"/>
                            <a:ext cx="137795" cy="180975"/>
                          </a:xfrm>
                          <a:prstGeom prst="rect">
                            <a:avLst/>
                          </a:prstGeom>
                          <a:noFill/>
                          <a:ln w="9525">
                            <a:noFill/>
                            <a:miter lim="800000"/>
                            <a:headEnd/>
                            <a:tailEnd/>
                          </a:ln>
                        </pic:spPr>
                      </pic:pic>
                    </a:graphicData>
                  </a:graphic>
                </wp:inline>
              </w:drawing>
            </w:r>
            <w:r>
              <w:rPr>
                <w:rFonts w:cs="宋体"/>
                <w:color w:val="auto"/>
                <w:kern w:val="0"/>
                <w:szCs w:val="21"/>
              </w:rPr>
              <w:t>为房间内表面面积，m</w:t>
            </w:r>
            <w:r>
              <w:rPr>
                <w:rFonts w:cs="宋体"/>
                <w:color w:val="auto"/>
                <w:kern w:val="0"/>
                <w:szCs w:val="21"/>
                <w:vertAlign w:val="superscript"/>
              </w:rPr>
              <w:t>2</w:t>
            </w:r>
            <w:r>
              <w:rPr>
                <w:rFonts w:cs="宋体"/>
                <w:color w:val="auto"/>
                <w:kern w:val="0"/>
                <w:szCs w:val="21"/>
              </w:rPr>
              <w:t>，</w:t>
            </w:r>
            <w:r>
              <w:rPr>
                <w:rFonts w:cs="宋体"/>
                <w:color w:val="auto"/>
                <w:kern w:val="0"/>
                <w:position w:val="-6"/>
                <w:szCs w:val="21"/>
              </w:rPr>
              <w:drawing>
                <wp:inline distT="0" distB="0" distL="0" distR="0">
                  <wp:extent cx="146685" cy="137795"/>
                  <wp:effectExtent l="0" t="0" r="5715" b="15240"/>
                  <wp:docPr id="46" name="Object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Object 64"/>
                          <pic:cNvPicPr>
                            <a:picLocks noChangeAspect="1" noChangeArrowheads="1"/>
                          </pic:cNvPicPr>
                        </pic:nvPicPr>
                        <pic:blipFill>
                          <a:blip r:embed="rId33"/>
                          <a:srcRect/>
                          <a:stretch>
                            <a:fillRect/>
                          </a:stretch>
                        </pic:blipFill>
                        <pic:spPr>
                          <a:xfrm>
                            <a:off x="0" y="0"/>
                            <a:ext cx="146685" cy="137795"/>
                          </a:xfrm>
                          <a:prstGeom prst="rect">
                            <a:avLst/>
                          </a:prstGeom>
                          <a:noFill/>
                          <a:ln w="9525">
                            <a:noFill/>
                            <a:miter lim="800000"/>
                            <a:headEnd/>
                            <a:tailEnd/>
                          </a:ln>
                        </pic:spPr>
                      </pic:pic>
                    </a:graphicData>
                  </a:graphic>
                </wp:inline>
              </w:drawing>
            </w:r>
            <w:r>
              <w:rPr>
                <w:rFonts w:cs="宋体"/>
                <w:color w:val="auto"/>
                <w:kern w:val="0"/>
                <w:szCs w:val="21"/>
              </w:rPr>
              <w:t>为平均吸声系数。</w:t>
            </w:r>
          </w:p>
          <w:p w14:paraId="07FDF308">
            <w:pPr>
              <w:spacing w:line="360" w:lineRule="auto"/>
              <w:ind w:firstLine="420" w:firstLineChars="200"/>
              <w:rPr>
                <w:color w:val="auto"/>
                <w:szCs w:val="21"/>
              </w:rPr>
            </w:pPr>
            <w:r>
              <w:rPr>
                <w:rFonts w:hint="eastAsia"/>
                <w:color w:val="auto"/>
              </w:rPr>
              <w:t>b）</w:t>
            </w:r>
            <w:r>
              <w:rPr>
                <w:color w:val="auto"/>
                <w:szCs w:val="21"/>
              </w:rPr>
              <w:t>计算出所有室内声源在靠近围护结构处产生的A声压级：</w:t>
            </w:r>
          </w:p>
          <w:p w14:paraId="3A525ADD">
            <w:pPr>
              <w:spacing w:line="360" w:lineRule="auto"/>
              <w:ind w:firstLine="420" w:firstLineChars="200"/>
              <w:rPr>
                <w:color w:val="auto"/>
                <w:szCs w:val="21"/>
              </w:rPr>
            </w:pPr>
            <w:r>
              <w:rPr>
                <w:color w:val="auto"/>
                <w:position w:val="-30"/>
                <w:szCs w:val="21"/>
              </w:rPr>
              <w:drawing>
                <wp:inline distT="0" distB="0" distL="0" distR="0">
                  <wp:extent cx="1682115" cy="466090"/>
                  <wp:effectExtent l="0" t="0" r="13335" b="10795"/>
                  <wp:docPr id="47" name="Object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Object 66"/>
                          <pic:cNvPicPr>
                            <a:picLocks noChangeAspect="1" noChangeArrowheads="1"/>
                          </pic:cNvPicPr>
                        </pic:nvPicPr>
                        <pic:blipFill>
                          <a:blip r:embed="rId34"/>
                          <a:srcRect/>
                          <a:stretch>
                            <a:fillRect/>
                          </a:stretch>
                        </pic:blipFill>
                        <pic:spPr>
                          <a:xfrm>
                            <a:off x="0" y="0"/>
                            <a:ext cx="1682115" cy="466090"/>
                          </a:xfrm>
                          <a:prstGeom prst="rect">
                            <a:avLst/>
                          </a:prstGeom>
                          <a:noFill/>
                          <a:ln w="9525">
                            <a:noFill/>
                            <a:miter lim="800000"/>
                            <a:headEnd/>
                            <a:tailEnd/>
                          </a:ln>
                        </pic:spPr>
                      </pic:pic>
                    </a:graphicData>
                  </a:graphic>
                </wp:inline>
              </w:drawing>
            </w:r>
          </w:p>
          <w:p w14:paraId="54223E8D">
            <w:pPr>
              <w:spacing w:line="360" w:lineRule="auto"/>
              <w:ind w:firstLine="420" w:firstLineChars="200"/>
              <w:rPr>
                <w:color w:val="auto"/>
                <w:szCs w:val="21"/>
                <w:lang w:val="pt-BR"/>
              </w:rPr>
            </w:pPr>
            <w:r>
              <w:rPr>
                <w:color w:val="auto"/>
                <w:szCs w:val="21"/>
              </w:rPr>
              <w:t>式中：</w:t>
            </w:r>
            <w:r>
              <w:rPr>
                <w:color w:val="auto"/>
                <w:position w:val="-14"/>
                <w:szCs w:val="21"/>
              </w:rPr>
              <w:drawing>
                <wp:inline distT="0" distB="0" distL="0" distR="0">
                  <wp:extent cx="474345" cy="233045"/>
                  <wp:effectExtent l="0" t="0" r="1905" b="15240"/>
                  <wp:docPr id="48" name="Object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Object 67"/>
                          <pic:cNvPicPr>
                            <a:picLocks noChangeAspect="1" noChangeArrowheads="1"/>
                          </pic:cNvPicPr>
                        </pic:nvPicPr>
                        <pic:blipFill>
                          <a:blip r:embed="rId35"/>
                          <a:srcRect/>
                          <a:stretch>
                            <a:fillRect/>
                          </a:stretch>
                        </pic:blipFill>
                        <pic:spPr>
                          <a:xfrm>
                            <a:off x="0" y="0"/>
                            <a:ext cx="474345" cy="233045"/>
                          </a:xfrm>
                          <a:prstGeom prst="rect">
                            <a:avLst/>
                          </a:prstGeom>
                          <a:noFill/>
                          <a:ln w="9525">
                            <a:noFill/>
                            <a:miter lim="800000"/>
                            <a:headEnd/>
                            <a:tailEnd/>
                          </a:ln>
                        </pic:spPr>
                      </pic:pic>
                    </a:graphicData>
                  </a:graphic>
                </wp:inline>
              </w:drawing>
            </w:r>
            <w:r>
              <w:rPr>
                <w:color w:val="auto"/>
                <w:szCs w:val="21"/>
                <w:lang w:val="pt-BR"/>
              </w:rPr>
              <w:t>——靠近围护结构处室内N个声源的叠加声压级，dB；</w:t>
            </w:r>
          </w:p>
          <w:p w14:paraId="429DD1F8">
            <w:pPr>
              <w:spacing w:line="360" w:lineRule="auto"/>
              <w:ind w:firstLine="945" w:firstLineChars="450"/>
              <w:rPr>
                <w:color w:val="auto"/>
                <w:szCs w:val="21"/>
                <w:lang w:val="pt-BR"/>
              </w:rPr>
            </w:pPr>
            <w:r>
              <w:rPr>
                <w:color w:val="auto"/>
                <w:position w:val="-14"/>
                <w:szCs w:val="21"/>
              </w:rPr>
              <w:drawing>
                <wp:inline distT="0" distB="0" distL="0" distR="0">
                  <wp:extent cx="301625" cy="233045"/>
                  <wp:effectExtent l="0" t="0" r="0" b="15875"/>
                  <wp:docPr id="49" name="Object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Object 69"/>
                          <pic:cNvPicPr>
                            <a:picLocks noChangeAspect="1" noChangeArrowheads="1"/>
                          </pic:cNvPicPr>
                        </pic:nvPicPr>
                        <pic:blipFill>
                          <a:blip r:embed="rId36"/>
                          <a:srcRect/>
                          <a:stretch>
                            <a:fillRect/>
                          </a:stretch>
                        </pic:blipFill>
                        <pic:spPr>
                          <a:xfrm>
                            <a:off x="0" y="0"/>
                            <a:ext cx="301625" cy="233045"/>
                          </a:xfrm>
                          <a:prstGeom prst="rect">
                            <a:avLst/>
                          </a:prstGeom>
                          <a:noFill/>
                          <a:ln w="9525">
                            <a:noFill/>
                            <a:miter lim="800000"/>
                            <a:headEnd/>
                            <a:tailEnd/>
                          </a:ln>
                        </pic:spPr>
                      </pic:pic>
                    </a:graphicData>
                  </a:graphic>
                </wp:inline>
              </w:drawing>
            </w:r>
            <w:r>
              <w:rPr>
                <w:color w:val="auto"/>
                <w:szCs w:val="21"/>
                <w:lang w:val="pt-BR"/>
              </w:rPr>
              <w:t>——室内</w:t>
            </w:r>
            <w:r>
              <w:rPr>
                <w:color w:val="auto"/>
                <w:position w:val="-10"/>
                <w:szCs w:val="21"/>
              </w:rPr>
              <w:drawing>
                <wp:inline distT="0" distB="0" distL="0" distR="0">
                  <wp:extent cx="137795" cy="189865"/>
                  <wp:effectExtent l="0" t="0" r="14605" b="635"/>
                  <wp:docPr id="50" name="Object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Object 70"/>
                          <pic:cNvPicPr>
                            <a:picLocks noChangeAspect="1" noChangeArrowheads="1"/>
                          </pic:cNvPicPr>
                        </pic:nvPicPr>
                        <pic:blipFill>
                          <a:blip r:embed="rId37"/>
                          <a:srcRect/>
                          <a:stretch>
                            <a:fillRect/>
                          </a:stretch>
                        </pic:blipFill>
                        <pic:spPr>
                          <a:xfrm>
                            <a:off x="0" y="0"/>
                            <a:ext cx="137795" cy="189865"/>
                          </a:xfrm>
                          <a:prstGeom prst="rect">
                            <a:avLst/>
                          </a:prstGeom>
                          <a:noFill/>
                          <a:ln w="9525">
                            <a:noFill/>
                            <a:miter lim="800000"/>
                            <a:headEnd/>
                            <a:tailEnd/>
                          </a:ln>
                        </pic:spPr>
                      </pic:pic>
                    </a:graphicData>
                  </a:graphic>
                </wp:inline>
              </w:drawing>
            </w:r>
            <w:r>
              <w:rPr>
                <w:color w:val="auto"/>
                <w:szCs w:val="21"/>
                <w:lang w:val="pt-BR"/>
              </w:rPr>
              <w:t>声源的声压级，dB；</w:t>
            </w:r>
          </w:p>
          <w:p w14:paraId="3F3CAFF1">
            <w:pPr>
              <w:spacing w:line="360" w:lineRule="auto"/>
              <w:ind w:firstLine="945" w:firstLineChars="450"/>
              <w:rPr>
                <w:color w:val="auto"/>
                <w:szCs w:val="21"/>
              </w:rPr>
            </w:pPr>
            <w:r>
              <w:rPr>
                <w:color w:val="auto"/>
                <w:position w:val="-6"/>
                <w:szCs w:val="21"/>
              </w:rPr>
              <w:drawing>
                <wp:inline distT="0" distB="0" distL="0" distR="0">
                  <wp:extent cx="180975" cy="180975"/>
                  <wp:effectExtent l="0" t="0" r="9525" b="8890"/>
                  <wp:docPr id="51" name="Object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Object 72"/>
                          <pic:cNvPicPr>
                            <a:picLocks noChangeAspect="1" noChangeArrowheads="1"/>
                          </pic:cNvPicPr>
                        </pic:nvPicPr>
                        <pic:blipFill>
                          <a:blip r:embed="rId38"/>
                          <a:srcRect/>
                          <a:stretch>
                            <a:fillRect/>
                          </a:stretch>
                        </pic:blipFill>
                        <pic:spPr>
                          <a:xfrm>
                            <a:off x="0" y="0"/>
                            <a:ext cx="180975" cy="180975"/>
                          </a:xfrm>
                          <a:prstGeom prst="rect">
                            <a:avLst/>
                          </a:prstGeom>
                          <a:noFill/>
                          <a:ln w="9525">
                            <a:noFill/>
                            <a:miter lim="800000"/>
                            <a:headEnd/>
                            <a:tailEnd/>
                          </a:ln>
                        </pic:spPr>
                      </pic:pic>
                    </a:graphicData>
                  </a:graphic>
                </wp:inline>
              </w:drawing>
            </w:r>
            <w:r>
              <w:rPr>
                <w:color w:val="auto"/>
                <w:szCs w:val="21"/>
                <w:lang w:val="pt-BR"/>
              </w:rPr>
              <w:t>——室内声源总数。</w:t>
            </w:r>
          </w:p>
          <w:p w14:paraId="7D7ED1E2">
            <w:pPr>
              <w:spacing w:line="360" w:lineRule="auto"/>
              <w:ind w:firstLine="420" w:firstLineChars="200"/>
              <w:rPr>
                <w:color w:val="auto"/>
                <w:szCs w:val="21"/>
              </w:rPr>
            </w:pPr>
            <w:r>
              <w:rPr>
                <w:color w:val="auto"/>
                <w:szCs w:val="21"/>
              </w:rPr>
              <w:t>c</w:t>
            </w:r>
            <w:r>
              <w:rPr>
                <w:rFonts w:hint="eastAsia"/>
                <w:color w:val="auto"/>
                <w:szCs w:val="21"/>
              </w:rPr>
              <w:t>）</w:t>
            </w:r>
            <w:r>
              <w:rPr>
                <w:color w:val="auto"/>
                <w:szCs w:val="21"/>
              </w:rPr>
              <w:t>计算出室外靠近围护结构处的声压级：</w:t>
            </w:r>
          </w:p>
          <w:p w14:paraId="4923BE57">
            <w:pPr>
              <w:spacing w:line="360" w:lineRule="auto"/>
              <w:ind w:firstLine="420" w:firstLineChars="200"/>
              <w:rPr>
                <w:color w:val="auto"/>
                <w:szCs w:val="21"/>
              </w:rPr>
            </w:pPr>
            <w:r>
              <w:rPr>
                <w:color w:val="auto"/>
                <w:position w:val="-14"/>
                <w:szCs w:val="21"/>
              </w:rPr>
              <w:drawing>
                <wp:inline distT="0" distB="0" distL="0" distR="0">
                  <wp:extent cx="1776730" cy="233045"/>
                  <wp:effectExtent l="0" t="0" r="13970" b="15240"/>
                  <wp:docPr id="52" name="Object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Object 73"/>
                          <pic:cNvPicPr>
                            <a:picLocks noChangeAspect="1" noChangeArrowheads="1"/>
                          </pic:cNvPicPr>
                        </pic:nvPicPr>
                        <pic:blipFill>
                          <a:blip r:embed="rId39"/>
                          <a:srcRect/>
                          <a:stretch>
                            <a:fillRect/>
                          </a:stretch>
                        </pic:blipFill>
                        <pic:spPr>
                          <a:xfrm>
                            <a:off x="0" y="0"/>
                            <a:ext cx="1776730" cy="233045"/>
                          </a:xfrm>
                          <a:prstGeom prst="rect">
                            <a:avLst/>
                          </a:prstGeom>
                          <a:noFill/>
                          <a:ln w="9525">
                            <a:noFill/>
                            <a:miter lim="800000"/>
                            <a:headEnd/>
                            <a:tailEnd/>
                          </a:ln>
                        </pic:spPr>
                      </pic:pic>
                    </a:graphicData>
                  </a:graphic>
                </wp:inline>
              </w:drawing>
            </w:r>
          </w:p>
          <w:p w14:paraId="1DF4140A">
            <w:pPr>
              <w:spacing w:line="360" w:lineRule="auto"/>
              <w:ind w:firstLine="420" w:firstLineChars="200"/>
              <w:rPr>
                <w:color w:val="auto"/>
                <w:szCs w:val="21"/>
                <w:lang w:val="pt-BR"/>
              </w:rPr>
            </w:pPr>
            <w:r>
              <w:rPr>
                <w:color w:val="auto"/>
                <w:szCs w:val="21"/>
              </w:rPr>
              <w:t>式中：</w:t>
            </w:r>
            <w:r>
              <w:rPr>
                <w:color w:val="auto"/>
                <w:position w:val="-14"/>
                <w:szCs w:val="21"/>
              </w:rPr>
              <w:drawing>
                <wp:inline distT="0" distB="0" distL="0" distR="0">
                  <wp:extent cx="534670" cy="233045"/>
                  <wp:effectExtent l="0" t="0" r="17780" b="15240"/>
                  <wp:docPr id="53" name="Object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Object 74"/>
                          <pic:cNvPicPr>
                            <a:picLocks noChangeAspect="1" noChangeArrowheads="1"/>
                          </pic:cNvPicPr>
                        </pic:nvPicPr>
                        <pic:blipFill>
                          <a:blip r:embed="rId40"/>
                          <a:srcRect/>
                          <a:stretch>
                            <a:fillRect/>
                          </a:stretch>
                        </pic:blipFill>
                        <pic:spPr>
                          <a:xfrm>
                            <a:off x="0" y="0"/>
                            <a:ext cx="534670" cy="233045"/>
                          </a:xfrm>
                          <a:prstGeom prst="rect">
                            <a:avLst/>
                          </a:prstGeom>
                          <a:noFill/>
                          <a:ln w="9525">
                            <a:noFill/>
                            <a:miter lim="800000"/>
                            <a:headEnd/>
                            <a:tailEnd/>
                          </a:ln>
                        </pic:spPr>
                      </pic:pic>
                    </a:graphicData>
                  </a:graphic>
                </wp:inline>
              </w:drawing>
            </w:r>
            <w:r>
              <w:rPr>
                <w:color w:val="auto"/>
                <w:szCs w:val="21"/>
                <w:lang w:val="pt-BR"/>
              </w:rPr>
              <w:t>——靠近围护结构处室外N个声源</w:t>
            </w:r>
            <w:r>
              <w:rPr>
                <w:color w:val="auto"/>
                <w:szCs w:val="21"/>
              </w:rPr>
              <w:t>的</w:t>
            </w:r>
            <w:r>
              <w:rPr>
                <w:color w:val="auto"/>
                <w:szCs w:val="21"/>
                <w:lang w:val="pt-BR"/>
              </w:rPr>
              <w:t>叠加声压级，dB；</w:t>
            </w:r>
          </w:p>
          <w:p w14:paraId="565564C0">
            <w:pPr>
              <w:spacing w:line="360" w:lineRule="auto"/>
              <w:ind w:firstLine="1050" w:firstLineChars="500"/>
              <w:rPr>
                <w:color w:val="auto"/>
                <w:szCs w:val="21"/>
              </w:rPr>
            </w:pPr>
            <w:r>
              <w:rPr>
                <w:color w:val="auto"/>
                <w:position w:val="-12"/>
                <w:szCs w:val="21"/>
              </w:rPr>
              <w:drawing>
                <wp:inline distT="0" distB="0" distL="0" distR="0">
                  <wp:extent cx="233045" cy="207010"/>
                  <wp:effectExtent l="0" t="0" r="14605" b="1905"/>
                  <wp:docPr id="54" name="Object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Object 76"/>
                          <pic:cNvPicPr>
                            <a:picLocks noChangeAspect="1" noChangeArrowheads="1"/>
                          </pic:cNvPicPr>
                        </pic:nvPicPr>
                        <pic:blipFill>
                          <a:blip r:embed="rId41"/>
                          <a:srcRect/>
                          <a:stretch>
                            <a:fillRect/>
                          </a:stretch>
                        </pic:blipFill>
                        <pic:spPr>
                          <a:xfrm>
                            <a:off x="0" y="0"/>
                            <a:ext cx="233045" cy="207010"/>
                          </a:xfrm>
                          <a:prstGeom prst="rect">
                            <a:avLst/>
                          </a:prstGeom>
                          <a:noFill/>
                          <a:ln w="9525">
                            <a:noFill/>
                            <a:miter lim="800000"/>
                            <a:headEnd/>
                            <a:tailEnd/>
                          </a:ln>
                        </pic:spPr>
                      </pic:pic>
                    </a:graphicData>
                  </a:graphic>
                </wp:inline>
              </w:drawing>
            </w:r>
            <w:r>
              <w:rPr>
                <w:color w:val="auto"/>
                <w:szCs w:val="21"/>
                <w:lang w:val="pt-BR"/>
              </w:rPr>
              <w:t>——围护结构的隔声量，dB；</w:t>
            </w:r>
          </w:p>
          <w:p w14:paraId="755C07C7">
            <w:pPr>
              <w:spacing w:line="360" w:lineRule="auto"/>
              <w:ind w:firstLine="420" w:firstLineChars="200"/>
              <w:rPr>
                <w:color w:val="auto"/>
                <w:szCs w:val="21"/>
              </w:rPr>
            </w:pPr>
            <w:r>
              <w:rPr>
                <w:rFonts w:hint="eastAsia"/>
                <w:color w:val="auto"/>
                <w:szCs w:val="21"/>
              </w:rPr>
              <w:t>d）</w:t>
            </w:r>
            <w:r>
              <w:rPr>
                <w:color w:val="auto"/>
                <w:szCs w:val="21"/>
              </w:rPr>
              <w:t>将室外声源的声压级和透过面积换算成等效的室外声源，计算出中心位置位于透声面积(S)处的等效声源的声功率级。</w:t>
            </w:r>
          </w:p>
          <w:p w14:paraId="3C3AE783">
            <w:pPr>
              <w:spacing w:line="360" w:lineRule="auto"/>
              <w:ind w:firstLine="420" w:firstLineChars="200"/>
              <w:rPr>
                <w:color w:val="auto"/>
                <w:szCs w:val="21"/>
              </w:rPr>
            </w:pPr>
            <w:r>
              <w:rPr>
                <w:color w:val="auto"/>
                <w:position w:val="-14"/>
                <w:szCs w:val="21"/>
              </w:rPr>
              <w:drawing>
                <wp:inline distT="0" distB="0" distL="0" distR="0">
                  <wp:extent cx="1337310" cy="233045"/>
                  <wp:effectExtent l="0" t="0" r="15240" b="15240"/>
                  <wp:docPr id="55" name="Objec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Object 30"/>
                          <pic:cNvPicPr>
                            <a:picLocks noChangeAspect="1" noChangeArrowheads="1"/>
                          </pic:cNvPicPr>
                        </pic:nvPicPr>
                        <pic:blipFill>
                          <a:blip r:embed="rId42"/>
                          <a:srcRect/>
                          <a:stretch>
                            <a:fillRect/>
                          </a:stretch>
                        </pic:blipFill>
                        <pic:spPr>
                          <a:xfrm>
                            <a:off x="0" y="0"/>
                            <a:ext cx="1337310" cy="233045"/>
                          </a:xfrm>
                          <a:prstGeom prst="rect">
                            <a:avLst/>
                          </a:prstGeom>
                          <a:noFill/>
                          <a:ln w="9525">
                            <a:noFill/>
                            <a:miter lim="800000"/>
                            <a:headEnd/>
                            <a:tailEnd/>
                          </a:ln>
                        </pic:spPr>
                      </pic:pic>
                    </a:graphicData>
                  </a:graphic>
                </wp:inline>
              </w:drawing>
            </w:r>
          </w:p>
          <w:p w14:paraId="4B50B260">
            <w:pPr>
              <w:autoSpaceDE w:val="0"/>
              <w:autoSpaceDN w:val="0"/>
              <w:adjustRightInd w:val="0"/>
              <w:snapToGrid w:val="0"/>
              <w:spacing w:line="360" w:lineRule="auto"/>
              <w:ind w:firstLine="420" w:firstLineChars="200"/>
              <w:rPr>
                <w:rFonts w:cs="宋体"/>
                <w:color w:val="auto"/>
                <w:kern w:val="0"/>
                <w:szCs w:val="21"/>
              </w:rPr>
            </w:pPr>
            <w:r>
              <w:rPr>
                <w:rFonts w:hint="eastAsia" w:cs="宋体"/>
                <w:color w:val="auto"/>
                <w:kern w:val="0"/>
                <w:szCs w:val="21"/>
              </w:rPr>
              <w:t>L</w:t>
            </w:r>
            <w:r>
              <w:rPr>
                <w:rFonts w:hint="eastAsia" w:cs="宋体"/>
                <w:color w:val="auto"/>
                <w:kern w:val="0"/>
                <w:szCs w:val="21"/>
                <w:vertAlign w:val="subscript"/>
              </w:rPr>
              <w:t>w</w:t>
            </w:r>
            <w:r>
              <w:rPr>
                <w:rFonts w:hint="eastAsia" w:cs="宋体"/>
                <w:color w:val="auto"/>
                <w:kern w:val="0"/>
                <w:szCs w:val="21"/>
              </w:rPr>
              <w:t>—中心</w:t>
            </w:r>
            <w:r>
              <w:rPr>
                <w:rFonts w:cs="宋体"/>
                <w:color w:val="auto"/>
                <w:kern w:val="0"/>
                <w:szCs w:val="21"/>
              </w:rPr>
              <w:t>位置位于透声面积(S)处的等效声源的声功率级</w:t>
            </w:r>
            <w:r>
              <w:rPr>
                <w:rFonts w:hint="eastAsia" w:cs="宋体"/>
                <w:color w:val="auto"/>
                <w:kern w:val="0"/>
                <w:szCs w:val="21"/>
              </w:rPr>
              <w:t>，</w:t>
            </w:r>
            <w:r>
              <w:rPr>
                <w:rFonts w:cs="宋体"/>
                <w:color w:val="auto"/>
                <w:kern w:val="0"/>
                <w:szCs w:val="21"/>
              </w:rPr>
              <w:t>dB</w:t>
            </w:r>
            <w:r>
              <w:rPr>
                <w:rFonts w:hint="eastAsia" w:cs="宋体"/>
                <w:color w:val="auto"/>
                <w:kern w:val="0"/>
                <w:szCs w:val="21"/>
              </w:rPr>
              <w:t>；</w:t>
            </w:r>
          </w:p>
          <w:p w14:paraId="32CDE1A0">
            <w:pPr>
              <w:autoSpaceDE w:val="0"/>
              <w:autoSpaceDN w:val="0"/>
              <w:adjustRightInd w:val="0"/>
              <w:snapToGrid w:val="0"/>
              <w:spacing w:line="360" w:lineRule="auto"/>
              <w:ind w:firstLine="420" w:firstLineChars="200"/>
              <w:rPr>
                <w:rFonts w:cs="宋体"/>
                <w:color w:val="auto"/>
                <w:kern w:val="0"/>
                <w:szCs w:val="21"/>
              </w:rPr>
            </w:pPr>
            <w:r>
              <w:rPr>
                <w:rFonts w:hint="eastAsia" w:cs="宋体"/>
                <w:color w:val="auto"/>
                <w:kern w:val="0"/>
                <w:szCs w:val="21"/>
              </w:rPr>
              <w:t>L</w:t>
            </w:r>
            <w:r>
              <w:rPr>
                <w:rFonts w:hint="eastAsia" w:cs="宋体"/>
                <w:color w:val="auto"/>
                <w:kern w:val="0"/>
                <w:szCs w:val="21"/>
                <w:vertAlign w:val="subscript"/>
              </w:rPr>
              <w:t>p2</w:t>
            </w:r>
            <w:r>
              <w:rPr>
                <w:rFonts w:hint="eastAsia" w:cs="宋体"/>
                <w:color w:val="auto"/>
                <w:kern w:val="0"/>
                <w:szCs w:val="21"/>
              </w:rPr>
              <w:t>（T）—靠近围护结构处室外声源的声压级，dB；</w:t>
            </w:r>
          </w:p>
          <w:p w14:paraId="5F7C5A88">
            <w:pPr>
              <w:autoSpaceDE w:val="0"/>
              <w:autoSpaceDN w:val="0"/>
              <w:adjustRightInd w:val="0"/>
              <w:snapToGrid w:val="0"/>
              <w:spacing w:line="360" w:lineRule="auto"/>
              <w:ind w:firstLine="420" w:firstLineChars="200"/>
              <w:rPr>
                <w:rFonts w:cs="宋体"/>
                <w:color w:val="auto"/>
                <w:kern w:val="0"/>
                <w:szCs w:val="21"/>
              </w:rPr>
            </w:pPr>
            <w:r>
              <w:rPr>
                <w:rFonts w:hint="eastAsia" w:cs="宋体"/>
                <w:color w:val="auto"/>
                <w:kern w:val="0"/>
                <w:szCs w:val="21"/>
              </w:rPr>
              <w:t>S—透声面积，m</w:t>
            </w:r>
            <w:r>
              <w:rPr>
                <w:rFonts w:hint="eastAsia" w:cs="宋体"/>
                <w:color w:val="auto"/>
                <w:kern w:val="0"/>
                <w:szCs w:val="21"/>
                <w:vertAlign w:val="superscript"/>
              </w:rPr>
              <w:t>2</w:t>
            </w:r>
            <w:r>
              <w:rPr>
                <w:rFonts w:hint="eastAsia" w:cs="宋体"/>
                <w:color w:val="auto"/>
                <w:kern w:val="0"/>
                <w:szCs w:val="21"/>
              </w:rPr>
              <w:t>。</w:t>
            </w:r>
          </w:p>
          <w:p w14:paraId="7F46C4D9">
            <w:pPr>
              <w:spacing w:line="360" w:lineRule="auto"/>
              <w:ind w:firstLine="420" w:firstLineChars="200"/>
              <w:rPr>
                <w:color w:val="auto"/>
              </w:rPr>
            </w:pPr>
            <w:r>
              <w:rPr>
                <w:rFonts w:hint="eastAsia"/>
                <w:color w:val="auto"/>
              </w:rPr>
              <w:t>②室外声源等效为</w:t>
            </w:r>
            <w:r>
              <w:rPr>
                <w:color w:val="auto"/>
                <w:szCs w:val="21"/>
              </w:rPr>
              <w:t>面声源、线声源和点声源</w:t>
            </w:r>
          </w:p>
          <w:p w14:paraId="5859EC1A">
            <w:pPr>
              <w:spacing w:line="360" w:lineRule="auto"/>
              <w:ind w:firstLine="420" w:firstLineChars="200"/>
              <w:rPr>
                <w:color w:val="auto"/>
                <w:szCs w:val="21"/>
              </w:rPr>
            </w:pPr>
            <w:r>
              <w:rPr>
                <w:color w:val="auto"/>
                <w:szCs w:val="21"/>
              </w:rPr>
              <w:t>等效室外声源的位置为围护结构的位置，其声功率级为</w:t>
            </w:r>
            <w:r>
              <w:rPr>
                <w:color w:val="auto"/>
                <w:position w:val="-12"/>
                <w:szCs w:val="21"/>
              </w:rPr>
              <w:drawing>
                <wp:inline distT="0" distB="0" distL="0" distR="0">
                  <wp:extent cx="207010" cy="207010"/>
                  <wp:effectExtent l="0" t="0" r="2540" b="0"/>
                  <wp:docPr id="56" name="Object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Object 79"/>
                          <pic:cNvPicPr>
                            <a:picLocks noChangeAspect="1" noChangeArrowheads="1"/>
                          </pic:cNvPicPr>
                        </pic:nvPicPr>
                        <pic:blipFill>
                          <a:blip r:embed="rId43"/>
                          <a:srcRect/>
                          <a:stretch>
                            <a:fillRect/>
                          </a:stretch>
                        </pic:blipFill>
                        <pic:spPr>
                          <a:xfrm>
                            <a:off x="0" y="0"/>
                            <a:ext cx="207010" cy="207010"/>
                          </a:xfrm>
                          <a:prstGeom prst="rect">
                            <a:avLst/>
                          </a:prstGeom>
                          <a:noFill/>
                          <a:ln w="9525">
                            <a:noFill/>
                            <a:miter lim="800000"/>
                            <a:headEnd/>
                            <a:tailEnd/>
                          </a:ln>
                        </pic:spPr>
                      </pic:pic>
                    </a:graphicData>
                  </a:graphic>
                </wp:inline>
              </w:drawing>
            </w:r>
            <w:r>
              <w:rPr>
                <w:color w:val="auto"/>
                <w:szCs w:val="21"/>
              </w:rPr>
              <w:t>，根据厂房结构(门、窗)和预测点的位置关系，分别按照面声源、线声源和点声源的衰减模式计算预测点处的声级。</w:t>
            </w:r>
          </w:p>
          <w:p w14:paraId="0F1F6472">
            <w:pPr>
              <w:spacing w:line="360" w:lineRule="auto"/>
              <w:ind w:firstLine="420" w:firstLineChars="200"/>
              <w:rPr>
                <w:color w:val="auto"/>
                <w:szCs w:val="21"/>
              </w:rPr>
            </w:pPr>
            <w:r>
              <w:rPr>
                <w:color w:val="auto"/>
                <w:szCs w:val="21"/>
              </w:rPr>
              <w:t>假设厂房结构</w:t>
            </w:r>
            <w:r>
              <w:rPr>
                <w:rFonts w:hint="eastAsia"/>
                <w:color w:val="auto"/>
                <w:szCs w:val="21"/>
              </w:rPr>
              <w:t>（门、窗）</w:t>
            </w:r>
            <w:r>
              <w:rPr>
                <w:color w:val="auto"/>
                <w:szCs w:val="21"/>
              </w:rPr>
              <w:t>的宽度为a，高度为b，结构的个数为n；预测点距墙中心的距离为r。预测点的声级按照下述公式进行预测：</w:t>
            </w:r>
          </w:p>
          <w:p w14:paraId="30D7E49A">
            <w:pPr>
              <w:spacing w:line="360" w:lineRule="auto"/>
              <w:ind w:firstLine="420" w:firstLineChars="200"/>
              <w:rPr>
                <w:color w:val="auto"/>
                <w:szCs w:val="21"/>
              </w:rPr>
            </w:pPr>
            <w:r>
              <w:rPr>
                <w:color w:val="auto"/>
                <w:szCs w:val="21"/>
              </w:rPr>
              <w:t>当</w:t>
            </w:r>
            <w:r>
              <w:rPr>
                <w:color w:val="auto"/>
                <w:position w:val="-24"/>
                <w:szCs w:val="21"/>
                <w:vertAlign w:val="subscript"/>
              </w:rPr>
              <w:drawing>
                <wp:inline distT="0" distB="0" distL="0" distR="0">
                  <wp:extent cx="396875" cy="396875"/>
                  <wp:effectExtent l="0" t="0" r="3175" b="2540"/>
                  <wp:docPr id="57" name="Object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Object 80"/>
                          <pic:cNvPicPr>
                            <a:picLocks noChangeAspect="1" noChangeArrowheads="1"/>
                          </pic:cNvPicPr>
                        </pic:nvPicPr>
                        <pic:blipFill>
                          <a:blip r:embed="rId44"/>
                          <a:srcRect/>
                          <a:stretch>
                            <a:fillRect/>
                          </a:stretch>
                        </pic:blipFill>
                        <pic:spPr>
                          <a:xfrm>
                            <a:off x="0" y="0"/>
                            <a:ext cx="396875" cy="396875"/>
                          </a:xfrm>
                          <a:prstGeom prst="rect">
                            <a:avLst/>
                          </a:prstGeom>
                          <a:noFill/>
                          <a:ln w="9525">
                            <a:noFill/>
                            <a:miter lim="800000"/>
                            <a:headEnd/>
                            <a:tailEnd/>
                          </a:ln>
                        </pic:spPr>
                      </pic:pic>
                    </a:graphicData>
                  </a:graphic>
                </wp:inline>
              </w:drawing>
            </w:r>
            <w:r>
              <w:rPr>
                <w:color w:val="auto"/>
                <w:szCs w:val="21"/>
              </w:rPr>
              <w:t>时，</w:t>
            </w:r>
            <w:r>
              <w:rPr>
                <w:color w:val="auto"/>
                <w:position w:val="-12"/>
                <w:szCs w:val="21"/>
              </w:rPr>
              <w:drawing>
                <wp:inline distT="0" distB="0" distL="0" distR="0">
                  <wp:extent cx="716280" cy="207010"/>
                  <wp:effectExtent l="0" t="0" r="7620" b="1905"/>
                  <wp:docPr id="58" name="Object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Object 33"/>
                          <pic:cNvPicPr>
                            <a:picLocks noChangeAspect="1" noChangeArrowheads="1"/>
                          </pic:cNvPicPr>
                        </pic:nvPicPr>
                        <pic:blipFill>
                          <a:blip r:embed="rId45"/>
                          <a:srcRect/>
                          <a:stretch>
                            <a:fillRect/>
                          </a:stretch>
                        </pic:blipFill>
                        <pic:spPr>
                          <a:xfrm>
                            <a:off x="0" y="0"/>
                            <a:ext cx="716280" cy="207010"/>
                          </a:xfrm>
                          <a:prstGeom prst="rect">
                            <a:avLst/>
                          </a:prstGeom>
                          <a:noFill/>
                          <a:ln w="9525">
                            <a:noFill/>
                            <a:miter lim="800000"/>
                            <a:headEnd/>
                            <a:tailEnd/>
                          </a:ln>
                        </pic:spPr>
                      </pic:pic>
                    </a:graphicData>
                  </a:graphic>
                </wp:inline>
              </w:drawing>
            </w:r>
            <w:r>
              <w:rPr>
                <w:color w:val="auto"/>
                <w:szCs w:val="21"/>
              </w:rPr>
              <w:t>(即按面声源处理)；</w:t>
            </w:r>
          </w:p>
          <w:p w14:paraId="0AD790B0">
            <w:pPr>
              <w:spacing w:line="360" w:lineRule="auto"/>
              <w:ind w:firstLine="420" w:firstLineChars="200"/>
              <w:rPr>
                <w:color w:val="auto"/>
                <w:szCs w:val="21"/>
              </w:rPr>
            </w:pPr>
            <w:r>
              <w:rPr>
                <w:color w:val="auto"/>
                <w:szCs w:val="21"/>
              </w:rPr>
              <w:t>当</w:t>
            </w:r>
            <w:r>
              <w:rPr>
                <w:color w:val="auto"/>
                <w:position w:val="-24"/>
                <w:szCs w:val="21"/>
                <w:vertAlign w:val="subscript"/>
              </w:rPr>
              <w:drawing>
                <wp:inline distT="0" distB="0" distL="0" distR="0">
                  <wp:extent cx="741680" cy="396875"/>
                  <wp:effectExtent l="0" t="0" r="1270" b="2540"/>
                  <wp:docPr id="59" name="Object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Object 82"/>
                          <pic:cNvPicPr>
                            <a:picLocks noChangeAspect="1" noChangeArrowheads="1"/>
                          </pic:cNvPicPr>
                        </pic:nvPicPr>
                        <pic:blipFill>
                          <a:blip r:embed="rId46"/>
                          <a:srcRect/>
                          <a:stretch>
                            <a:fillRect/>
                          </a:stretch>
                        </pic:blipFill>
                        <pic:spPr>
                          <a:xfrm>
                            <a:off x="0" y="0"/>
                            <a:ext cx="741680" cy="396875"/>
                          </a:xfrm>
                          <a:prstGeom prst="rect">
                            <a:avLst/>
                          </a:prstGeom>
                          <a:noFill/>
                          <a:ln w="9525">
                            <a:noFill/>
                            <a:miter lim="800000"/>
                            <a:headEnd/>
                            <a:tailEnd/>
                          </a:ln>
                        </pic:spPr>
                      </pic:pic>
                    </a:graphicData>
                  </a:graphic>
                </wp:inline>
              </w:drawing>
            </w:r>
            <w:r>
              <w:rPr>
                <w:color w:val="auto"/>
                <w:szCs w:val="21"/>
              </w:rPr>
              <w:t>时，</w:t>
            </w:r>
            <w:r>
              <w:rPr>
                <w:color w:val="auto"/>
                <w:position w:val="-24"/>
                <w:szCs w:val="21"/>
              </w:rPr>
              <w:drawing>
                <wp:inline distT="0" distB="0" distL="0" distR="0">
                  <wp:extent cx="1242060" cy="387985"/>
                  <wp:effectExtent l="0" t="0" r="15240" b="13335"/>
                  <wp:docPr id="60" name="Objec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Object 35"/>
                          <pic:cNvPicPr>
                            <a:picLocks noChangeAspect="1" noChangeArrowheads="1"/>
                          </pic:cNvPicPr>
                        </pic:nvPicPr>
                        <pic:blipFill>
                          <a:blip r:embed="rId47"/>
                          <a:srcRect/>
                          <a:stretch>
                            <a:fillRect/>
                          </a:stretch>
                        </pic:blipFill>
                        <pic:spPr>
                          <a:xfrm>
                            <a:off x="0" y="0"/>
                            <a:ext cx="1242060" cy="387985"/>
                          </a:xfrm>
                          <a:prstGeom prst="rect">
                            <a:avLst/>
                          </a:prstGeom>
                          <a:noFill/>
                          <a:ln w="9525">
                            <a:noFill/>
                            <a:miter lim="800000"/>
                            <a:headEnd/>
                            <a:tailEnd/>
                          </a:ln>
                        </pic:spPr>
                      </pic:pic>
                    </a:graphicData>
                  </a:graphic>
                </wp:inline>
              </w:drawing>
            </w:r>
            <w:r>
              <w:rPr>
                <w:color w:val="auto"/>
                <w:szCs w:val="21"/>
              </w:rPr>
              <w:t>(即按线声源处理)；</w:t>
            </w:r>
          </w:p>
          <w:p w14:paraId="03CA0107">
            <w:pPr>
              <w:spacing w:line="360" w:lineRule="auto"/>
              <w:ind w:firstLine="420" w:firstLineChars="200"/>
              <w:rPr>
                <w:color w:val="auto"/>
                <w:szCs w:val="21"/>
              </w:rPr>
            </w:pPr>
            <w:r>
              <w:rPr>
                <w:color w:val="auto"/>
                <w:szCs w:val="21"/>
              </w:rPr>
              <w:t>当</w:t>
            </w:r>
            <w:r>
              <w:rPr>
                <w:color w:val="auto"/>
                <w:position w:val="-24"/>
                <w:szCs w:val="21"/>
                <w:vertAlign w:val="subscript"/>
              </w:rPr>
              <w:drawing>
                <wp:inline distT="0" distB="0" distL="0" distR="0">
                  <wp:extent cx="440055" cy="387985"/>
                  <wp:effectExtent l="0" t="0" r="0" b="13335"/>
                  <wp:docPr id="61" name="Object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Object 36"/>
                          <pic:cNvPicPr>
                            <a:picLocks noChangeAspect="1" noChangeArrowheads="1"/>
                          </pic:cNvPicPr>
                        </pic:nvPicPr>
                        <pic:blipFill>
                          <a:blip r:embed="rId48"/>
                          <a:srcRect/>
                          <a:stretch>
                            <a:fillRect/>
                          </a:stretch>
                        </pic:blipFill>
                        <pic:spPr>
                          <a:xfrm>
                            <a:off x="0" y="0"/>
                            <a:ext cx="440055" cy="387985"/>
                          </a:xfrm>
                          <a:prstGeom prst="rect">
                            <a:avLst/>
                          </a:prstGeom>
                          <a:noFill/>
                          <a:ln w="9525">
                            <a:noFill/>
                            <a:miter lim="800000"/>
                            <a:headEnd/>
                            <a:tailEnd/>
                          </a:ln>
                        </pic:spPr>
                      </pic:pic>
                    </a:graphicData>
                  </a:graphic>
                </wp:inline>
              </w:drawing>
            </w:r>
            <w:r>
              <w:rPr>
                <w:color w:val="auto"/>
                <w:szCs w:val="21"/>
              </w:rPr>
              <w:t>时，</w:t>
            </w:r>
            <w:r>
              <w:rPr>
                <w:color w:val="auto"/>
                <w:position w:val="-24"/>
                <w:szCs w:val="21"/>
              </w:rPr>
              <w:drawing>
                <wp:inline distT="0" distB="0" distL="0" distR="0">
                  <wp:extent cx="1345565" cy="387985"/>
                  <wp:effectExtent l="0" t="0" r="6985" b="13335"/>
                  <wp:docPr id="62" name="Object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Object 37"/>
                          <pic:cNvPicPr>
                            <a:picLocks noChangeAspect="1" noChangeArrowheads="1"/>
                          </pic:cNvPicPr>
                        </pic:nvPicPr>
                        <pic:blipFill>
                          <a:blip r:embed="rId49"/>
                          <a:srcRect/>
                          <a:stretch>
                            <a:fillRect/>
                          </a:stretch>
                        </pic:blipFill>
                        <pic:spPr>
                          <a:xfrm>
                            <a:off x="0" y="0"/>
                            <a:ext cx="1345565" cy="387985"/>
                          </a:xfrm>
                          <a:prstGeom prst="rect">
                            <a:avLst/>
                          </a:prstGeom>
                          <a:noFill/>
                          <a:ln w="9525">
                            <a:noFill/>
                            <a:miter lim="800000"/>
                            <a:headEnd/>
                            <a:tailEnd/>
                          </a:ln>
                        </pic:spPr>
                      </pic:pic>
                    </a:graphicData>
                  </a:graphic>
                </wp:inline>
              </w:drawing>
            </w:r>
            <w:r>
              <w:rPr>
                <w:color w:val="auto"/>
                <w:szCs w:val="21"/>
              </w:rPr>
              <w:t>(即按点声源处理)；</w:t>
            </w:r>
          </w:p>
          <w:p w14:paraId="68C5A9C7">
            <w:pPr>
              <w:autoSpaceDE w:val="0"/>
              <w:autoSpaceDN w:val="0"/>
              <w:adjustRightInd w:val="0"/>
              <w:snapToGrid w:val="0"/>
              <w:spacing w:line="360" w:lineRule="auto"/>
              <w:ind w:firstLine="420" w:firstLineChars="200"/>
              <w:rPr>
                <w:rFonts w:cs="宋体"/>
                <w:color w:val="auto"/>
                <w:kern w:val="0"/>
                <w:szCs w:val="21"/>
              </w:rPr>
            </w:pPr>
            <w:r>
              <w:rPr>
                <w:rFonts w:hint="eastAsia" w:cs="宋体"/>
                <w:color w:val="auto"/>
                <w:kern w:val="0"/>
                <w:szCs w:val="21"/>
              </w:rPr>
              <w:t>③计算总声压级</w:t>
            </w:r>
          </w:p>
          <w:p w14:paraId="4CD305FE">
            <w:pPr>
              <w:spacing w:line="360" w:lineRule="auto"/>
              <w:ind w:firstLine="420" w:firstLineChars="200"/>
              <w:rPr>
                <w:color w:val="auto"/>
                <w:szCs w:val="21"/>
              </w:rPr>
            </w:pPr>
            <w:r>
              <w:rPr>
                <w:color w:val="auto"/>
                <w:szCs w:val="21"/>
              </w:rPr>
              <w:t>计算</w:t>
            </w:r>
            <w:r>
              <w:rPr>
                <w:rFonts w:hint="eastAsia"/>
                <w:color w:val="auto"/>
                <w:szCs w:val="21"/>
              </w:rPr>
              <w:t>本</w:t>
            </w:r>
            <w:r>
              <w:rPr>
                <w:color w:val="auto"/>
                <w:szCs w:val="21"/>
              </w:rPr>
              <w:t>项目各</w:t>
            </w:r>
            <w:r>
              <w:rPr>
                <w:rFonts w:hint="eastAsia"/>
                <w:color w:val="auto"/>
                <w:szCs w:val="21"/>
              </w:rPr>
              <w:t>等效室外声源</w:t>
            </w:r>
            <w:r>
              <w:rPr>
                <w:color w:val="auto"/>
                <w:szCs w:val="21"/>
              </w:rPr>
              <w:t>对预测点的噪声贡献值</w:t>
            </w:r>
            <w:r>
              <w:rPr>
                <w:rFonts w:hint="eastAsia"/>
                <w:color w:val="auto"/>
                <w:szCs w:val="21"/>
              </w:rPr>
              <w:t>。</w:t>
            </w:r>
          </w:p>
          <w:p w14:paraId="0A5E1D05">
            <w:pPr>
              <w:spacing w:line="360" w:lineRule="auto"/>
              <w:ind w:firstLine="420" w:firstLineChars="200"/>
              <w:rPr>
                <w:color w:val="auto"/>
                <w:szCs w:val="21"/>
              </w:rPr>
            </w:pPr>
            <w:r>
              <w:rPr>
                <w:color w:val="auto"/>
                <w:szCs w:val="21"/>
              </w:rPr>
              <w:t>设第</w:t>
            </w:r>
            <w:r>
              <w:rPr>
                <w:color w:val="auto"/>
                <w:position w:val="-10"/>
                <w:szCs w:val="21"/>
              </w:rPr>
              <w:drawing>
                <wp:inline distT="0" distB="0" distL="0" distR="0">
                  <wp:extent cx="137795" cy="189865"/>
                  <wp:effectExtent l="0" t="0" r="14605" b="635"/>
                  <wp:docPr id="63" name="Object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Object 89"/>
                          <pic:cNvPicPr>
                            <a:picLocks noChangeAspect="1" noChangeArrowheads="1"/>
                          </pic:cNvPicPr>
                        </pic:nvPicPr>
                        <pic:blipFill>
                          <a:blip r:embed="rId50"/>
                          <a:srcRect/>
                          <a:stretch>
                            <a:fillRect/>
                          </a:stretch>
                        </pic:blipFill>
                        <pic:spPr>
                          <a:xfrm>
                            <a:off x="0" y="0"/>
                            <a:ext cx="137795" cy="189865"/>
                          </a:xfrm>
                          <a:prstGeom prst="rect">
                            <a:avLst/>
                          </a:prstGeom>
                          <a:noFill/>
                          <a:ln w="9525">
                            <a:noFill/>
                            <a:miter lim="800000"/>
                            <a:headEnd/>
                            <a:tailEnd/>
                          </a:ln>
                        </pic:spPr>
                      </pic:pic>
                    </a:graphicData>
                  </a:graphic>
                </wp:inline>
              </w:drawing>
            </w:r>
            <w:r>
              <w:rPr>
                <w:color w:val="auto"/>
                <w:szCs w:val="21"/>
              </w:rPr>
              <w:t>个等效室外声源在预测点产生的A声级为</w:t>
            </w:r>
            <w:r>
              <w:rPr>
                <w:color w:val="auto"/>
                <w:position w:val="-14"/>
                <w:szCs w:val="21"/>
              </w:rPr>
              <w:drawing>
                <wp:inline distT="0" distB="0" distL="0" distR="0">
                  <wp:extent cx="207010" cy="233045"/>
                  <wp:effectExtent l="0" t="0" r="2540" b="15875"/>
                  <wp:docPr id="64" name="Object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Object 90"/>
                          <pic:cNvPicPr>
                            <a:picLocks noChangeAspect="1" noChangeArrowheads="1"/>
                          </pic:cNvPicPr>
                        </pic:nvPicPr>
                        <pic:blipFill>
                          <a:blip r:embed="rId51"/>
                          <a:srcRect/>
                          <a:stretch>
                            <a:fillRect/>
                          </a:stretch>
                        </pic:blipFill>
                        <pic:spPr>
                          <a:xfrm>
                            <a:off x="0" y="0"/>
                            <a:ext cx="207010" cy="233045"/>
                          </a:xfrm>
                          <a:prstGeom prst="rect">
                            <a:avLst/>
                          </a:prstGeom>
                          <a:noFill/>
                          <a:ln w="9525">
                            <a:noFill/>
                            <a:miter lim="800000"/>
                            <a:headEnd/>
                            <a:tailEnd/>
                          </a:ln>
                        </pic:spPr>
                      </pic:pic>
                    </a:graphicData>
                  </a:graphic>
                </wp:inline>
              </w:drawing>
            </w:r>
            <w:r>
              <w:rPr>
                <w:color w:val="auto"/>
                <w:szCs w:val="21"/>
              </w:rPr>
              <w:t>，在T时间内该声源工作时间为</w:t>
            </w:r>
            <w:r>
              <w:rPr>
                <w:color w:val="auto"/>
                <w:position w:val="-14"/>
                <w:szCs w:val="21"/>
              </w:rPr>
              <w:drawing>
                <wp:inline distT="0" distB="0" distL="0" distR="0">
                  <wp:extent cx="137795" cy="233045"/>
                  <wp:effectExtent l="0" t="0" r="0" b="15875"/>
                  <wp:docPr id="65" name="Objec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Object 91"/>
                          <pic:cNvPicPr>
                            <a:picLocks noChangeAspect="1" noChangeArrowheads="1"/>
                          </pic:cNvPicPr>
                        </pic:nvPicPr>
                        <pic:blipFill>
                          <a:blip r:embed="rId52"/>
                          <a:srcRect/>
                          <a:stretch>
                            <a:fillRect/>
                          </a:stretch>
                        </pic:blipFill>
                        <pic:spPr>
                          <a:xfrm>
                            <a:off x="0" y="0"/>
                            <a:ext cx="137795" cy="233045"/>
                          </a:xfrm>
                          <a:prstGeom prst="rect">
                            <a:avLst/>
                          </a:prstGeom>
                          <a:noFill/>
                          <a:ln w="9525">
                            <a:noFill/>
                            <a:miter lim="800000"/>
                            <a:headEnd/>
                            <a:tailEnd/>
                          </a:ln>
                        </pic:spPr>
                      </pic:pic>
                    </a:graphicData>
                  </a:graphic>
                </wp:inline>
              </w:drawing>
            </w:r>
            <w:r>
              <w:rPr>
                <w:color w:val="auto"/>
                <w:szCs w:val="21"/>
              </w:rPr>
              <w:t>，则</w:t>
            </w:r>
            <w:r>
              <w:rPr>
                <w:rFonts w:hint="eastAsia"/>
                <w:color w:val="auto"/>
                <w:szCs w:val="21"/>
              </w:rPr>
              <w:t>本</w:t>
            </w:r>
            <w:r>
              <w:rPr>
                <w:color w:val="auto"/>
                <w:szCs w:val="21"/>
              </w:rPr>
              <w:t>项目声源对预测点产生的贡献值(</w:t>
            </w:r>
            <w:r>
              <w:rPr>
                <w:color w:val="auto"/>
                <w:position w:val="-14"/>
                <w:szCs w:val="21"/>
              </w:rPr>
              <w:drawing>
                <wp:inline distT="0" distB="0" distL="0" distR="0">
                  <wp:extent cx="276225" cy="233045"/>
                  <wp:effectExtent l="0" t="0" r="8890" b="15875"/>
                  <wp:docPr id="66" name="Object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Object 92"/>
                          <pic:cNvPicPr>
                            <a:picLocks noChangeAspect="1" noChangeArrowheads="1"/>
                          </pic:cNvPicPr>
                        </pic:nvPicPr>
                        <pic:blipFill>
                          <a:blip r:embed="rId53"/>
                          <a:srcRect/>
                          <a:stretch>
                            <a:fillRect/>
                          </a:stretch>
                        </pic:blipFill>
                        <pic:spPr>
                          <a:xfrm>
                            <a:off x="0" y="0"/>
                            <a:ext cx="276225" cy="233045"/>
                          </a:xfrm>
                          <a:prstGeom prst="rect">
                            <a:avLst/>
                          </a:prstGeom>
                          <a:noFill/>
                          <a:ln w="9525">
                            <a:noFill/>
                            <a:miter lim="800000"/>
                            <a:headEnd/>
                            <a:tailEnd/>
                          </a:ln>
                        </pic:spPr>
                      </pic:pic>
                    </a:graphicData>
                  </a:graphic>
                </wp:inline>
              </w:drawing>
            </w:r>
            <w:r>
              <w:rPr>
                <w:color w:val="auto"/>
                <w:szCs w:val="21"/>
              </w:rPr>
              <w:t>)为：</w:t>
            </w:r>
          </w:p>
          <w:p w14:paraId="00156AC4">
            <w:pPr>
              <w:spacing w:line="360" w:lineRule="auto"/>
              <w:ind w:firstLine="420" w:firstLineChars="200"/>
              <w:rPr>
                <w:color w:val="auto"/>
                <w:szCs w:val="21"/>
              </w:rPr>
            </w:pPr>
            <w:r>
              <w:rPr>
                <w:color w:val="auto"/>
                <w:position w:val="-30"/>
                <w:szCs w:val="21"/>
              </w:rPr>
              <w:drawing>
                <wp:inline distT="0" distB="0" distL="0" distR="0">
                  <wp:extent cx="1776730" cy="466090"/>
                  <wp:effectExtent l="0" t="0" r="13970" b="10795"/>
                  <wp:docPr id="67" name="Object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Object 42"/>
                          <pic:cNvPicPr>
                            <a:picLocks noChangeAspect="1" noChangeArrowheads="1"/>
                          </pic:cNvPicPr>
                        </pic:nvPicPr>
                        <pic:blipFill>
                          <a:blip r:embed="rId54"/>
                          <a:srcRect/>
                          <a:stretch>
                            <a:fillRect/>
                          </a:stretch>
                        </pic:blipFill>
                        <pic:spPr>
                          <a:xfrm>
                            <a:off x="0" y="0"/>
                            <a:ext cx="1776730" cy="466090"/>
                          </a:xfrm>
                          <a:prstGeom prst="rect">
                            <a:avLst/>
                          </a:prstGeom>
                          <a:noFill/>
                          <a:ln w="9525">
                            <a:noFill/>
                            <a:miter lim="800000"/>
                            <a:headEnd/>
                            <a:tailEnd/>
                          </a:ln>
                        </pic:spPr>
                      </pic:pic>
                    </a:graphicData>
                  </a:graphic>
                </wp:inline>
              </w:drawing>
            </w:r>
          </w:p>
          <w:p w14:paraId="2FA17D31">
            <w:pPr>
              <w:spacing w:line="360" w:lineRule="auto"/>
              <w:ind w:firstLine="420" w:firstLineChars="200"/>
              <w:rPr>
                <w:color w:val="auto"/>
                <w:szCs w:val="21"/>
              </w:rPr>
            </w:pPr>
            <w:r>
              <w:rPr>
                <w:rFonts w:hint="eastAsia"/>
                <w:color w:val="auto"/>
                <w:szCs w:val="21"/>
              </w:rPr>
              <w:t>式中：</w:t>
            </w:r>
          </w:p>
          <w:p w14:paraId="02581C09">
            <w:pPr>
              <w:spacing w:line="360" w:lineRule="auto"/>
              <w:ind w:firstLine="420" w:firstLineChars="200"/>
              <w:rPr>
                <w:color w:val="auto"/>
                <w:szCs w:val="21"/>
              </w:rPr>
            </w:pPr>
            <w:r>
              <w:rPr>
                <w:color w:val="auto"/>
                <w:szCs w:val="21"/>
              </w:rPr>
              <w:t>tj</w:t>
            </w:r>
            <w:r>
              <w:rPr>
                <w:rFonts w:hint="eastAsia"/>
                <w:color w:val="auto"/>
                <w:szCs w:val="21"/>
              </w:rPr>
              <w:t>——在T时间内j声源工作时间，s；</w:t>
            </w:r>
          </w:p>
          <w:p w14:paraId="6CAE7392">
            <w:pPr>
              <w:spacing w:line="360" w:lineRule="auto"/>
              <w:ind w:firstLine="420" w:firstLineChars="200"/>
              <w:rPr>
                <w:color w:val="auto"/>
                <w:szCs w:val="21"/>
              </w:rPr>
            </w:pPr>
            <w:r>
              <w:rPr>
                <w:rFonts w:hint="eastAsia"/>
                <w:color w:val="auto"/>
                <w:szCs w:val="21"/>
              </w:rPr>
              <w:t>T——用于计算等效声级的时间，s；</w:t>
            </w:r>
          </w:p>
          <w:p w14:paraId="2FA12BD8">
            <w:pPr>
              <w:spacing w:line="360" w:lineRule="auto"/>
              <w:ind w:firstLine="420" w:firstLineChars="200"/>
              <w:rPr>
                <w:color w:val="auto"/>
                <w:szCs w:val="21"/>
              </w:rPr>
            </w:pPr>
            <w:r>
              <w:rPr>
                <w:rFonts w:hint="eastAsia"/>
                <w:color w:val="auto"/>
                <w:szCs w:val="21"/>
              </w:rPr>
              <w:t>M——等效室外声源个数。</w:t>
            </w:r>
          </w:p>
          <w:p w14:paraId="486EE5B4">
            <w:pPr>
              <w:pStyle w:val="116"/>
              <w:spacing w:line="400" w:lineRule="exact"/>
              <w:ind w:firstLine="420"/>
              <w:rPr>
                <w:color w:val="auto"/>
              </w:rPr>
            </w:pPr>
            <w:r>
              <w:rPr>
                <w:rFonts w:hint="eastAsia" w:ascii="宋体"/>
                <w:color w:val="auto"/>
              </w:rPr>
              <w:t>④</w:t>
            </w:r>
            <w:r>
              <w:rPr>
                <w:rFonts w:hint="eastAsia"/>
                <w:color w:val="auto"/>
              </w:rPr>
              <w:t>计算预测值</w:t>
            </w:r>
          </w:p>
          <w:p w14:paraId="5593AE7D">
            <w:pPr>
              <w:pStyle w:val="116"/>
              <w:spacing w:line="400" w:lineRule="exact"/>
              <w:ind w:firstLine="420"/>
              <w:rPr>
                <w:color w:val="auto"/>
              </w:rPr>
            </w:pPr>
            <w:r>
              <w:rPr>
                <w:rFonts w:hint="eastAsia"/>
                <w:color w:val="auto"/>
              </w:rPr>
              <w:t>本项目为</w:t>
            </w:r>
            <w:r>
              <w:rPr>
                <w:rFonts w:hint="eastAsia"/>
                <w:color w:val="auto"/>
                <w:lang w:val="en-US" w:eastAsia="zh-CN"/>
              </w:rPr>
              <w:t>扩建</w:t>
            </w:r>
            <w:r>
              <w:rPr>
                <w:rFonts w:hint="eastAsia"/>
                <w:color w:val="auto"/>
              </w:rPr>
              <w:t>项目，因此将预测点的现状值和本项目贡献值按能量叠加的方法计算预测值。</w:t>
            </w:r>
          </w:p>
          <w:p w14:paraId="64F4DD3B">
            <w:pPr>
              <w:pStyle w:val="119"/>
              <w:rPr>
                <w:rFonts w:cs="宋体"/>
                <w:color w:val="auto"/>
              </w:rPr>
            </w:pPr>
            <w:r>
              <w:rPr>
                <w:rFonts w:hint="eastAsia" w:cs="宋体"/>
                <w:color w:val="auto"/>
              </w:rPr>
              <w:t>（2）噪声预测及分析</w:t>
            </w:r>
          </w:p>
          <w:p w14:paraId="0ED6CA02">
            <w:pPr>
              <w:pStyle w:val="116"/>
              <w:ind w:firstLine="420"/>
              <w:rPr>
                <w:color w:val="auto"/>
                <w:highlight w:val="none"/>
              </w:rPr>
            </w:pPr>
            <w:r>
              <w:rPr>
                <w:rFonts w:hint="eastAsia"/>
                <w:color w:val="auto"/>
              </w:rPr>
              <w:t>本次评价采用环安噪声环境影响评价系统（NoiseSystem）对项目厂界噪声进行预测，预测结果见下表，</w:t>
            </w:r>
            <w:r>
              <w:rPr>
                <w:rFonts w:hint="eastAsia"/>
                <w:color w:val="auto"/>
                <w:highlight w:val="none"/>
                <w:lang w:val="en-US" w:eastAsia="zh-CN"/>
              </w:rPr>
              <w:t>现有工程</w:t>
            </w:r>
            <w:r>
              <w:rPr>
                <w:color w:val="auto"/>
                <w:highlight w:val="none"/>
              </w:rPr>
              <w:t>夜间不生产</w:t>
            </w:r>
            <w:r>
              <w:rPr>
                <w:rFonts w:hint="eastAsia"/>
                <w:color w:val="auto"/>
                <w:highlight w:val="none"/>
              </w:rPr>
              <w:t>，</w:t>
            </w:r>
            <w:r>
              <w:rPr>
                <w:rFonts w:hint="eastAsia"/>
                <w:color w:val="auto"/>
                <w:highlight w:val="none"/>
                <w:lang w:val="en-US" w:eastAsia="zh-CN"/>
              </w:rPr>
              <w:t>昼间</w:t>
            </w:r>
            <w:r>
              <w:rPr>
                <w:color w:val="auto"/>
                <w:highlight w:val="none"/>
              </w:rPr>
              <w:t>现状值采用唐山赫力环境检测有限公司为企业出具的检测报告</w:t>
            </w:r>
            <w:r>
              <w:rPr>
                <w:rFonts w:hint="eastAsia"/>
                <w:color w:val="auto"/>
                <w:highlight w:val="none"/>
              </w:rPr>
              <w:t>（TSHL</w:t>
            </w:r>
            <w:r>
              <w:rPr>
                <w:rFonts w:hint="eastAsia"/>
                <w:color w:val="auto"/>
                <w:highlight w:val="none"/>
                <w:lang w:eastAsia="zh-CN"/>
              </w:rPr>
              <w:t>（</w:t>
            </w:r>
            <w:r>
              <w:rPr>
                <w:rFonts w:hint="eastAsia"/>
                <w:color w:val="auto"/>
                <w:highlight w:val="none"/>
                <w:lang w:val="en-US" w:eastAsia="zh-CN"/>
              </w:rPr>
              <w:t>Y</w:t>
            </w:r>
            <w:r>
              <w:rPr>
                <w:rFonts w:hint="eastAsia"/>
                <w:color w:val="auto"/>
                <w:highlight w:val="none"/>
                <w:lang w:eastAsia="zh-CN"/>
              </w:rPr>
              <w:t>）</w:t>
            </w:r>
            <w:r>
              <w:rPr>
                <w:rFonts w:hint="eastAsia"/>
                <w:color w:val="auto"/>
                <w:highlight w:val="none"/>
              </w:rPr>
              <w:t>字(2025)第0857号）。</w:t>
            </w:r>
          </w:p>
          <w:p w14:paraId="6F07B7AE">
            <w:pPr>
              <w:pStyle w:val="10"/>
              <w:rPr>
                <w:bCs/>
                <w:color w:val="auto"/>
                <w:highlight w:val="none"/>
              </w:rPr>
            </w:pPr>
            <w:r>
              <w:rPr>
                <w:rFonts w:hint="eastAsia"/>
                <w:color w:val="auto"/>
                <w:highlight w:val="none"/>
              </w:rPr>
              <w:t>表4</w:t>
            </w:r>
            <w:r>
              <w:rPr>
                <w:rFonts w:hint="eastAsia"/>
                <w:color w:val="auto"/>
                <w:highlight w:val="none"/>
                <w:lang w:eastAsia="zh-CN"/>
              </w:rPr>
              <w:t>-</w:t>
            </w:r>
            <w:r>
              <w:rPr>
                <w:color w:val="auto"/>
                <w:highlight w:val="none"/>
              </w:rPr>
              <w:fldChar w:fldCharType="begin"/>
            </w:r>
            <w:r>
              <w:rPr>
                <w:color w:val="auto"/>
                <w:highlight w:val="none"/>
              </w:rPr>
              <w:instrText xml:space="preserve"> </w:instrText>
            </w:r>
            <w:r>
              <w:rPr>
                <w:rFonts w:hint="eastAsia"/>
                <w:color w:val="auto"/>
                <w:highlight w:val="none"/>
              </w:rPr>
              <w:instrText xml:space="preserve">SEQ 表4- \* ARABIC</w:instrText>
            </w:r>
            <w:r>
              <w:rPr>
                <w:color w:val="auto"/>
                <w:highlight w:val="none"/>
              </w:rPr>
              <w:instrText xml:space="preserve"> </w:instrText>
            </w:r>
            <w:r>
              <w:rPr>
                <w:color w:val="auto"/>
                <w:highlight w:val="none"/>
              </w:rPr>
              <w:fldChar w:fldCharType="separate"/>
            </w:r>
            <w:r>
              <w:rPr>
                <w:color w:val="auto"/>
                <w:highlight w:val="none"/>
              </w:rPr>
              <w:t>1</w:t>
            </w:r>
            <w:r>
              <w:rPr>
                <w:rFonts w:hint="eastAsia"/>
                <w:color w:val="auto"/>
                <w:highlight w:val="none"/>
                <w:lang w:val="en-US" w:eastAsia="zh-CN"/>
              </w:rPr>
              <w:t>3</w:t>
            </w:r>
            <w:r>
              <w:rPr>
                <w:color w:val="auto"/>
                <w:highlight w:val="none"/>
              </w:rPr>
              <w:fldChar w:fldCharType="end"/>
            </w:r>
            <w:r>
              <w:rPr>
                <w:rFonts w:hint="eastAsia"/>
                <w:color w:val="auto"/>
                <w:highlight w:val="none"/>
              </w:rPr>
              <w:t xml:space="preserve"> </w:t>
            </w:r>
            <w:r>
              <w:rPr>
                <w:rFonts w:hint="eastAsia"/>
                <w:bCs/>
                <w:color w:val="auto"/>
                <w:highlight w:val="none"/>
              </w:rPr>
              <w:t>厂界外1m处噪声预测结果   单位：dB（A）</w:t>
            </w:r>
          </w:p>
          <w:tbl>
            <w:tblPr>
              <w:tblStyle w:val="3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11"/>
              <w:gridCol w:w="904"/>
              <w:gridCol w:w="1097"/>
              <w:gridCol w:w="1055"/>
              <w:gridCol w:w="1055"/>
              <w:gridCol w:w="1055"/>
              <w:gridCol w:w="1251"/>
            </w:tblGrid>
            <w:tr w14:paraId="0F973B2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003" w:type="pct"/>
                  <w:vAlign w:val="center"/>
                </w:tcPr>
                <w:p w14:paraId="49B61A7A">
                  <w:pPr>
                    <w:adjustRightInd w:val="0"/>
                    <w:snapToGrid w:val="0"/>
                    <w:jc w:val="center"/>
                    <w:rPr>
                      <w:rFonts w:cs="宋体"/>
                      <w:bCs/>
                      <w:color w:val="auto"/>
                      <w:spacing w:val="-10"/>
                      <w:szCs w:val="21"/>
                      <w:highlight w:val="none"/>
                    </w:rPr>
                  </w:pPr>
                  <w:r>
                    <w:rPr>
                      <w:rFonts w:cs="宋体"/>
                      <w:bCs/>
                      <w:color w:val="auto"/>
                      <w:spacing w:val="-10"/>
                      <w:szCs w:val="21"/>
                      <w:highlight w:val="none"/>
                    </w:rPr>
                    <w:t>预测点</w:t>
                  </w:r>
                </w:p>
              </w:tc>
              <w:tc>
                <w:tcPr>
                  <w:tcW w:w="563" w:type="pct"/>
                  <w:vAlign w:val="center"/>
                </w:tcPr>
                <w:p w14:paraId="6AE72182">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时段</w:t>
                  </w:r>
                </w:p>
              </w:tc>
              <w:tc>
                <w:tcPr>
                  <w:tcW w:w="683" w:type="pct"/>
                  <w:vAlign w:val="center"/>
                </w:tcPr>
                <w:p w14:paraId="610DFA00">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贡献值</w:t>
                  </w:r>
                </w:p>
              </w:tc>
              <w:tc>
                <w:tcPr>
                  <w:tcW w:w="657" w:type="pct"/>
                  <w:vAlign w:val="center"/>
                </w:tcPr>
                <w:p w14:paraId="38B88C36">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现状值</w:t>
                  </w:r>
                </w:p>
              </w:tc>
              <w:tc>
                <w:tcPr>
                  <w:tcW w:w="657" w:type="pct"/>
                  <w:vAlign w:val="center"/>
                </w:tcPr>
                <w:p w14:paraId="7B5FB1BE">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预测值</w:t>
                  </w:r>
                </w:p>
              </w:tc>
              <w:tc>
                <w:tcPr>
                  <w:tcW w:w="657" w:type="pct"/>
                  <w:vAlign w:val="center"/>
                </w:tcPr>
                <w:p w14:paraId="03708C40">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评价标准</w:t>
                  </w:r>
                </w:p>
              </w:tc>
              <w:tc>
                <w:tcPr>
                  <w:tcW w:w="779" w:type="pct"/>
                  <w:vAlign w:val="center"/>
                </w:tcPr>
                <w:p w14:paraId="7F3B3966">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达标分析</w:t>
                  </w:r>
                </w:p>
              </w:tc>
            </w:tr>
            <w:tr w14:paraId="04AC752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1003" w:type="pct"/>
                  <w:vMerge w:val="restart"/>
                  <w:vAlign w:val="center"/>
                </w:tcPr>
                <w:p w14:paraId="3524D021">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东厂界</w:t>
                  </w:r>
                </w:p>
              </w:tc>
              <w:tc>
                <w:tcPr>
                  <w:tcW w:w="563" w:type="pct"/>
                  <w:vAlign w:val="center"/>
                </w:tcPr>
                <w:p w14:paraId="45C4795C">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昼间</w:t>
                  </w:r>
                </w:p>
              </w:tc>
              <w:tc>
                <w:tcPr>
                  <w:tcW w:w="683" w:type="pct"/>
                  <w:vAlign w:val="center"/>
                </w:tcPr>
                <w:p w14:paraId="50829001">
                  <w:pPr>
                    <w:adjustRightInd w:val="0"/>
                    <w:snapToGrid w:val="0"/>
                    <w:jc w:val="center"/>
                    <w:rPr>
                      <w:rFonts w:hint="default" w:eastAsia="宋体" w:cs="宋体"/>
                      <w:bCs/>
                      <w:color w:val="auto"/>
                      <w:spacing w:val="-10"/>
                      <w:szCs w:val="21"/>
                      <w:highlight w:val="none"/>
                      <w:lang w:val="en-US" w:eastAsia="zh-CN"/>
                    </w:rPr>
                  </w:pPr>
                  <w:r>
                    <w:rPr>
                      <w:rFonts w:hint="eastAsia" w:cs="宋体"/>
                      <w:bCs/>
                      <w:color w:val="auto"/>
                      <w:spacing w:val="-10"/>
                      <w:szCs w:val="21"/>
                      <w:highlight w:val="none"/>
                      <w:lang w:val="en-US" w:eastAsia="zh-CN"/>
                    </w:rPr>
                    <w:t>31.16</w:t>
                  </w:r>
                </w:p>
              </w:tc>
              <w:tc>
                <w:tcPr>
                  <w:tcW w:w="657" w:type="pct"/>
                  <w:vAlign w:val="center"/>
                </w:tcPr>
                <w:p w14:paraId="3BD32D79">
                  <w:pPr>
                    <w:adjustRightInd w:val="0"/>
                    <w:snapToGrid w:val="0"/>
                    <w:jc w:val="center"/>
                    <w:rPr>
                      <w:rFonts w:hint="default" w:eastAsia="宋体" w:cs="宋体"/>
                      <w:bCs/>
                      <w:color w:val="auto"/>
                      <w:spacing w:val="-10"/>
                      <w:szCs w:val="21"/>
                      <w:highlight w:val="none"/>
                      <w:lang w:val="en-US" w:eastAsia="zh-CN"/>
                    </w:rPr>
                  </w:pPr>
                  <w:r>
                    <w:rPr>
                      <w:rFonts w:hint="eastAsia" w:cs="宋体"/>
                      <w:bCs/>
                      <w:color w:val="auto"/>
                      <w:spacing w:val="-10"/>
                      <w:szCs w:val="21"/>
                      <w:highlight w:val="none"/>
                      <w:lang w:val="en-US" w:eastAsia="zh-CN"/>
                    </w:rPr>
                    <w:t>58</w:t>
                  </w:r>
                </w:p>
              </w:tc>
              <w:tc>
                <w:tcPr>
                  <w:tcW w:w="657" w:type="pct"/>
                  <w:vAlign w:val="center"/>
                </w:tcPr>
                <w:p w14:paraId="4B2CD7AF">
                  <w:pPr>
                    <w:adjustRightInd w:val="0"/>
                    <w:snapToGrid w:val="0"/>
                    <w:jc w:val="center"/>
                    <w:rPr>
                      <w:rFonts w:hint="default" w:eastAsia="宋体" w:cs="宋体"/>
                      <w:bCs/>
                      <w:color w:val="auto"/>
                      <w:spacing w:val="-10"/>
                      <w:szCs w:val="21"/>
                      <w:highlight w:val="none"/>
                      <w:lang w:val="en-US" w:eastAsia="zh-CN"/>
                    </w:rPr>
                  </w:pPr>
                  <w:r>
                    <w:rPr>
                      <w:rFonts w:hint="eastAsia" w:cs="宋体"/>
                      <w:bCs/>
                      <w:color w:val="auto"/>
                      <w:spacing w:val="-10"/>
                      <w:szCs w:val="21"/>
                      <w:highlight w:val="none"/>
                      <w:lang w:val="en-US" w:eastAsia="zh-CN"/>
                    </w:rPr>
                    <w:t>58.01</w:t>
                  </w:r>
                </w:p>
              </w:tc>
              <w:tc>
                <w:tcPr>
                  <w:tcW w:w="657" w:type="pct"/>
                  <w:vAlign w:val="center"/>
                </w:tcPr>
                <w:p w14:paraId="31A28E66">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70</w:t>
                  </w:r>
                </w:p>
              </w:tc>
              <w:tc>
                <w:tcPr>
                  <w:tcW w:w="779" w:type="pct"/>
                  <w:vAlign w:val="center"/>
                </w:tcPr>
                <w:p w14:paraId="74CA7259">
                  <w:pPr>
                    <w:adjustRightInd w:val="0"/>
                    <w:snapToGrid w:val="0"/>
                    <w:jc w:val="center"/>
                    <w:rPr>
                      <w:rFonts w:cs="宋体"/>
                      <w:bCs/>
                      <w:color w:val="auto"/>
                      <w:spacing w:val="-10"/>
                      <w:szCs w:val="21"/>
                      <w:highlight w:val="none"/>
                    </w:rPr>
                  </w:pPr>
                  <w:r>
                    <w:rPr>
                      <w:rFonts w:cs="宋体"/>
                      <w:bCs/>
                      <w:color w:val="auto"/>
                      <w:spacing w:val="-10"/>
                      <w:szCs w:val="21"/>
                      <w:highlight w:val="none"/>
                    </w:rPr>
                    <w:t>达标</w:t>
                  </w:r>
                </w:p>
              </w:tc>
            </w:tr>
            <w:tr w14:paraId="0AA5459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1003" w:type="pct"/>
                  <w:vMerge w:val="continue"/>
                  <w:vAlign w:val="center"/>
                </w:tcPr>
                <w:p w14:paraId="1FDF1241">
                  <w:pPr>
                    <w:adjustRightInd w:val="0"/>
                    <w:snapToGrid w:val="0"/>
                    <w:jc w:val="center"/>
                    <w:rPr>
                      <w:color w:val="auto"/>
                      <w:highlight w:val="none"/>
                    </w:rPr>
                  </w:pPr>
                </w:p>
              </w:tc>
              <w:tc>
                <w:tcPr>
                  <w:tcW w:w="563" w:type="pct"/>
                  <w:vAlign w:val="center"/>
                </w:tcPr>
                <w:p w14:paraId="091CE190">
                  <w:pPr>
                    <w:adjustRightInd w:val="0"/>
                    <w:snapToGrid w:val="0"/>
                    <w:jc w:val="center"/>
                    <w:rPr>
                      <w:rFonts w:hint="eastAsia" w:cs="宋体"/>
                      <w:bCs/>
                      <w:color w:val="auto"/>
                      <w:spacing w:val="-10"/>
                      <w:szCs w:val="21"/>
                      <w:highlight w:val="none"/>
                    </w:rPr>
                  </w:pPr>
                  <w:r>
                    <w:rPr>
                      <w:rFonts w:hint="eastAsia" w:cs="宋体"/>
                      <w:bCs/>
                      <w:color w:val="auto"/>
                      <w:spacing w:val="-10"/>
                      <w:szCs w:val="21"/>
                      <w:highlight w:val="none"/>
                      <w:lang w:val="en-US" w:eastAsia="zh-CN"/>
                    </w:rPr>
                    <w:t>夜间</w:t>
                  </w:r>
                </w:p>
              </w:tc>
              <w:tc>
                <w:tcPr>
                  <w:tcW w:w="683" w:type="pct"/>
                  <w:vAlign w:val="center"/>
                </w:tcPr>
                <w:p w14:paraId="15AAECC0">
                  <w:pPr>
                    <w:adjustRightInd w:val="0"/>
                    <w:snapToGrid w:val="0"/>
                    <w:jc w:val="center"/>
                    <w:rPr>
                      <w:rFonts w:hint="default" w:eastAsia="宋体" w:cs="宋体"/>
                      <w:bCs/>
                      <w:color w:val="auto"/>
                      <w:spacing w:val="-10"/>
                      <w:szCs w:val="21"/>
                      <w:highlight w:val="none"/>
                      <w:lang w:val="en-US" w:eastAsia="zh-CN"/>
                    </w:rPr>
                  </w:pPr>
                  <w:r>
                    <w:rPr>
                      <w:rFonts w:hint="eastAsia" w:cs="宋体"/>
                      <w:bCs/>
                      <w:color w:val="auto"/>
                      <w:spacing w:val="-10"/>
                      <w:szCs w:val="21"/>
                      <w:highlight w:val="none"/>
                      <w:lang w:val="en-US" w:eastAsia="zh-CN"/>
                    </w:rPr>
                    <w:t>31.16</w:t>
                  </w:r>
                </w:p>
              </w:tc>
              <w:tc>
                <w:tcPr>
                  <w:tcW w:w="657" w:type="pct"/>
                  <w:vAlign w:val="center"/>
                </w:tcPr>
                <w:p w14:paraId="40375026">
                  <w:pPr>
                    <w:adjustRightInd w:val="0"/>
                    <w:snapToGrid w:val="0"/>
                    <w:jc w:val="center"/>
                    <w:rPr>
                      <w:rFonts w:hint="eastAsia" w:cs="宋体"/>
                      <w:bCs/>
                      <w:color w:val="auto"/>
                      <w:spacing w:val="-10"/>
                      <w:szCs w:val="21"/>
                      <w:highlight w:val="none"/>
                    </w:rPr>
                  </w:pPr>
                  <w:r>
                    <w:rPr>
                      <w:rFonts w:hint="eastAsia" w:cs="宋体"/>
                      <w:bCs/>
                      <w:color w:val="auto"/>
                      <w:spacing w:val="-10"/>
                      <w:szCs w:val="21"/>
                      <w:highlight w:val="none"/>
                    </w:rPr>
                    <w:t>—</w:t>
                  </w:r>
                </w:p>
              </w:tc>
              <w:tc>
                <w:tcPr>
                  <w:tcW w:w="657" w:type="pct"/>
                  <w:vAlign w:val="center"/>
                </w:tcPr>
                <w:p w14:paraId="1A2F286A">
                  <w:pPr>
                    <w:adjustRightInd w:val="0"/>
                    <w:snapToGrid w:val="0"/>
                    <w:jc w:val="center"/>
                    <w:rPr>
                      <w:rFonts w:hint="default" w:eastAsia="宋体" w:cs="宋体"/>
                      <w:bCs/>
                      <w:color w:val="auto"/>
                      <w:spacing w:val="-10"/>
                      <w:szCs w:val="21"/>
                      <w:highlight w:val="none"/>
                      <w:lang w:val="en-US" w:eastAsia="zh-CN"/>
                    </w:rPr>
                  </w:pPr>
                  <w:r>
                    <w:rPr>
                      <w:rFonts w:hint="eastAsia" w:cs="宋体"/>
                      <w:bCs/>
                      <w:color w:val="auto"/>
                      <w:spacing w:val="-10"/>
                      <w:szCs w:val="21"/>
                      <w:highlight w:val="none"/>
                      <w:lang w:val="en-US" w:eastAsia="zh-CN"/>
                    </w:rPr>
                    <w:t>31.16</w:t>
                  </w:r>
                </w:p>
              </w:tc>
              <w:tc>
                <w:tcPr>
                  <w:tcW w:w="657" w:type="pct"/>
                  <w:vAlign w:val="center"/>
                </w:tcPr>
                <w:p w14:paraId="32BE0A11">
                  <w:pPr>
                    <w:adjustRightInd w:val="0"/>
                    <w:snapToGrid w:val="0"/>
                    <w:jc w:val="center"/>
                    <w:rPr>
                      <w:rFonts w:hint="default" w:eastAsia="宋体" w:cs="宋体"/>
                      <w:bCs/>
                      <w:color w:val="auto"/>
                      <w:spacing w:val="-10"/>
                      <w:szCs w:val="21"/>
                      <w:highlight w:val="none"/>
                      <w:lang w:val="en-US" w:eastAsia="zh-CN"/>
                    </w:rPr>
                  </w:pPr>
                  <w:r>
                    <w:rPr>
                      <w:rFonts w:hint="eastAsia" w:cs="宋体"/>
                      <w:bCs/>
                      <w:color w:val="auto"/>
                      <w:spacing w:val="-10"/>
                      <w:szCs w:val="21"/>
                      <w:highlight w:val="none"/>
                      <w:lang w:val="en-US" w:eastAsia="zh-CN"/>
                    </w:rPr>
                    <w:t>55</w:t>
                  </w:r>
                </w:p>
              </w:tc>
              <w:tc>
                <w:tcPr>
                  <w:tcW w:w="779" w:type="pct"/>
                  <w:vAlign w:val="center"/>
                </w:tcPr>
                <w:p w14:paraId="653E3C46">
                  <w:pPr>
                    <w:adjustRightInd w:val="0"/>
                    <w:snapToGrid w:val="0"/>
                    <w:jc w:val="center"/>
                    <w:rPr>
                      <w:rFonts w:hint="eastAsia" w:cs="宋体"/>
                      <w:bCs/>
                      <w:color w:val="auto"/>
                      <w:spacing w:val="-10"/>
                      <w:szCs w:val="21"/>
                      <w:highlight w:val="none"/>
                    </w:rPr>
                  </w:pPr>
                  <w:r>
                    <w:rPr>
                      <w:rFonts w:cs="宋体"/>
                      <w:bCs/>
                      <w:color w:val="auto"/>
                      <w:spacing w:val="-10"/>
                      <w:szCs w:val="21"/>
                      <w:highlight w:val="none"/>
                    </w:rPr>
                    <w:t>达标</w:t>
                  </w:r>
                </w:p>
              </w:tc>
            </w:tr>
            <w:tr w14:paraId="12BF97C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1003" w:type="pct"/>
                  <w:vMerge w:val="restart"/>
                  <w:vAlign w:val="center"/>
                </w:tcPr>
                <w:p w14:paraId="3E996BEC">
                  <w:pPr>
                    <w:adjustRightInd w:val="0"/>
                    <w:snapToGrid w:val="0"/>
                    <w:jc w:val="center"/>
                    <w:rPr>
                      <w:rFonts w:cs="宋体"/>
                      <w:bCs/>
                      <w:color w:val="auto"/>
                      <w:spacing w:val="-10"/>
                      <w:szCs w:val="21"/>
                      <w:highlight w:val="none"/>
                    </w:rPr>
                  </w:pPr>
                  <w:r>
                    <w:rPr>
                      <w:rFonts w:cs="宋体"/>
                      <w:bCs/>
                      <w:color w:val="auto"/>
                      <w:spacing w:val="-10"/>
                      <w:szCs w:val="21"/>
                      <w:highlight w:val="none"/>
                    </w:rPr>
                    <w:t>南厂界</w:t>
                  </w:r>
                </w:p>
              </w:tc>
              <w:tc>
                <w:tcPr>
                  <w:tcW w:w="563" w:type="pct"/>
                  <w:vAlign w:val="center"/>
                </w:tcPr>
                <w:p w14:paraId="3B62C7EB">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昼间</w:t>
                  </w:r>
                </w:p>
              </w:tc>
              <w:tc>
                <w:tcPr>
                  <w:tcW w:w="683" w:type="pct"/>
                  <w:vAlign w:val="center"/>
                </w:tcPr>
                <w:p w14:paraId="18CFF14D">
                  <w:pPr>
                    <w:adjustRightInd w:val="0"/>
                    <w:snapToGrid w:val="0"/>
                    <w:jc w:val="center"/>
                    <w:rPr>
                      <w:rFonts w:hint="default" w:eastAsia="宋体" w:cs="宋体"/>
                      <w:bCs/>
                      <w:color w:val="auto"/>
                      <w:spacing w:val="-10"/>
                      <w:szCs w:val="21"/>
                      <w:highlight w:val="none"/>
                      <w:lang w:val="en-US" w:eastAsia="zh-CN"/>
                    </w:rPr>
                  </w:pPr>
                  <w:r>
                    <w:rPr>
                      <w:rFonts w:hint="eastAsia" w:cs="宋体"/>
                      <w:bCs/>
                      <w:color w:val="auto"/>
                      <w:spacing w:val="-10"/>
                      <w:szCs w:val="21"/>
                      <w:highlight w:val="none"/>
                      <w:lang w:val="en-US" w:eastAsia="zh-CN"/>
                    </w:rPr>
                    <w:t>42.07</w:t>
                  </w:r>
                </w:p>
              </w:tc>
              <w:tc>
                <w:tcPr>
                  <w:tcW w:w="657" w:type="pct"/>
                  <w:vAlign w:val="center"/>
                </w:tcPr>
                <w:p w14:paraId="3E6A27A5">
                  <w:pPr>
                    <w:adjustRightInd w:val="0"/>
                    <w:snapToGrid w:val="0"/>
                    <w:jc w:val="center"/>
                    <w:rPr>
                      <w:rFonts w:hint="default" w:eastAsia="宋体" w:cs="宋体"/>
                      <w:bCs/>
                      <w:color w:val="auto"/>
                      <w:spacing w:val="-10"/>
                      <w:szCs w:val="21"/>
                      <w:highlight w:val="none"/>
                      <w:lang w:val="en-US" w:eastAsia="zh-CN"/>
                    </w:rPr>
                  </w:pPr>
                  <w:r>
                    <w:rPr>
                      <w:rFonts w:hint="eastAsia" w:cs="宋体"/>
                      <w:bCs/>
                      <w:color w:val="auto"/>
                      <w:spacing w:val="-10"/>
                      <w:szCs w:val="21"/>
                      <w:highlight w:val="none"/>
                      <w:lang w:val="en-US" w:eastAsia="zh-CN"/>
                    </w:rPr>
                    <w:t>59</w:t>
                  </w:r>
                </w:p>
              </w:tc>
              <w:tc>
                <w:tcPr>
                  <w:tcW w:w="657" w:type="pct"/>
                  <w:vAlign w:val="center"/>
                </w:tcPr>
                <w:p w14:paraId="2789934F">
                  <w:pPr>
                    <w:adjustRightInd w:val="0"/>
                    <w:snapToGrid w:val="0"/>
                    <w:jc w:val="center"/>
                    <w:rPr>
                      <w:rFonts w:hint="default" w:eastAsia="宋体" w:cs="宋体"/>
                      <w:bCs/>
                      <w:color w:val="auto"/>
                      <w:spacing w:val="-10"/>
                      <w:szCs w:val="21"/>
                      <w:highlight w:val="none"/>
                      <w:lang w:val="en-US" w:eastAsia="zh-CN"/>
                    </w:rPr>
                  </w:pPr>
                  <w:r>
                    <w:rPr>
                      <w:rFonts w:hint="eastAsia" w:cs="宋体"/>
                      <w:bCs/>
                      <w:color w:val="auto"/>
                      <w:spacing w:val="-10"/>
                      <w:szCs w:val="21"/>
                      <w:highlight w:val="none"/>
                      <w:lang w:val="en-US" w:eastAsia="zh-CN"/>
                    </w:rPr>
                    <w:t>59.09</w:t>
                  </w:r>
                </w:p>
              </w:tc>
              <w:tc>
                <w:tcPr>
                  <w:tcW w:w="657" w:type="pct"/>
                  <w:vAlign w:val="center"/>
                </w:tcPr>
                <w:p w14:paraId="5812441E">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65</w:t>
                  </w:r>
                </w:p>
              </w:tc>
              <w:tc>
                <w:tcPr>
                  <w:tcW w:w="779" w:type="pct"/>
                  <w:vAlign w:val="center"/>
                </w:tcPr>
                <w:p w14:paraId="30751831">
                  <w:pPr>
                    <w:adjustRightInd w:val="0"/>
                    <w:snapToGrid w:val="0"/>
                    <w:jc w:val="center"/>
                    <w:rPr>
                      <w:rFonts w:cs="宋体"/>
                      <w:bCs/>
                      <w:color w:val="auto"/>
                      <w:spacing w:val="-10"/>
                      <w:szCs w:val="21"/>
                      <w:highlight w:val="none"/>
                    </w:rPr>
                  </w:pPr>
                  <w:r>
                    <w:rPr>
                      <w:rFonts w:cs="宋体"/>
                      <w:bCs/>
                      <w:color w:val="auto"/>
                      <w:spacing w:val="-10"/>
                      <w:szCs w:val="21"/>
                      <w:highlight w:val="none"/>
                    </w:rPr>
                    <w:t>达标</w:t>
                  </w:r>
                </w:p>
              </w:tc>
            </w:tr>
            <w:tr w14:paraId="482A13E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1003" w:type="pct"/>
                  <w:vMerge w:val="continue"/>
                  <w:vAlign w:val="center"/>
                </w:tcPr>
                <w:p w14:paraId="4E3579A4">
                  <w:pPr>
                    <w:adjustRightInd w:val="0"/>
                    <w:snapToGrid w:val="0"/>
                    <w:jc w:val="center"/>
                    <w:rPr>
                      <w:color w:val="auto"/>
                      <w:highlight w:val="none"/>
                    </w:rPr>
                  </w:pPr>
                </w:p>
              </w:tc>
              <w:tc>
                <w:tcPr>
                  <w:tcW w:w="563" w:type="pct"/>
                  <w:vAlign w:val="center"/>
                </w:tcPr>
                <w:p w14:paraId="7485DB1B">
                  <w:pPr>
                    <w:adjustRightInd w:val="0"/>
                    <w:snapToGrid w:val="0"/>
                    <w:jc w:val="center"/>
                    <w:rPr>
                      <w:rFonts w:hint="eastAsia" w:cs="宋体"/>
                      <w:bCs/>
                      <w:color w:val="auto"/>
                      <w:spacing w:val="-10"/>
                      <w:szCs w:val="21"/>
                      <w:highlight w:val="none"/>
                    </w:rPr>
                  </w:pPr>
                  <w:r>
                    <w:rPr>
                      <w:rFonts w:hint="eastAsia" w:cs="宋体"/>
                      <w:bCs/>
                      <w:color w:val="auto"/>
                      <w:spacing w:val="-10"/>
                      <w:szCs w:val="21"/>
                      <w:highlight w:val="none"/>
                      <w:lang w:val="en-US" w:eastAsia="zh-CN"/>
                    </w:rPr>
                    <w:t>夜间</w:t>
                  </w:r>
                </w:p>
              </w:tc>
              <w:tc>
                <w:tcPr>
                  <w:tcW w:w="683" w:type="pct"/>
                  <w:vAlign w:val="center"/>
                </w:tcPr>
                <w:p w14:paraId="6C531C47">
                  <w:pPr>
                    <w:adjustRightInd w:val="0"/>
                    <w:snapToGrid w:val="0"/>
                    <w:jc w:val="center"/>
                    <w:rPr>
                      <w:rFonts w:hint="default" w:eastAsia="宋体" w:cs="宋体"/>
                      <w:bCs/>
                      <w:color w:val="auto"/>
                      <w:spacing w:val="-10"/>
                      <w:szCs w:val="21"/>
                      <w:highlight w:val="none"/>
                      <w:lang w:val="en-US" w:eastAsia="zh-CN"/>
                    </w:rPr>
                  </w:pPr>
                  <w:r>
                    <w:rPr>
                      <w:rFonts w:hint="eastAsia" w:cs="宋体"/>
                      <w:bCs/>
                      <w:color w:val="auto"/>
                      <w:spacing w:val="-10"/>
                      <w:szCs w:val="21"/>
                      <w:highlight w:val="none"/>
                      <w:lang w:val="en-US" w:eastAsia="zh-CN"/>
                    </w:rPr>
                    <w:t>42.07</w:t>
                  </w:r>
                </w:p>
              </w:tc>
              <w:tc>
                <w:tcPr>
                  <w:tcW w:w="657" w:type="pct"/>
                  <w:vAlign w:val="center"/>
                </w:tcPr>
                <w:p w14:paraId="5DA64AF6">
                  <w:pPr>
                    <w:adjustRightInd w:val="0"/>
                    <w:snapToGrid w:val="0"/>
                    <w:jc w:val="center"/>
                    <w:rPr>
                      <w:rFonts w:hint="eastAsia" w:cs="宋体"/>
                      <w:bCs/>
                      <w:color w:val="auto"/>
                      <w:spacing w:val="-10"/>
                      <w:szCs w:val="21"/>
                      <w:highlight w:val="none"/>
                    </w:rPr>
                  </w:pPr>
                  <w:r>
                    <w:rPr>
                      <w:rFonts w:hint="eastAsia" w:cs="宋体"/>
                      <w:bCs/>
                      <w:color w:val="auto"/>
                      <w:spacing w:val="-10"/>
                      <w:szCs w:val="21"/>
                      <w:highlight w:val="none"/>
                    </w:rPr>
                    <w:t>—</w:t>
                  </w:r>
                </w:p>
              </w:tc>
              <w:tc>
                <w:tcPr>
                  <w:tcW w:w="657" w:type="pct"/>
                  <w:vAlign w:val="center"/>
                </w:tcPr>
                <w:p w14:paraId="62E9924A">
                  <w:pPr>
                    <w:adjustRightInd w:val="0"/>
                    <w:snapToGrid w:val="0"/>
                    <w:jc w:val="center"/>
                    <w:rPr>
                      <w:rFonts w:hint="default" w:eastAsia="宋体" w:cs="宋体"/>
                      <w:bCs/>
                      <w:color w:val="auto"/>
                      <w:spacing w:val="-10"/>
                      <w:szCs w:val="21"/>
                      <w:highlight w:val="none"/>
                      <w:lang w:val="en-US" w:eastAsia="zh-CN"/>
                    </w:rPr>
                  </w:pPr>
                  <w:r>
                    <w:rPr>
                      <w:rFonts w:hint="eastAsia" w:cs="宋体"/>
                      <w:bCs/>
                      <w:color w:val="auto"/>
                      <w:spacing w:val="-10"/>
                      <w:szCs w:val="21"/>
                      <w:highlight w:val="none"/>
                      <w:lang w:val="en-US" w:eastAsia="zh-CN"/>
                    </w:rPr>
                    <w:t>42.07</w:t>
                  </w:r>
                </w:p>
              </w:tc>
              <w:tc>
                <w:tcPr>
                  <w:tcW w:w="657" w:type="pct"/>
                  <w:vAlign w:val="center"/>
                </w:tcPr>
                <w:p w14:paraId="11E4F533">
                  <w:pPr>
                    <w:adjustRightInd w:val="0"/>
                    <w:snapToGrid w:val="0"/>
                    <w:jc w:val="center"/>
                    <w:rPr>
                      <w:rFonts w:hint="default" w:eastAsia="宋体" w:cs="宋体"/>
                      <w:bCs/>
                      <w:color w:val="auto"/>
                      <w:spacing w:val="-10"/>
                      <w:szCs w:val="21"/>
                      <w:highlight w:val="none"/>
                      <w:lang w:val="en-US" w:eastAsia="zh-CN"/>
                    </w:rPr>
                  </w:pPr>
                  <w:r>
                    <w:rPr>
                      <w:rFonts w:hint="eastAsia" w:cs="宋体"/>
                      <w:bCs/>
                      <w:color w:val="auto"/>
                      <w:spacing w:val="-10"/>
                      <w:szCs w:val="21"/>
                      <w:highlight w:val="none"/>
                      <w:lang w:val="en-US" w:eastAsia="zh-CN"/>
                    </w:rPr>
                    <w:t>55</w:t>
                  </w:r>
                </w:p>
              </w:tc>
              <w:tc>
                <w:tcPr>
                  <w:tcW w:w="779" w:type="pct"/>
                  <w:vAlign w:val="center"/>
                </w:tcPr>
                <w:p w14:paraId="4F05670E">
                  <w:pPr>
                    <w:adjustRightInd w:val="0"/>
                    <w:snapToGrid w:val="0"/>
                    <w:jc w:val="center"/>
                    <w:rPr>
                      <w:rFonts w:hint="eastAsia" w:cs="宋体"/>
                      <w:bCs/>
                      <w:color w:val="auto"/>
                      <w:spacing w:val="-10"/>
                      <w:szCs w:val="21"/>
                      <w:highlight w:val="none"/>
                    </w:rPr>
                  </w:pPr>
                  <w:r>
                    <w:rPr>
                      <w:rFonts w:cs="宋体"/>
                      <w:bCs/>
                      <w:color w:val="auto"/>
                      <w:spacing w:val="-10"/>
                      <w:szCs w:val="21"/>
                      <w:highlight w:val="none"/>
                    </w:rPr>
                    <w:t>达标</w:t>
                  </w:r>
                </w:p>
              </w:tc>
            </w:tr>
            <w:tr w14:paraId="1501AF2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1003" w:type="pct"/>
                  <w:vMerge w:val="restart"/>
                  <w:vAlign w:val="center"/>
                </w:tcPr>
                <w:p w14:paraId="728C7ED8">
                  <w:pPr>
                    <w:adjustRightInd w:val="0"/>
                    <w:snapToGrid w:val="0"/>
                    <w:jc w:val="center"/>
                    <w:rPr>
                      <w:rFonts w:cs="宋体"/>
                      <w:bCs/>
                      <w:color w:val="auto"/>
                      <w:spacing w:val="-10"/>
                      <w:szCs w:val="21"/>
                      <w:highlight w:val="none"/>
                    </w:rPr>
                  </w:pPr>
                  <w:r>
                    <w:rPr>
                      <w:rFonts w:cs="宋体"/>
                      <w:bCs/>
                      <w:color w:val="auto"/>
                      <w:spacing w:val="-10"/>
                      <w:szCs w:val="21"/>
                      <w:highlight w:val="none"/>
                    </w:rPr>
                    <w:t>西厂界</w:t>
                  </w:r>
                </w:p>
              </w:tc>
              <w:tc>
                <w:tcPr>
                  <w:tcW w:w="563" w:type="pct"/>
                  <w:vAlign w:val="center"/>
                </w:tcPr>
                <w:p w14:paraId="342A62DC">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昼间</w:t>
                  </w:r>
                </w:p>
              </w:tc>
              <w:tc>
                <w:tcPr>
                  <w:tcW w:w="683" w:type="pct"/>
                  <w:vAlign w:val="center"/>
                </w:tcPr>
                <w:p w14:paraId="2A3FA0E6">
                  <w:pPr>
                    <w:adjustRightInd w:val="0"/>
                    <w:snapToGrid w:val="0"/>
                    <w:jc w:val="center"/>
                    <w:rPr>
                      <w:rFonts w:hint="default" w:eastAsia="宋体" w:cs="宋体"/>
                      <w:bCs/>
                      <w:color w:val="auto"/>
                      <w:spacing w:val="-10"/>
                      <w:szCs w:val="21"/>
                      <w:highlight w:val="none"/>
                      <w:lang w:val="en-US" w:eastAsia="zh-CN"/>
                    </w:rPr>
                  </w:pPr>
                  <w:r>
                    <w:rPr>
                      <w:rFonts w:hint="eastAsia" w:cs="宋体"/>
                      <w:bCs/>
                      <w:color w:val="auto"/>
                      <w:spacing w:val="-10"/>
                      <w:szCs w:val="21"/>
                      <w:highlight w:val="none"/>
                      <w:lang w:val="en-US" w:eastAsia="zh-CN"/>
                    </w:rPr>
                    <w:t>55.08</w:t>
                  </w:r>
                </w:p>
              </w:tc>
              <w:tc>
                <w:tcPr>
                  <w:tcW w:w="657" w:type="pct"/>
                  <w:vAlign w:val="center"/>
                </w:tcPr>
                <w:p w14:paraId="4B6A2710">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w:t>
                  </w:r>
                </w:p>
              </w:tc>
              <w:tc>
                <w:tcPr>
                  <w:tcW w:w="657" w:type="pct"/>
                  <w:shd w:val="clear" w:color="auto" w:fill="auto"/>
                  <w:vAlign w:val="center"/>
                </w:tcPr>
                <w:p w14:paraId="2602A917">
                  <w:pPr>
                    <w:adjustRightInd w:val="0"/>
                    <w:snapToGrid w:val="0"/>
                    <w:jc w:val="center"/>
                    <w:rPr>
                      <w:rFonts w:hint="default" w:ascii="Times New Roman" w:hAnsi="Times New Roman" w:eastAsia="宋体" w:cs="宋体"/>
                      <w:bCs/>
                      <w:color w:val="auto"/>
                      <w:spacing w:val="-10"/>
                      <w:kern w:val="2"/>
                      <w:sz w:val="21"/>
                      <w:szCs w:val="21"/>
                      <w:highlight w:val="none"/>
                      <w:lang w:val="en-US" w:eastAsia="zh-CN" w:bidi="ar-SA"/>
                    </w:rPr>
                  </w:pPr>
                  <w:r>
                    <w:rPr>
                      <w:rFonts w:hint="eastAsia" w:cs="宋体"/>
                      <w:bCs/>
                      <w:color w:val="auto"/>
                      <w:spacing w:val="-10"/>
                      <w:szCs w:val="21"/>
                      <w:highlight w:val="none"/>
                      <w:lang w:val="en-US" w:eastAsia="zh-CN"/>
                    </w:rPr>
                    <w:t>55.08</w:t>
                  </w:r>
                </w:p>
              </w:tc>
              <w:tc>
                <w:tcPr>
                  <w:tcW w:w="657" w:type="pct"/>
                  <w:vAlign w:val="center"/>
                </w:tcPr>
                <w:p w14:paraId="6D608A04">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65</w:t>
                  </w:r>
                </w:p>
              </w:tc>
              <w:tc>
                <w:tcPr>
                  <w:tcW w:w="779" w:type="pct"/>
                  <w:vAlign w:val="center"/>
                </w:tcPr>
                <w:p w14:paraId="0FC73646">
                  <w:pPr>
                    <w:adjustRightInd w:val="0"/>
                    <w:snapToGrid w:val="0"/>
                    <w:jc w:val="center"/>
                    <w:rPr>
                      <w:rFonts w:cs="宋体"/>
                      <w:bCs/>
                      <w:color w:val="auto"/>
                      <w:spacing w:val="-10"/>
                      <w:szCs w:val="21"/>
                      <w:highlight w:val="none"/>
                    </w:rPr>
                  </w:pPr>
                  <w:r>
                    <w:rPr>
                      <w:rFonts w:cs="宋体"/>
                      <w:bCs/>
                      <w:color w:val="auto"/>
                      <w:spacing w:val="-10"/>
                      <w:szCs w:val="21"/>
                      <w:highlight w:val="none"/>
                    </w:rPr>
                    <w:t>达标</w:t>
                  </w:r>
                </w:p>
              </w:tc>
            </w:tr>
            <w:tr w14:paraId="4BDDC26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1003" w:type="pct"/>
                  <w:vMerge w:val="continue"/>
                  <w:vAlign w:val="center"/>
                </w:tcPr>
                <w:p w14:paraId="6481F2FD">
                  <w:pPr>
                    <w:adjustRightInd w:val="0"/>
                    <w:snapToGrid w:val="0"/>
                    <w:jc w:val="center"/>
                    <w:rPr>
                      <w:color w:val="auto"/>
                      <w:highlight w:val="none"/>
                    </w:rPr>
                  </w:pPr>
                </w:p>
              </w:tc>
              <w:tc>
                <w:tcPr>
                  <w:tcW w:w="563" w:type="pct"/>
                  <w:vAlign w:val="center"/>
                </w:tcPr>
                <w:p w14:paraId="4ABD7DC0">
                  <w:pPr>
                    <w:adjustRightInd w:val="0"/>
                    <w:snapToGrid w:val="0"/>
                    <w:jc w:val="center"/>
                    <w:rPr>
                      <w:rFonts w:hint="eastAsia" w:cs="宋体"/>
                      <w:bCs/>
                      <w:color w:val="auto"/>
                      <w:spacing w:val="-10"/>
                      <w:szCs w:val="21"/>
                      <w:highlight w:val="none"/>
                    </w:rPr>
                  </w:pPr>
                  <w:r>
                    <w:rPr>
                      <w:rFonts w:hint="eastAsia" w:cs="宋体"/>
                      <w:bCs/>
                      <w:color w:val="auto"/>
                      <w:spacing w:val="-10"/>
                      <w:szCs w:val="21"/>
                      <w:highlight w:val="none"/>
                      <w:lang w:val="en-US" w:eastAsia="zh-CN"/>
                    </w:rPr>
                    <w:t>夜间</w:t>
                  </w:r>
                </w:p>
              </w:tc>
              <w:tc>
                <w:tcPr>
                  <w:tcW w:w="683" w:type="pct"/>
                  <w:vAlign w:val="center"/>
                </w:tcPr>
                <w:p w14:paraId="086F7B56">
                  <w:pPr>
                    <w:adjustRightInd w:val="0"/>
                    <w:snapToGrid w:val="0"/>
                    <w:jc w:val="center"/>
                    <w:rPr>
                      <w:rFonts w:hint="default" w:eastAsia="宋体" w:cs="宋体"/>
                      <w:bCs/>
                      <w:color w:val="auto"/>
                      <w:spacing w:val="-10"/>
                      <w:szCs w:val="21"/>
                      <w:highlight w:val="none"/>
                      <w:lang w:val="en-US" w:eastAsia="zh-CN"/>
                    </w:rPr>
                  </w:pPr>
                  <w:r>
                    <w:rPr>
                      <w:rFonts w:hint="eastAsia" w:cs="宋体"/>
                      <w:bCs/>
                      <w:color w:val="auto"/>
                      <w:spacing w:val="-10"/>
                      <w:szCs w:val="21"/>
                      <w:highlight w:val="none"/>
                      <w:lang w:val="en-US" w:eastAsia="zh-CN"/>
                    </w:rPr>
                    <w:t>55.08</w:t>
                  </w:r>
                </w:p>
              </w:tc>
              <w:tc>
                <w:tcPr>
                  <w:tcW w:w="657" w:type="pct"/>
                  <w:vAlign w:val="center"/>
                </w:tcPr>
                <w:p w14:paraId="5E86B456">
                  <w:pPr>
                    <w:adjustRightInd w:val="0"/>
                    <w:snapToGrid w:val="0"/>
                    <w:jc w:val="center"/>
                    <w:rPr>
                      <w:rFonts w:hint="eastAsia" w:cs="宋体"/>
                      <w:bCs/>
                      <w:color w:val="auto"/>
                      <w:spacing w:val="-10"/>
                      <w:szCs w:val="21"/>
                      <w:highlight w:val="none"/>
                    </w:rPr>
                  </w:pPr>
                  <w:r>
                    <w:rPr>
                      <w:rFonts w:hint="eastAsia" w:cs="宋体"/>
                      <w:bCs/>
                      <w:color w:val="auto"/>
                      <w:spacing w:val="-10"/>
                      <w:szCs w:val="21"/>
                      <w:highlight w:val="none"/>
                    </w:rPr>
                    <w:t>—</w:t>
                  </w:r>
                </w:p>
              </w:tc>
              <w:tc>
                <w:tcPr>
                  <w:tcW w:w="657" w:type="pct"/>
                  <w:shd w:val="clear" w:color="auto" w:fill="auto"/>
                  <w:vAlign w:val="center"/>
                </w:tcPr>
                <w:p w14:paraId="420F3329">
                  <w:pPr>
                    <w:adjustRightInd w:val="0"/>
                    <w:snapToGrid w:val="0"/>
                    <w:jc w:val="center"/>
                    <w:rPr>
                      <w:rFonts w:hint="eastAsia" w:ascii="Times New Roman" w:hAnsi="Times New Roman" w:eastAsia="宋体" w:cs="宋体"/>
                      <w:bCs/>
                      <w:color w:val="auto"/>
                      <w:spacing w:val="-10"/>
                      <w:kern w:val="2"/>
                      <w:sz w:val="21"/>
                      <w:szCs w:val="21"/>
                      <w:highlight w:val="none"/>
                      <w:lang w:val="en-US" w:eastAsia="zh-CN" w:bidi="ar-SA"/>
                    </w:rPr>
                  </w:pPr>
                  <w:r>
                    <w:rPr>
                      <w:rFonts w:hint="eastAsia" w:cs="宋体"/>
                      <w:bCs/>
                      <w:color w:val="auto"/>
                      <w:spacing w:val="-10"/>
                      <w:szCs w:val="21"/>
                      <w:highlight w:val="none"/>
                      <w:lang w:val="en-US" w:eastAsia="zh-CN"/>
                    </w:rPr>
                    <w:t>55.08</w:t>
                  </w:r>
                </w:p>
              </w:tc>
              <w:tc>
                <w:tcPr>
                  <w:tcW w:w="657" w:type="pct"/>
                  <w:vAlign w:val="center"/>
                </w:tcPr>
                <w:p w14:paraId="328C8941">
                  <w:pPr>
                    <w:adjustRightInd w:val="0"/>
                    <w:snapToGrid w:val="0"/>
                    <w:jc w:val="center"/>
                    <w:rPr>
                      <w:rFonts w:hint="default" w:eastAsia="宋体" w:cs="宋体"/>
                      <w:bCs/>
                      <w:color w:val="auto"/>
                      <w:spacing w:val="-10"/>
                      <w:szCs w:val="21"/>
                      <w:highlight w:val="none"/>
                      <w:lang w:val="en-US" w:eastAsia="zh-CN"/>
                    </w:rPr>
                  </w:pPr>
                  <w:r>
                    <w:rPr>
                      <w:rFonts w:hint="eastAsia" w:cs="宋体"/>
                      <w:bCs/>
                      <w:color w:val="auto"/>
                      <w:spacing w:val="-10"/>
                      <w:szCs w:val="21"/>
                      <w:highlight w:val="none"/>
                      <w:lang w:val="en-US" w:eastAsia="zh-CN"/>
                    </w:rPr>
                    <w:t>55</w:t>
                  </w:r>
                </w:p>
              </w:tc>
              <w:tc>
                <w:tcPr>
                  <w:tcW w:w="779" w:type="pct"/>
                  <w:vAlign w:val="center"/>
                </w:tcPr>
                <w:p w14:paraId="170D7463">
                  <w:pPr>
                    <w:adjustRightInd w:val="0"/>
                    <w:snapToGrid w:val="0"/>
                    <w:jc w:val="center"/>
                    <w:rPr>
                      <w:rFonts w:hint="eastAsia" w:cs="宋体"/>
                      <w:bCs/>
                      <w:color w:val="auto"/>
                      <w:spacing w:val="-10"/>
                      <w:szCs w:val="21"/>
                      <w:highlight w:val="none"/>
                    </w:rPr>
                  </w:pPr>
                  <w:r>
                    <w:rPr>
                      <w:rFonts w:cs="宋体"/>
                      <w:bCs/>
                      <w:color w:val="auto"/>
                      <w:spacing w:val="-10"/>
                      <w:szCs w:val="21"/>
                      <w:highlight w:val="none"/>
                    </w:rPr>
                    <w:t>达标</w:t>
                  </w:r>
                </w:p>
              </w:tc>
            </w:tr>
            <w:tr w14:paraId="3EA41E6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003" w:type="pct"/>
                  <w:vMerge w:val="restart"/>
                  <w:vAlign w:val="center"/>
                </w:tcPr>
                <w:p w14:paraId="474109F5">
                  <w:pPr>
                    <w:adjustRightInd w:val="0"/>
                    <w:snapToGrid w:val="0"/>
                    <w:jc w:val="center"/>
                    <w:rPr>
                      <w:rFonts w:cs="宋体"/>
                      <w:bCs/>
                      <w:color w:val="auto"/>
                      <w:spacing w:val="-10"/>
                      <w:szCs w:val="21"/>
                      <w:highlight w:val="none"/>
                    </w:rPr>
                  </w:pPr>
                  <w:r>
                    <w:rPr>
                      <w:rFonts w:cs="宋体"/>
                      <w:bCs/>
                      <w:color w:val="auto"/>
                      <w:spacing w:val="-10"/>
                      <w:szCs w:val="21"/>
                      <w:highlight w:val="none"/>
                    </w:rPr>
                    <w:t>北厂界</w:t>
                  </w:r>
                </w:p>
              </w:tc>
              <w:tc>
                <w:tcPr>
                  <w:tcW w:w="563" w:type="pct"/>
                  <w:vAlign w:val="center"/>
                </w:tcPr>
                <w:p w14:paraId="1D93C2B8">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昼间</w:t>
                  </w:r>
                </w:p>
              </w:tc>
              <w:tc>
                <w:tcPr>
                  <w:tcW w:w="683" w:type="pct"/>
                  <w:vAlign w:val="center"/>
                </w:tcPr>
                <w:p w14:paraId="1F5CDF1F">
                  <w:pPr>
                    <w:adjustRightInd w:val="0"/>
                    <w:snapToGrid w:val="0"/>
                    <w:jc w:val="center"/>
                    <w:rPr>
                      <w:rFonts w:hint="default" w:eastAsia="宋体" w:cs="宋体"/>
                      <w:bCs/>
                      <w:color w:val="auto"/>
                      <w:spacing w:val="-10"/>
                      <w:szCs w:val="21"/>
                      <w:highlight w:val="none"/>
                      <w:lang w:val="en-US" w:eastAsia="zh-CN"/>
                    </w:rPr>
                  </w:pPr>
                  <w:r>
                    <w:rPr>
                      <w:rFonts w:hint="eastAsia" w:cs="宋体"/>
                      <w:bCs/>
                      <w:color w:val="auto"/>
                      <w:spacing w:val="-10"/>
                      <w:szCs w:val="21"/>
                      <w:highlight w:val="none"/>
                      <w:lang w:val="en-US" w:eastAsia="zh-CN"/>
                    </w:rPr>
                    <w:t>40.90</w:t>
                  </w:r>
                </w:p>
              </w:tc>
              <w:tc>
                <w:tcPr>
                  <w:tcW w:w="657" w:type="pct"/>
                  <w:vAlign w:val="center"/>
                </w:tcPr>
                <w:p w14:paraId="052D1DC7">
                  <w:pPr>
                    <w:adjustRightInd w:val="0"/>
                    <w:snapToGrid w:val="0"/>
                    <w:jc w:val="center"/>
                    <w:rPr>
                      <w:rFonts w:hint="eastAsia" w:eastAsia="宋体" w:cs="宋体"/>
                      <w:bCs/>
                      <w:color w:val="auto"/>
                      <w:spacing w:val="-10"/>
                      <w:szCs w:val="21"/>
                      <w:highlight w:val="none"/>
                      <w:lang w:eastAsia="zh-CN"/>
                    </w:rPr>
                  </w:pPr>
                  <w:r>
                    <w:rPr>
                      <w:rFonts w:hint="eastAsia" w:cs="宋体"/>
                      <w:bCs/>
                      <w:color w:val="auto"/>
                      <w:spacing w:val="-10"/>
                      <w:szCs w:val="21"/>
                      <w:highlight w:val="none"/>
                    </w:rPr>
                    <w:t>6</w:t>
                  </w:r>
                  <w:r>
                    <w:rPr>
                      <w:rFonts w:hint="eastAsia" w:cs="宋体"/>
                      <w:bCs/>
                      <w:color w:val="auto"/>
                      <w:spacing w:val="-10"/>
                      <w:szCs w:val="21"/>
                      <w:highlight w:val="none"/>
                      <w:lang w:val="en-US" w:eastAsia="zh-CN"/>
                    </w:rPr>
                    <w:t>1</w:t>
                  </w:r>
                </w:p>
              </w:tc>
              <w:tc>
                <w:tcPr>
                  <w:tcW w:w="657" w:type="pct"/>
                  <w:vAlign w:val="center"/>
                </w:tcPr>
                <w:p w14:paraId="0B82B47D">
                  <w:pPr>
                    <w:adjustRightInd w:val="0"/>
                    <w:snapToGrid w:val="0"/>
                    <w:jc w:val="center"/>
                    <w:rPr>
                      <w:rFonts w:hint="default" w:eastAsia="宋体" w:cs="宋体"/>
                      <w:bCs/>
                      <w:color w:val="auto"/>
                      <w:spacing w:val="-10"/>
                      <w:szCs w:val="21"/>
                      <w:highlight w:val="none"/>
                      <w:lang w:val="en-US" w:eastAsia="zh-CN"/>
                    </w:rPr>
                  </w:pPr>
                  <w:r>
                    <w:rPr>
                      <w:rFonts w:hint="eastAsia" w:cs="宋体"/>
                      <w:bCs/>
                      <w:color w:val="auto"/>
                      <w:spacing w:val="-10"/>
                      <w:szCs w:val="21"/>
                      <w:highlight w:val="none"/>
                      <w:lang w:val="en-US" w:eastAsia="zh-CN"/>
                    </w:rPr>
                    <w:t>61.04</w:t>
                  </w:r>
                </w:p>
              </w:tc>
              <w:tc>
                <w:tcPr>
                  <w:tcW w:w="657" w:type="pct"/>
                  <w:vAlign w:val="center"/>
                </w:tcPr>
                <w:p w14:paraId="11213575">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65</w:t>
                  </w:r>
                </w:p>
              </w:tc>
              <w:tc>
                <w:tcPr>
                  <w:tcW w:w="779" w:type="pct"/>
                  <w:vAlign w:val="center"/>
                </w:tcPr>
                <w:p w14:paraId="57ADAEE6">
                  <w:pPr>
                    <w:adjustRightInd w:val="0"/>
                    <w:snapToGrid w:val="0"/>
                    <w:jc w:val="center"/>
                    <w:rPr>
                      <w:rFonts w:cs="宋体"/>
                      <w:bCs/>
                      <w:color w:val="auto"/>
                      <w:spacing w:val="-10"/>
                      <w:szCs w:val="21"/>
                      <w:highlight w:val="none"/>
                    </w:rPr>
                  </w:pPr>
                  <w:r>
                    <w:rPr>
                      <w:rFonts w:cs="宋体"/>
                      <w:bCs/>
                      <w:color w:val="auto"/>
                      <w:spacing w:val="-10"/>
                      <w:szCs w:val="21"/>
                      <w:highlight w:val="none"/>
                    </w:rPr>
                    <w:t>达标</w:t>
                  </w:r>
                </w:p>
              </w:tc>
            </w:tr>
            <w:tr w14:paraId="473A7DD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1003" w:type="pct"/>
                  <w:vMerge w:val="continue"/>
                  <w:vAlign w:val="center"/>
                </w:tcPr>
                <w:p w14:paraId="2B90A93C">
                  <w:pPr>
                    <w:adjustRightInd w:val="0"/>
                    <w:snapToGrid w:val="0"/>
                    <w:jc w:val="center"/>
                    <w:rPr>
                      <w:rFonts w:cs="宋体"/>
                      <w:bCs/>
                      <w:color w:val="auto"/>
                      <w:spacing w:val="-10"/>
                      <w:szCs w:val="21"/>
                      <w:highlight w:val="none"/>
                    </w:rPr>
                  </w:pPr>
                </w:p>
              </w:tc>
              <w:tc>
                <w:tcPr>
                  <w:tcW w:w="563" w:type="pct"/>
                  <w:vAlign w:val="center"/>
                </w:tcPr>
                <w:p w14:paraId="1C44EAE9">
                  <w:pPr>
                    <w:adjustRightInd w:val="0"/>
                    <w:snapToGrid w:val="0"/>
                    <w:jc w:val="center"/>
                    <w:rPr>
                      <w:rFonts w:hint="eastAsia" w:eastAsia="宋体" w:cs="宋体"/>
                      <w:bCs/>
                      <w:color w:val="auto"/>
                      <w:spacing w:val="-10"/>
                      <w:szCs w:val="21"/>
                      <w:highlight w:val="none"/>
                      <w:lang w:val="en-US" w:eastAsia="zh-CN"/>
                    </w:rPr>
                  </w:pPr>
                  <w:r>
                    <w:rPr>
                      <w:rFonts w:hint="eastAsia" w:cs="宋体"/>
                      <w:bCs/>
                      <w:color w:val="auto"/>
                      <w:spacing w:val="-10"/>
                      <w:szCs w:val="21"/>
                      <w:highlight w:val="none"/>
                      <w:lang w:val="en-US" w:eastAsia="zh-CN"/>
                    </w:rPr>
                    <w:t>夜间</w:t>
                  </w:r>
                </w:p>
              </w:tc>
              <w:tc>
                <w:tcPr>
                  <w:tcW w:w="683" w:type="pct"/>
                  <w:vAlign w:val="center"/>
                </w:tcPr>
                <w:p w14:paraId="52F8ACF1">
                  <w:pPr>
                    <w:adjustRightInd w:val="0"/>
                    <w:snapToGrid w:val="0"/>
                    <w:jc w:val="center"/>
                    <w:rPr>
                      <w:rFonts w:hint="default" w:eastAsia="宋体" w:cs="宋体"/>
                      <w:bCs/>
                      <w:color w:val="auto"/>
                      <w:spacing w:val="-10"/>
                      <w:szCs w:val="21"/>
                      <w:highlight w:val="none"/>
                      <w:lang w:val="en-US" w:eastAsia="zh-CN"/>
                    </w:rPr>
                  </w:pPr>
                  <w:r>
                    <w:rPr>
                      <w:rFonts w:hint="eastAsia" w:cs="宋体"/>
                      <w:bCs/>
                      <w:color w:val="auto"/>
                      <w:spacing w:val="-10"/>
                      <w:szCs w:val="21"/>
                      <w:highlight w:val="none"/>
                      <w:lang w:val="en-US" w:eastAsia="zh-CN"/>
                    </w:rPr>
                    <w:t>40.90</w:t>
                  </w:r>
                </w:p>
              </w:tc>
              <w:tc>
                <w:tcPr>
                  <w:tcW w:w="657" w:type="pct"/>
                  <w:vAlign w:val="center"/>
                </w:tcPr>
                <w:p w14:paraId="3B7A29FB">
                  <w:pPr>
                    <w:adjustRightInd w:val="0"/>
                    <w:snapToGrid w:val="0"/>
                    <w:jc w:val="center"/>
                    <w:rPr>
                      <w:rFonts w:hint="eastAsia" w:cs="宋体"/>
                      <w:bCs/>
                      <w:color w:val="auto"/>
                      <w:spacing w:val="-10"/>
                      <w:szCs w:val="21"/>
                      <w:highlight w:val="none"/>
                    </w:rPr>
                  </w:pPr>
                  <w:r>
                    <w:rPr>
                      <w:rFonts w:hint="eastAsia" w:cs="宋体"/>
                      <w:bCs/>
                      <w:color w:val="auto"/>
                      <w:spacing w:val="-10"/>
                      <w:szCs w:val="21"/>
                      <w:highlight w:val="none"/>
                    </w:rPr>
                    <w:t>—</w:t>
                  </w:r>
                </w:p>
              </w:tc>
              <w:tc>
                <w:tcPr>
                  <w:tcW w:w="657" w:type="pct"/>
                  <w:vAlign w:val="center"/>
                </w:tcPr>
                <w:p w14:paraId="4859B463">
                  <w:pPr>
                    <w:adjustRightInd w:val="0"/>
                    <w:snapToGrid w:val="0"/>
                    <w:jc w:val="center"/>
                    <w:rPr>
                      <w:rFonts w:cs="宋体"/>
                      <w:bCs/>
                      <w:color w:val="auto"/>
                      <w:spacing w:val="-10"/>
                      <w:szCs w:val="21"/>
                      <w:highlight w:val="none"/>
                    </w:rPr>
                  </w:pPr>
                  <w:r>
                    <w:rPr>
                      <w:rFonts w:hint="eastAsia" w:cs="宋体"/>
                      <w:bCs/>
                      <w:color w:val="auto"/>
                      <w:spacing w:val="-10"/>
                      <w:szCs w:val="21"/>
                      <w:highlight w:val="none"/>
                      <w:lang w:val="en-US" w:eastAsia="zh-CN"/>
                    </w:rPr>
                    <w:t>40.90</w:t>
                  </w:r>
                </w:p>
              </w:tc>
              <w:tc>
                <w:tcPr>
                  <w:tcW w:w="657" w:type="pct"/>
                  <w:shd w:val="clear" w:color="auto" w:fill="auto"/>
                  <w:vAlign w:val="center"/>
                </w:tcPr>
                <w:p w14:paraId="38D6ED44">
                  <w:pPr>
                    <w:adjustRightInd w:val="0"/>
                    <w:snapToGrid w:val="0"/>
                    <w:jc w:val="center"/>
                    <w:rPr>
                      <w:rFonts w:hint="eastAsia" w:ascii="Times New Roman" w:hAnsi="Times New Roman" w:eastAsia="宋体" w:cs="宋体"/>
                      <w:bCs/>
                      <w:color w:val="auto"/>
                      <w:spacing w:val="-10"/>
                      <w:kern w:val="2"/>
                      <w:sz w:val="21"/>
                      <w:szCs w:val="21"/>
                      <w:highlight w:val="none"/>
                      <w:lang w:val="en-US" w:eastAsia="zh-CN" w:bidi="ar-SA"/>
                    </w:rPr>
                  </w:pPr>
                  <w:r>
                    <w:rPr>
                      <w:rFonts w:hint="eastAsia" w:cs="宋体"/>
                      <w:bCs/>
                      <w:color w:val="auto"/>
                      <w:spacing w:val="-10"/>
                      <w:szCs w:val="21"/>
                      <w:highlight w:val="none"/>
                      <w:lang w:val="en-US" w:eastAsia="zh-CN"/>
                    </w:rPr>
                    <w:t>55</w:t>
                  </w:r>
                </w:p>
              </w:tc>
              <w:tc>
                <w:tcPr>
                  <w:tcW w:w="779" w:type="pct"/>
                  <w:shd w:val="clear" w:color="auto" w:fill="auto"/>
                  <w:vAlign w:val="center"/>
                </w:tcPr>
                <w:p w14:paraId="7FC5E210">
                  <w:pPr>
                    <w:adjustRightInd w:val="0"/>
                    <w:snapToGrid w:val="0"/>
                    <w:jc w:val="center"/>
                    <w:rPr>
                      <w:rFonts w:hint="eastAsia" w:ascii="Times New Roman" w:hAnsi="Times New Roman" w:eastAsia="宋体" w:cs="宋体"/>
                      <w:bCs/>
                      <w:color w:val="auto"/>
                      <w:spacing w:val="-10"/>
                      <w:kern w:val="2"/>
                      <w:sz w:val="21"/>
                      <w:szCs w:val="21"/>
                      <w:highlight w:val="none"/>
                      <w:lang w:val="en-US" w:eastAsia="zh-CN" w:bidi="ar-SA"/>
                    </w:rPr>
                  </w:pPr>
                  <w:r>
                    <w:rPr>
                      <w:rFonts w:cs="宋体"/>
                      <w:bCs/>
                      <w:color w:val="auto"/>
                      <w:spacing w:val="-10"/>
                      <w:szCs w:val="21"/>
                      <w:highlight w:val="none"/>
                    </w:rPr>
                    <w:t>达标</w:t>
                  </w:r>
                </w:p>
              </w:tc>
            </w:tr>
          </w:tbl>
          <w:p w14:paraId="0488C2F5">
            <w:pPr>
              <w:pStyle w:val="116"/>
              <w:ind w:firstLine="199" w:firstLineChars="95"/>
              <w:rPr>
                <w:color w:val="auto"/>
                <w:highlight w:val="none"/>
              </w:rPr>
            </w:pPr>
            <w:r>
              <w:rPr>
                <w:rFonts w:hint="eastAsia"/>
                <w:color w:val="auto"/>
                <w:highlight w:val="none"/>
              </w:rPr>
              <w:t>注：西厂界为共用厂界，未进行现状监测。</w:t>
            </w:r>
          </w:p>
          <w:p w14:paraId="2EECC974">
            <w:pPr>
              <w:pStyle w:val="116"/>
              <w:ind w:firstLine="420"/>
              <w:rPr>
                <w:color w:val="auto"/>
                <w:highlight w:val="yellow"/>
              </w:rPr>
            </w:pPr>
            <w:r>
              <w:rPr>
                <w:rFonts w:hint="eastAsia"/>
                <w:color w:val="auto"/>
                <w:highlight w:val="none"/>
              </w:rPr>
              <w:t>由上表可知，本项目在选用低噪设备、采取基础减震、厂房隔声等措施后，</w:t>
            </w:r>
            <w:r>
              <w:rPr>
                <w:rFonts w:hint="eastAsia"/>
                <w:color w:val="auto"/>
              </w:rPr>
              <w:t>南、北厂界噪声符合《工业企业厂界环境噪声排放标准》（GB12348-2008）中3类标准要求，东厂界噪声符合《工业企业厂界环境噪声排放标准》（GB12348-2008）中4类标准要求，因此，本项目产生的噪声不会对周围声环境产生明显不利影响。</w:t>
            </w:r>
          </w:p>
          <w:p w14:paraId="137C5130">
            <w:pPr>
              <w:pStyle w:val="119"/>
              <w:rPr>
                <w:rFonts w:cs="宋体"/>
                <w:color w:val="auto"/>
              </w:rPr>
            </w:pPr>
            <w:r>
              <w:rPr>
                <w:rFonts w:hint="eastAsia" w:cs="宋体"/>
                <w:color w:val="auto"/>
              </w:rPr>
              <w:t>3.4 噪声监测方案</w:t>
            </w:r>
          </w:p>
          <w:p w14:paraId="79DDE463">
            <w:pPr>
              <w:pStyle w:val="116"/>
              <w:ind w:firstLine="420"/>
              <w:rPr>
                <w:rFonts w:cs="宋体"/>
                <w:color w:val="auto"/>
              </w:rPr>
            </w:pPr>
            <w:r>
              <w:rPr>
                <w:rFonts w:hint="eastAsia" w:cs="宋体"/>
                <w:color w:val="auto"/>
              </w:rPr>
              <w:t>根据《排污单位自行监测技术指南 总则》(HJ819-2017)</w:t>
            </w:r>
            <w:r>
              <w:rPr>
                <w:rFonts w:hint="eastAsia" w:cs="宋体"/>
                <w:color w:val="auto"/>
                <w:lang w:eastAsia="zh-CN"/>
              </w:rPr>
              <w:t>、</w:t>
            </w:r>
            <w:r>
              <w:rPr>
                <w:rFonts w:hint="eastAsia" w:hAnsi="宋体"/>
                <w:bCs/>
                <w:color w:val="auto"/>
                <w:szCs w:val="21"/>
              </w:rPr>
              <w:t>《排污许可证申请与核发技术规范 工业噪声》</w:t>
            </w:r>
            <w:r>
              <w:rPr>
                <w:rFonts w:hint="default" w:ascii="Times New Roman" w:hAnsi="Times New Roman" w:cs="Times New Roman"/>
                <w:bCs/>
                <w:color w:val="auto"/>
                <w:szCs w:val="21"/>
              </w:rPr>
              <w:t>（HJ 1301-2023）</w:t>
            </w:r>
            <w:r>
              <w:rPr>
                <w:rFonts w:hint="eastAsia" w:cs="宋体"/>
                <w:color w:val="auto"/>
              </w:rPr>
              <w:t>中的</w:t>
            </w:r>
            <w:r>
              <w:rPr>
                <w:rFonts w:cs="宋体"/>
                <w:color w:val="auto"/>
              </w:rPr>
              <w:t>有关规定要求，</w:t>
            </w:r>
            <w:r>
              <w:rPr>
                <w:rFonts w:hint="eastAsia" w:cs="宋体"/>
                <w:color w:val="auto"/>
              </w:rPr>
              <w:t>制定本项目的噪声监测方案，见</w:t>
            </w:r>
            <w:r>
              <w:rPr>
                <w:rFonts w:hint="eastAsia"/>
                <w:color w:val="auto"/>
              </w:rPr>
              <w:t>下表</w:t>
            </w:r>
            <w:r>
              <w:rPr>
                <w:rFonts w:hint="eastAsia" w:cs="宋体"/>
                <w:color w:val="auto"/>
              </w:rPr>
              <w:t>。</w:t>
            </w:r>
          </w:p>
          <w:p w14:paraId="527C4412">
            <w:pPr>
              <w:pStyle w:val="10"/>
              <w:rPr>
                <w:color w:val="auto"/>
              </w:rPr>
            </w:pPr>
            <w:r>
              <w:rPr>
                <w:rFonts w:hint="eastAsia"/>
                <w:color w:val="auto"/>
              </w:rPr>
              <w:t>表4</w:t>
            </w:r>
            <w:r>
              <w:rPr>
                <w:rFonts w:hint="eastAsia"/>
                <w:color w:val="auto"/>
                <w:lang w:eastAsia="zh-CN"/>
              </w:rPr>
              <w:t>-</w:t>
            </w:r>
            <w:r>
              <w:rPr>
                <w:color w:val="auto"/>
              </w:rPr>
              <w:fldChar w:fldCharType="begin"/>
            </w:r>
            <w:r>
              <w:rPr>
                <w:color w:val="auto"/>
              </w:rPr>
              <w:instrText xml:space="preserve"> </w:instrText>
            </w:r>
            <w:r>
              <w:rPr>
                <w:rFonts w:hint="eastAsia"/>
                <w:color w:val="auto"/>
              </w:rPr>
              <w:instrText xml:space="preserve">SEQ 表4- \* ARABIC</w:instrText>
            </w:r>
            <w:r>
              <w:rPr>
                <w:color w:val="auto"/>
              </w:rPr>
              <w:instrText xml:space="preserve"> </w:instrText>
            </w:r>
            <w:r>
              <w:rPr>
                <w:color w:val="auto"/>
              </w:rPr>
              <w:fldChar w:fldCharType="separate"/>
            </w:r>
            <w:r>
              <w:rPr>
                <w:color w:val="auto"/>
              </w:rPr>
              <w:t>1</w:t>
            </w:r>
            <w:r>
              <w:rPr>
                <w:rFonts w:hint="eastAsia"/>
                <w:color w:val="auto"/>
                <w:lang w:val="en-US" w:eastAsia="zh-CN"/>
              </w:rPr>
              <w:t>4</w:t>
            </w:r>
            <w:r>
              <w:rPr>
                <w:color w:val="auto"/>
              </w:rPr>
              <w:fldChar w:fldCharType="end"/>
            </w:r>
            <w:r>
              <w:rPr>
                <w:rFonts w:hint="eastAsia"/>
                <w:color w:val="auto"/>
              </w:rPr>
              <w:t>噪声监测方案</w:t>
            </w:r>
          </w:p>
          <w:tbl>
            <w:tblPr>
              <w:tblStyle w:val="3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5"/>
              <w:gridCol w:w="1488"/>
              <w:gridCol w:w="1130"/>
              <w:gridCol w:w="1270"/>
              <w:gridCol w:w="3395"/>
            </w:tblGrid>
            <w:tr w14:paraId="7BC89C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74" w:hRule="atLeast"/>
                <w:jc w:val="center"/>
              </w:trPr>
              <w:tc>
                <w:tcPr>
                  <w:tcW w:w="464" w:type="pct"/>
                  <w:vAlign w:val="center"/>
                </w:tcPr>
                <w:p w14:paraId="2CE04E09">
                  <w:pPr>
                    <w:adjustRightInd w:val="0"/>
                    <w:snapToGrid w:val="0"/>
                    <w:jc w:val="center"/>
                    <w:rPr>
                      <w:rFonts w:cs="宋体"/>
                      <w:bCs/>
                      <w:color w:val="auto"/>
                      <w:spacing w:val="-10"/>
                      <w:szCs w:val="21"/>
                    </w:rPr>
                  </w:pPr>
                  <w:r>
                    <w:rPr>
                      <w:rFonts w:hint="eastAsia" w:cs="宋体"/>
                      <w:bCs/>
                      <w:color w:val="auto"/>
                      <w:spacing w:val="-10"/>
                      <w:szCs w:val="21"/>
                    </w:rPr>
                    <w:t>类别</w:t>
                  </w:r>
                </w:p>
              </w:tc>
              <w:tc>
                <w:tcPr>
                  <w:tcW w:w="927" w:type="pct"/>
                  <w:vAlign w:val="center"/>
                </w:tcPr>
                <w:p w14:paraId="228F08B6">
                  <w:pPr>
                    <w:adjustRightInd w:val="0"/>
                    <w:snapToGrid w:val="0"/>
                    <w:jc w:val="center"/>
                    <w:rPr>
                      <w:rFonts w:cs="宋体"/>
                      <w:bCs/>
                      <w:color w:val="auto"/>
                      <w:spacing w:val="-10"/>
                      <w:szCs w:val="21"/>
                    </w:rPr>
                  </w:pPr>
                  <w:r>
                    <w:rPr>
                      <w:rFonts w:hint="eastAsia" w:cs="宋体"/>
                      <w:bCs/>
                      <w:color w:val="auto"/>
                      <w:spacing w:val="-10"/>
                      <w:szCs w:val="21"/>
                    </w:rPr>
                    <w:t>监测点位</w:t>
                  </w:r>
                </w:p>
              </w:tc>
              <w:tc>
                <w:tcPr>
                  <w:tcW w:w="704" w:type="pct"/>
                  <w:vAlign w:val="center"/>
                </w:tcPr>
                <w:p w14:paraId="58292A52">
                  <w:pPr>
                    <w:adjustRightInd w:val="0"/>
                    <w:snapToGrid w:val="0"/>
                    <w:jc w:val="center"/>
                    <w:rPr>
                      <w:rFonts w:cs="宋体"/>
                      <w:bCs/>
                      <w:color w:val="auto"/>
                      <w:spacing w:val="-10"/>
                      <w:szCs w:val="21"/>
                    </w:rPr>
                  </w:pPr>
                  <w:r>
                    <w:rPr>
                      <w:rFonts w:hint="eastAsia" w:cs="宋体"/>
                      <w:bCs/>
                      <w:color w:val="auto"/>
                      <w:spacing w:val="-10"/>
                      <w:szCs w:val="21"/>
                    </w:rPr>
                    <w:t>监测因子</w:t>
                  </w:r>
                </w:p>
              </w:tc>
              <w:tc>
                <w:tcPr>
                  <w:tcW w:w="791" w:type="pct"/>
                  <w:vAlign w:val="center"/>
                </w:tcPr>
                <w:p w14:paraId="5D94C1EF">
                  <w:pPr>
                    <w:adjustRightInd w:val="0"/>
                    <w:snapToGrid w:val="0"/>
                    <w:jc w:val="center"/>
                    <w:rPr>
                      <w:rFonts w:cs="宋体"/>
                      <w:bCs/>
                      <w:color w:val="auto"/>
                      <w:spacing w:val="-10"/>
                      <w:szCs w:val="21"/>
                    </w:rPr>
                  </w:pPr>
                  <w:r>
                    <w:rPr>
                      <w:rFonts w:hint="eastAsia" w:cs="宋体"/>
                      <w:bCs/>
                      <w:color w:val="auto"/>
                      <w:spacing w:val="-10"/>
                      <w:szCs w:val="21"/>
                    </w:rPr>
                    <w:t>监测频次</w:t>
                  </w:r>
                </w:p>
              </w:tc>
              <w:tc>
                <w:tcPr>
                  <w:tcW w:w="2114" w:type="pct"/>
                  <w:vAlign w:val="center"/>
                </w:tcPr>
                <w:p w14:paraId="43219F90">
                  <w:pPr>
                    <w:adjustRightInd w:val="0"/>
                    <w:snapToGrid w:val="0"/>
                    <w:jc w:val="center"/>
                    <w:rPr>
                      <w:rFonts w:cs="宋体"/>
                      <w:bCs/>
                      <w:color w:val="auto"/>
                      <w:spacing w:val="-10"/>
                      <w:szCs w:val="21"/>
                    </w:rPr>
                  </w:pPr>
                  <w:r>
                    <w:rPr>
                      <w:rFonts w:hint="eastAsia" w:cs="宋体"/>
                      <w:bCs/>
                      <w:color w:val="auto"/>
                      <w:spacing w:val="-10"/>
                      <w:szCs w:val="21"/>
                    </w:rPr>
                    <w:t>执行标准</w:t>
                  </w:r>
                </w:p>
              </w:tc>
            </w:tr>
            <w:tr w14:paraId="584935A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464" w:type="pct"/>
                  <w:vMerge w:val="restart"/>
                  <w:vAlign w:val="center"/>
                </w:tcPr>
                <w:p w14:paraId="2BC155D3">
                  <w:pPr>
                    <w:adjustRightInd w:val="0"/>
                    <w:snapToGrid w:val="0"/>
                    <w:jc w:val="center"/>
                    <w:rPr>
                      <w:rFonts w:cs="宋体"/>
                      <w:bCs/>
                      <w:color w:val="auto"/>
                      <w:spacing w:val="-10"/>
                      <w:szCs w:val="21"/>
                    </w:rPr>
                  </w:pPr>
                  <w:r>
                    <w:rPr>
                      <w:rFonts w:hint="eastAsia" w:cs="宋体"/>
                      <w:bCs/>
                      <w:color w:val="auto"/>
                      <w:spacing w:val="-10"/>
                      <w:szCs w:val="21"/>
                    </w:rPr>
                    <w:t>噪声</w:t>
                  </w:r>
                </w:p>
              </w:tc>
              <w:tc>
                <w:tcPr>
                  <w:tcW w:w="927" w:type="pct"/>
                  <w:vAlign w:val="center"/>
                </w:tcPr>
                <w:p w14:paraId="40684A2B">
                  <w:pPr>
                    <w:adjustRightInd w:val="0"/>
                    <w:snapToGrid w:val="0"/>
                    <w:jc w:val="center"/>
                    <w:rPr>
                      <w:rFonts w:cs="宋体"/>
                      <w:bCs/>
                      <w:color w:val="auto"/>
                      <w:spacing w:val="-10"/>
                      <w:szCs w:val="21"/>
                    </w:rPr>
                  </w:pPr>
                  <w:r>
                    <w:rPr>
                      <w:rFonts w:hint="eastAsia" w:cs="宋体"/>
                      <w:bCs/>
                      <w:color w:val="auto"/>
                      <w:spacing w:val="-10"/>
                      <w:szCs w:val="21"/>
                    </w:rPr>
                    <w:t>南、西、北厂界</w:t>
                  </w:r>
                </w:p>
              </w:tc>
              <w:tc>
                <w:tcPr>
                  <w:tcW w:w="704" w:type="pct"/>
                  <w:vAlign w:val="center"/>
                </w:tcPr>
                <w:p w14:paraId="626E9B0C">
                  <w:pPr>
                    <w:adjustRightInd w:val="0"/>
                    <w:snapToGrid w:val="0"/>
                    <w:jc w:val="center"/>
                    <w:rPr>
                      <w:rFonts w:cs="宋体"/>
                      <w:bCs/>
                      <w:color w:val="auto"/>
                      <w:spacing w:val="-10"/>
                      <w:szCs w:val="21"/>
                    </w:rPr>
                  </w:pPr>
                  <w:r>
                    <w:rPr>
                      <w:rFonts w:hint="eastAsia" w:cs="宋体"/>
                      <w:bCs/>
                      <w:color w:val="auto"/>
                      <w:spacing w:val="-10"/>
                      <w:szCs w:val="21"/>
                    </w:rPr>
                    <w:t>L</w:t>
                  </w:r>
                  <w:r>
                    <w:rPr>
                      <w:rFonts w:hint="eastAsia" w:cs="宋体"/>
                      <w:bCs/>
                      <w:color w:val="auto"/>
                      <w:spacing w:val="-10"/>
                      <w:szCs w:val="21"/>
                      <w:vertAlign w:val="subscript"/>
                    </w:rPr>
                    <w:t>Aeq，T</w:t>
                  </w:r>
                </w:p>
              </w:tc>
              <w:tc>
                <w:tcPr>
                  <w:tcW w:w="791" w:type="pct"/>
                  <w:vAlign w:val="center"/>
                </w:tcPr>
                <w:p w14:paraId="1A843D55">
                  <w:pPr>
                    <w:adjustRightInd w:val="0"/>
                    <w:snapToGrid w:val="0"/>
                    <w:jc w:val="center"/>
                    <w:rPr>
                      <w:rFonts w:cs="宋体"/>
                      <w:bCs/>
                      <w:color w:val="auto"/>
                      <w:spacing w:val="-10"/>
                      <w:szCs w:val="21"/>
                    </w:rPr>
                  </w:pPr>
                  <w:r>
                    <w:rPr>
                      <w:rFonts w:hint="eastAsia" w:cs="宋体"/>
                      <w:bCs/>
                      <w:color w:val="auto"/>
                      <w:spacing w:val="-10"/>
                      <w:szCs w:val="21"/>
                    </w:rPr>
                    <w:t>1次/季</w:t>
                  </w:r>
                </w:p>
              </w:tc>
              <w:tc>
                <w:tcPr>
                  <w:tcW w:w="2114" w:type="pct"/>
                  <w:vAlign w:val="center"/>
                </w:tcPr>
                <w:p w14:paraId="50EDC855">
                  <w:pPr>
                    <w:adjustRightInd w:val="0"/>
                    <w:snapToGrid w:val="0"/>
                    <w:jc w:val="center"/>
                    <w:rPr>
                      <w:rFonts w:cs="宋体"/>
                      <w:bCs/>
                      <w:color w:val="auto"/>
                      <w:spacing w:val="-10"/>
                      <w:szCs w:val="21"/>
                    </w:rPr>
                  </w:pPr>
                  <w:r>
                    <w:rPr>
                      <w:rFonts w:hint="eastAsia" w:cs="宋体"/>
                      <w:bCs/>
                      <w:color w:val="auto"/>
                      <w:spacing w:val="-10"/>
                      <w:szCs w:val="21"/>
                    </w:rPr>
                    <w:t>《工业企业厂界环境噪声排放标准》（GB12348-2008）3类标准</w:t>
                  </w:r>
                </w:p>
              </w:tc>
            </w:tr>
            <w:tr w14:paraId="07D3240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464" w:type="pct"/>
                  <w:vMerge w:val="continue"/>
                  <w:vAlign w:val="center"/>
                </w:tcPr>
                <w:p w14:paraId="2C4D8179">
                  <w:pPr>
                    <w:adjustRightInd w:val="0"/>
                    <w:snapToGrid w:val="0"/>
                    <w:jc w:val="center"/>
                    <w:rPr>
                      <w:rFonts w:cs="宋体"/>
                      <w:bCs/>
                      <w:color w:val="auto"/>
                      <w:spacing w:val="-10"/>
                      <w:szCs w:val="21"/>
                    </w:rPr>
                  </w:pPr>
                </w:p>
              </w:tc>
              <w:tc>
                <w:tcPr>
                  <w:tcW w:w="927" w:type="pct"/>
                  <w:vAlign w:val="center"/>
                </w:tcPr>
                <w:p w14:paraId="3B17C0E4">
                  <w:pPr>
                    <w:adjustRightInd w:val="0"/>
                    <w:snapToGrid w:val="0"/>
                    <w:jc w:val="center"/>
                    <w:rPr>
                      <w:rFonts w:cs="宋体"/>
                      <w:bCs/>
                      <w:color w:val="auto"/>
                      <w:spacing w:val="-10"/>
                      <w:szCs w:val="21"/>
                    </w:rPr>
                  </w:pPr>
                  <w:r>
                    <w:rPr>
                      <w:rFonts w:hint="eastAsia" w:cs="宋体"/>
                      <w:bCs/>
                      <w:color w:val="auto"/>
                      <w:spacing w:val="-10"/>
                      <w:szCs w:val="21"/>
                    </w:rPr>
                    <w:t>东厂界</w:t>
                  </w:r>
                </w:p>
              </w:tc>
              <w:tc>
                <w:tcPr>
                  <w:tcW w:w="704" w:type="pct"/>
                  <w:vAlign w:val="center"/>
                </w:tcPr>
                <w:p w14:paraId="67CA4CEA">
                  <w:pPr>
                    <w:adjustRightInd w:val="0"/>
                    <w:snapToGrid w:val="0"/>
                    <w:jc w:val="center"/>
                    <w:rPr>
                      <w:rFonts w:cs="宋体"/>
                      <w:bCs/>
                      <w:color w:val="auto"/>
                      <w:spacing w:val="-10"/>
                      <w:szCs w:val="21"/>
                    </w:rPr>
                  </w:pPr>
                  <w:r>
                    <w:rPr>
                      <w:rFonts w:hint="eastAsia" w:cs="宋体"/>
                      <w:bCs/>
                      <w:color w:val="auto"/>
                      <w:spacing w:val="-10"/>
                      <w:szCs w:val="21"/>
                    </w:rPr>
                    <w:t>L</w:t>
                  </w:r>
                  <w:r>
                    <w:rPr>
                      <w:rFonts w:hint="eastAsia" w:cs="宋体"/>
                      <w:bCs/>
                      <w:color w:val="auto"/>
                      <w:spacing w:val="-10"/>
                      <w:szCs w:val="21"/>
                      <w:vertAlign w:val="subscript"/>
                    </w:rPr>
                    <w:t>Aeq，T</w:t>
                  </w:r>
                </w:p>
              </w:tc>
              <w:tc>
                <w:tcPr>
                  <w:tcW w:w="791" w:type="pct"/>
                  <w:vAlign w:val="center"/>
                </w:tcPr>
                <w:p w14:paraId="783D248D">
                  <w:pPr>
                    <w:adjustRightInd w:val="0"/>
                    <w:snapToGrid w:val="0"/>
                    <w:jc w:val="center"/>
                    <w:rPr>
                      <w:rFonts w:cs="宋体"/>
                      <w:bCs/>
                      <w:color w:val="auto"/>
                      <w:spacing w:val="-10"/>
                      <w:szCs w:val="21"/>
                    </w:rPr>
                  </w:pPr>
                  <w:r>
                    <w:rPr>
                      <w:rFonts w:hint="eastAsia" w:cs="宋体"/>
                      <w:bCs/>
                      <w:color w:val="auto"/>
                      <w:spacing w:val="-10"/>
                      <w:szCs w:val="21"/>
                    </w:rPr>
                    <w:t>1次/季</w:t>
                  </w:r>
                </w:p>
              </w:tc>
              <w:tc>
                <w:tcPr>
                  <w:tcW w:w="2114" w:type="pct"/>
                  <w:vAlign w:val="center"/>
                </w:tcPr>
                <w:p w14:paraId="6EE9B864">
                  <w:pPr>
                    <w:adjustRightInd w:val="0"/>
                    <w:snapToGrid w:val="0"/>
                    <w:jc w:val="center"/>
                    <w:rPr>
                      <w:rFonts w:cs="宋体"/>
                      <w:bCs/>
                      <w:color w:val="auto"/>
                      <w:spacing w:val="-10"/>
                      <w:szCs w:val="21"/>
                    </w:rPr>
                  </w:pPr>
                  <w:r>
                    <w:rPr>
                      <w:rFonts w:hint="eastAsia" w:cs="宋体"/>
                      <w:bCs/>
                      <w:color w:val="auto"/>
                      <w:spacing w:val="-10"/>
                      <w:szCs w:val="21"/>
                    </w:rPr>
                    <w:t>《工业企业厂界环境噪声排放标准》（GB12348-2008）4类标准</w:t>
                  </w:r>
                </w:p>
              </w:tc>
            </w:tr>
          </w:tbl>
          <w:p w14:paraId="35ACA0A5">
            <w:pPr>
              <w:pStyle w:val="122"/>
              <w:rPr>
                <w:color w:val="auto"/>
              </w:rPr>
            </w:pPr>
            <w:r>
              <w:rPr>
                <w:rFonts w:hint="eastAsia"/>
                <w:color w:val="auto"/>
              </w:rPr>
              <w:t>4、固体废物</w:t>
            </w:r>
          </w:p>
          <w:p w14:paraId="0A506BEE">
            <w:pPr>
              <w:pStyle w:val="119"/>
              <w:rPr>
                <w:color w:val="auto"/>
              </w:rPr>
            </w:pPr>
            <w:r>
              <w:rPr>
                <w:rFonts w:hint="eastAsia"/>
                <w:color w:val="auto"/>
              </w:rPr>
              <w:t>4.</w:t>
            </w:r>
            <w:r>
              <w:rPr>
                <w:color w:val="auto"/>
              </w:rPr>
              <w:t>1</w:t>
            </w:r>
            <w:r>
              <w:rPr>
                <w:rFonts w:hint="eastAsia"/>
                <w:color w:val="auto"/>
              </w:rPr>
              <w:t>本项目固体废物产生环节及属性判定</w:t>
            </w:r>
          </w:p>
          <w:p w14:paraId="0ACE18D5">
            <w:pPr>
              <w:pStyle w:val="116"/>
              <w:ind w:firstLine="420"/>
              <w:rPr>
                <w:color w:val="auto"/>
              </w:rPr>
            </w:pPr>
            <w:r>
              <w:rPr>
                <w:rFonts w:hint="eastAsia"/>
                <w:color w:val="auto"/>
              </w:rPr>
              <w:t>本项目产生的固体废物主要包括</w:t>
            </w:r>
            <w:r>
              <w:rPr>
                <w:rFonts w:hint="eastAsia"/>
                <w:color w:val="auto"/>
                <w:lang w:val="en-US" w:eastAsia="zh-CN"/>
              </w:rPr>
              <w:t>生产过程中产生的不合格品，</w:t>
            </w:r>
            <w:r>
              <w:rPr>
                <w:rFonts w:hint="eastAsia"/>
                <w:color w:val="auto"/>
                <w:highlight w:val="none"/>
                <w:lang w:val="en-US" w:eastAsia="zh-CN"/>
              </w:rPr>
              <w:t>下料、打磨工序产生的</w:t>
            </w:r>
            <w:r>
              <w:rPr>
                <w:rFonts w:hint="eastAsia"/>
                <w:color w:val="auto"/>
                <w:highlight w:val="none"/>
              </w:rPr>
              <w:t>氧化铁屑</w:t>
            </w:r>
            <w:r>
              <w:rPr>
                <w:rFonts w:hint="eastAsia"/>
                <w:color w:val="auto"/>
                <w:highlight w:val="none"/>
                <w:lang w:eastAsia="zh-CN"/>
              </w:rPr>
              <w:t>，</w:t>
            </w:r>
            <w:r>
              <w:rPr>
                <w:rFonts w:hint="eastAsia"/>
                <w:color w:val="auto"/>
                <w:highlight w:val="none"/>
              </w:rPr>
              <w:t>抛丸工序产生的废钢丸、氧化铁屑，抛丸工序滤筒除尘器产生</w:t>
            </w:r>
            <w:r>
              <w:rPr>
                <w:rFonts w:hint="eastAsia"/>
                <w:color w:val="auto"/>
              </w:rPr>
              <w:t>的除尘灰、废滤筒，设备维修保养产生的废润滑油、</w:t>
            </w:r>
            <w:r>
              <w:rPr>
                <w:rFonts w:hint="eastAsia"/>
                <w:color w:val="auto"/>
                <w:lang w:val="en-US" w:eastAsia="zh-CN"/>
              </w:rPr>
              <w:t>废液压油、</w:t>
            </w:r>
            <w:r>
              <w:rPr>
                <w:rFonts w:hint="eastAsia"/>
                <w:color w:val="auto"/>
              </w:rPr>
              <w:t>废油桶</w:t>
            </w:r>
            <w:r>
              <w:rPr>
                <w:rFonts w:hint="eastAsia"/>
                <w:color w:val="auto"/>
                <w:lang w:eastAsia="zh-CN"/>
              </w:rPr>
              <w:t>、</w:t>
            </w:r>
            <w:r>
              <w:rPr>
                <w:rFonts w:hint="eastAsia"/>
                <w:color w:val="auto"/>
                <w:highlight w:val="none"/>
                <w:lang w:eastAsia="zh-CN"/>
              </w:rPr>
              <w:t>废含油抹布</w:t>
            </w:r>
            <w:r>
              <w:rPr>
                <w:rFonts w:hint="eastAsia"/>
                <w:color w:val="auto"/>
              </w:rPr>
              <w:t>。</w:t>
            </w:r>
          </w:p>
          <w:p w14:paraId="34985C30">
            <w:pPr>
              <w:pStyle w:val="10"/>
              <w:rPr>
                <w:color w:val="auto"/>
              </w:rPr>
            </w:pPr>
            <w:r>
              <w:rPr>
                <w:rFonts w:hint="eastAsia"/>
                <w:color w:val="auto"/>
              </w:rPr>
              <w:t>表4</w:t>
            </w:r>
            <w:r>
              <w:rPr>
                <w:rFonts w:hint="eastAsia"/>
                <w:color w:val="auto"/>
                <w:lang w:eastAsia="zh-CN"/>
              </w:rPr>
              <w:t>-</w:t>
            </w:r>
            <w:r>
              <w:rPr>
                <w:color w:val="auto"/>
              </w:rPr>
              <w:fldChar w:fldCharType="begin"/>
            </w:r>
            <w:r>
              <w:rPr>
                <w:color w:val="auto"/>
              </w:rPr>
              <w:instrText xml:space="preserve"> </w:instrText>
            </w:r>
            <w:r>
              <w:rPr>
                <w:rFonts w:hint="eastAsia"/>
                <w:color w:val="auto"/>
              </w:rPr>
              <w:instrText xml:space="preserve">SEQ 表4- \* ARABIC</w:instrText>
            </w:r>
            <w:r>
              <w:rPr>
                <w:color w:val="auto"/>
              </w:rPr>
              <w:instrText xml:space="preserve"> </w:instrText>
            </w:r>
            <w:r>
              <w:rPr>
                <w:color w:val="auto"/>
              </w:rPr>
              <w:fldChar w:fldCharType="separate"/>
            </w:r>
            <w:r>
              <w:rPr>
                <w:color w:val="auto"/>
              </w:rPr>
              <w:t>1</w:t>
            </w:r>
            <w:r>
              <w:rPr>
                <w:rFonts w:hint="eastAsia"/>
                <w:color w:val="auto"/>
                <w:lang w:val="en-US" w:eastAsia="zh-CN"/>
              </w:rPr>
              <w:t>5</w:t>
            </w:r>
            <w:r>
              <w:rPr>
                <w:color w:val="auto"/>
              </w:rPr>
              <w:fldChar w:fldCharType="end"/>
            </w:r>
            <w:r>
              <w:rPr>
                <w:rFonts w:hint="eastAsia"/>
                <w:color w:val="auto"/>
              </w:rPr>
              <w:t>本项目固废类别及属性判定一览表</w:t>
            </w:r>
          </w:p>
          <w:tbl>
            <w:tblPr>
              <w:tblStyle w:val="33"/>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08"/>
              <w:gridCol w:w="1017"/>
              <w:gridCol w:w="1364"/>
              <w:gridCol w:w="777"/>
              <w:gridCol w:w="996"/>
              <w:gridCol w:w="1445"/>
              <w:gridCol w:w="1921"/>
            </w:tblGrid>
            <w:tr w14:paraId="593D1AF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316" w:type="pct"/>
                  <w:vAlign w:val="center"/>
                </w:tcPr>
                <w:p w14:paraId="243B22C6">
                  <w:pPr>
                    <w:adjustRightInd w:val="0"/>
                    <w:snapToGrid w:val="0"/>
                    <w:jc w:val="center"/>
                    <w:rPr>
                      <w:rFonts w:cs="宋体"/>
                      <w:bCs/>
                      <w:color w:val="auto"/>
                      <w:spacing w:val="-10"/>
                      <w:szCs w:val="21"/>
                    </w:rPr>
                  </w:pPr>
                  <w:r>
                    <w:rPr>
                      <w:rFonts w:hint="eastAsia" w:cs="宋体"/>
                      <w:bCs/>
                      <w:color w:val="auto"/>
                      <w:spacing w:val="-10"/>
                      <w:szCs w:val="21"/>
                    </w:rPr>
                    <w:t>序号</w:t>
                  </w:r>
                </w:p>
              </w:tc>
              <w:tc>
                <w:tcPr>
                  <w:tcW w:w="633" w:type="pct"/>
                  <w:vAlign w:val="center"/>
                </w:tcPr>
                <w:p w14:paraId="4F9E5528">
                  <w:pPr>
                    <w:adjustRightInd w:val="0"/>
                    <w:snapToGrid w:val="0"/>
                    <w:jc w:val="center"/>
                    <w:rPr>
                      <w:rFonts w:cs="宋体"/>
                      <w:bCs/>
                      <w:color w:val="auto"/>
                      <w:spacing w:val="-10"/>
                      <w:szCs w:val="21"/>
                    </w:rPr>
                  </w:pPr>
                  <w:r>
                    <w:rPr>
                      <w:rFonts w:hint="eastAsia" w:cs="宋体"/>
                      <w:bCs/>
                      <w:color w:val="auto"/>
                      <w:spacing w:val="-10"/>
                      <w:szCs w:val="21"/>
                    </w:rPr>
                    <w:t>产污环节</w:t>
                  </w:r>
                </w:p>
              </w:tc>
              <w:tc>
                <w:tcPr>
                  <w:tcW w:w="849" w:type="pct"/>
                  <w:vAlign w:val="center"/>
                </w:tcPr>
                <w:p w14:paraId="652B6466">
                  <w:pPr>
                    <w:adjustRightInd w:val="0"/>
                    <w:snapToGrid w:val="0"/>
                    <w:jc w:val="center"/>
                    <w:rPr>
                      <w:rFonts w:cs="宋体"/>
                      <w:bCs/>
                      <w:color w:val="auto"/>
                      <w:spacing w:val="-10"/>
                      <w:szCs w:val="21"/>
                    </w:rPr>
                  </w:pPr>
                  <w:r>
                    <w:rPr>
                      <w:rFonts w:hint="eastAsia" w:cs="宋体"/>
                      <w:bCs/>
                      <w:color w:val="auto"/>
                      <w:spacing w:val="-10"/>
                      <w:szCs w:val="21"/>
                    </w:rPr>
                    <w:t>固体废物名称</w:t>
                  </w:r>
                </w:p>
              </w:tc>
              <w:tc>
                <w:tcPr>
                  <w:tcW w:w="483" w:type="pct"/>
                  <w:vAlign w:val="center"/>
                </w:tcPr>
                <w:p w14:paraId="480D12B1">
                  <w:pPr>
                    <w:adjustRightInd w:val="0"/>
                    <w:snapToGrid w:val="0"/>
                    <w:jc w:val="center"/>
                    <w:rPr>
                      <w:rFonts w:cs="宋体"/>
                      <w:bCs/>
                      <w:color w:val="auto"/>
                      <w:spacing w:val="-10"/>
                      <w:szCs w:val="21"/>
                    </w:rPr>
                  </w:pPr>
                  <w:r>
                    <w:rPr>
                      <w:rFonts w:hint="eastAsia" w:cs="宋体"/>
                      <w:bCs/>
                      <w:color w:val="auto"/>
                      <w:spacing w:val="-10"/>
                      <w:szCs w:val="21"/>
                    </w:rPr>
                    <w:t>物理性状</w:t>
                  </w:r>
                </w:p>
              </w:tc>
              <w:tc>
                <w:tcPr>
                  <w:tcW w:w="620" w:type="pct"/>
                  <w:vAlign w:val="center"/>
                </w:tcPr>
                <w:p w14:paraId="253734F7">
                  <w:pPr>
                    <w:adjustRightInd w:val="0"/>
                    <w:snapToGrid w:val="0"/>
                    <w:jc w:val="center"/>
                    <w:rPr>
                      <w:rFonts w:cs="宋体"/>
                      <w:bCs/>
                      <w:color w:val="auto"/>
                      <w:spacing w:val="-10"/>
                      <w:szCs w:val="21"/>
                    </w:rPr>
                  </w:pPr>
                  <w:r>
                    <w:rPr>
                      <w:rFonts w:hint="eastAsia" w:cs="宋体"/>
                      <w:bCs/>
                      <w:color w:val="auto"/>
                      <w:spacing w:val="-10"/>
                      <w:szCs w:val="21"/>
                    </w:rPr>
                    <w:t>固废类别</w:t>
                  </w:r>
                </w:p>
              </w:tc>
              <w:tc>
                <w:tcPr>
                  <w:tcW w:w="899" w:type="pct"/>
                  <w:vAlign w:val="center"/>
                </w:tcPr>
                <w:p w14:paraId="56E38025">
                  <w:pPr>
                    <w:adjustRightInd w:val="0"/>
                    <w:snapToGrid w:val="0"/>
                    <w:jc w:val="center"/>
                    <w:rPr>
                      <w:rFonts w:cs="宋体"/>
                      <w:bCs/>
                      <w:color w:val="auto"/>
                      <w:spacing w:val="-10"/>
                      <w:szCs w:val="21"/>
                    </w:rPr>
                  </w:pPr>
                  <w:r>
                    <w:rPr>
                      <w:rFonts w:hint="eastAsia" w:cs="宋体"/>
                      <w:bCs/>
                      <w:color w:val="auto"/>
                      <w:spacing w:val="-10"/>
                      <w:szCs w:val="21"/>
                      <w:highlight w:val="none"/>
                    </w:rPr>
                    <w:t>分类代码</w:t>
                  </w:r>
                </w:p>
              </w:tc>
              <w:tc>
                <w:tcPr>
                  <w:tcW w:w="1196" w:type="pct"/>
                  <w:vAlign w:val="center"/>
                </w:tcPr>
                <w:p w14:paraId="5BB1EE00">
                  <w:pPr>
                    <w:adjustRightInd w:val="0"/>
                    <w:snapToGrid w:val="0"/>
                    <w:jc w:val="center"/>
                    <w:rPr>
                      <w:rFonts w:cs="宋体"/>
                      <w:bCs/>
                      <w:color w:val="auto"/>
                      <w:spacing w:val="-10"/>
                      <w:szCs w:val="21"/>
                    </w:rPr>
                  </w:pPr>
                  <w:r>
                    <w:rPr>
                      <w:rFonts w:hint="eastAsia" w:cs="宋体"/>
                      <w:bCs/>
                      <w:color w:val="auto"/>
                      <w:spacing w:val="-10"/>
                      <w:szCs w:val="21"/>
                    </w:rPr>
                    <w:t>判定依据</w:t>
                  </w:r>
                </w:p>
              </w:tc>
            </w:tr>
            <w:tr w14:paraId="6B92729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316" w:type="pct"/>
                  <w:shd w:val="clear" w:color="auto" w:fill="auto"/>
                  <w:vAlign w:val="center"/>
                </w:tcPr>
                <w:p w14:paraId="68A554D6">
                  <w:pPr>
                    <w:adjustRightInd w:val="0"/>
                    <w:snapToGrid w:val="0"/>
                    <w:jc w:val="center"/>
                    <w:rPr>
                      <w:rFonts w:hint="eastAsia" w:ascii="Times New Roman" w:hAnsi="Times New Roman" w:eastAsia="宋体" w:cs="宋体"/>
                      <w:bCs/>
                      <w:color w:val="auto"/>
                      <w:spacing w:val="-10"/>
                      <w:kern w:val="2"/>
                      <w:sz w:val="21"/>
                      <w:szCs w:val="21"/>
                      <w:lang w:val="en-US" w:eastAsia="zh-CN" w:bidi="ar-SA"/>
                    </w:rPr>
                  </w:pPr>
                  <w:r>
                    <w:rPr>
                      <w:rFonts w:hint="eastAsia" w:cs="宋体"/>
                      <w:bCs/>
                      <w:color w:val="auto"/>
                      <w:spacing w:val="-10"/>
                      <w:szCs w:val="21"/>
                    </w:rPr>
                    <w:t>1</w:t>
                  </w:r>
                </w:p>
              </w:tc>
              <w:tc>
                <w:tcPr>
                  <w:tcW w:w="633" w:type="pct"/>
                  <w:shd w:val="clear" w:color="auto" w:fill="auto"/>
                  <w:vAlign w:val="center"/>
                </w:tcPr>
                <w:p w14:paraId="2385E5C6">
                  <w:pPr>
                    <w:pStyle w:val="112"/>
                    <w:spacing w:line="240" w:lineRule="auto"/>
                    <w:ind w:left="-105" w:leftChars="-50" w:right="-105" w:rightChars="-5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生产过程</w:t>
                  </w:r>
                </w:p>
              </w:tc>
              <w:tc>
                <w:tcPr>
                  <w:tcW w:w="849" w:type="pct"/>
                  <w:shd w:val="clear" w:color="auto" w:fill="auto"/>
                  <w:vAlign w:val="center"/>
                </w:tcPr>
                <w:p w14:paraId="7D3C664C">
                  <w:pPr>
                    <w:pStyle w:val="112"/>
                    <w:spacing w:line="240" w:lineRule="auto"/>
                    <w:ind w:left="-105" w:leftChars="-50" w:right="-105" w:rightChars="-5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Style w:val="58"/>
                      <w:rFonts w:hint="eastAsia"/>
                      <w:color w:val="auto"/>
                      <w:sz w:val="21"/>
                      <w:szCs w:val="21"/>
                      <w:highlight w:val="none"/>
                      <w:lang w:val="en-US"/>
                    </w:rPr>
                    <w:t>不合格品</w:t>
                  </w:r>
                </w:p>
              </w:tc>
              <w:tc>
                <w:tcPr>
                  <w:tcW w:w="483" w:type="pct"/>
                  <w:shd w:val="clear" w:color="auto" w:fill="auto"/>
                  <w:vAlign w:val="center"/>
                </w:tcPr>
                <w:p w14:paraId="531837F3">
                  <w:pPr>
                    <w:adjustRightInd w:val="0"/>
                    <w:snapToGrid w:val="0"/>
                    <w:jc w:val="center"/>
                    <w:rPr>
                      <w:rFonts w:hint="eastAsia" w:ascii="Times New Roman" w:hAnsi="Times New Roman" w:eastAsia="宋体" w:cs="宋体"/>
                      <w:bCs/>
                      <w:color w:val="auto"/>
                      <w:spacing w:val="-10"/>
                      <w:kern w:val="2"/>
                      <w:sz w:val="21"/>
                      <w:szCs w:val="21"/>
                      <w:lang w:val="en-US" w:eastAsia="zh-CN" w:bidi="ar-SA"/>
                    </w:rPr>
                  </w:pPr>
                  <w:r>
                    <w:rPr>
                      <w:rFonts w:hint="eastAsia" w:cs="宋体"/>
                      <w:bCs/>
                      <w:color w:val="auto"/>
                      <w:spacing w:val="-10"/>
                      <w:szCs w:val="21"/>
                    </w:rPr>
                    <w:t>固态</w:t>
                  </w:r>
                </w:p>
              </w:tc>
              <w:tc>
                <w:tcPr>
                  <w:tcW w:w="620" w:type="pct"/>
                  <w:shd w:val="clear" w:color="auto" w:fill="auto"/>
                  <w:vAlign w:val="center"/>
                </w:tcPr>
                <w:p w14:paraId="5DBDFAA7">
                  <w:pPr>
                    <w:adjustRightInd w:val="0"/>
                    <w:snapToGrid w:val="0"/>
                    <w:jc w:val="center"/>
                    <w:rPr>
                      <w:rFonts w:hint="eastAsia" w:ascii="Times New Roman" w:hAnsi="Times New Roman" w:eastAsia="宋体" w:cs="宋体"/>
                      <w:bCs/>
                      <w:color w:val="auto"/>
                      <w:spacing w:val="-10"/>
                      <w:kern w:val="2"/>
                      <w:sz w:val="21"/>
                      <w:szCs w:val="21"/>
                      <w:lang w:val="en-US" w:eastAsia="zh-CN" w:bidi="ar-SA"/>
                    </w:rPr>
                  </w:pPr>
                  <w:r>
                    <w:rPr>
                      <w:rFonts w:hint="eastAsia" w:cs="宋体"/>
                      <w:bCs/>
                      <w:color w:val="auto"/>
                      <w:spacing w:val="-10"/>
                      <w:szCs w:val="21"/>
                    </w:rPr>
                    <w:t>一般固废</w:t>
                  </w:r>
                </w:p>
              </w:tc>
              <w:tc>
                <w:tcPr>
                  <w:tcW w:w="899" w:type="pct"/>
                  <w:vAlign w:val="center"/>
                </w:tcPr>
                <w:p w14:paraId="1BD7BDCF">
                  <w:pPr>
                    <w:adjustRightInd w:val="0"/>
                    <w:snapToGrid w:val="0"/>
                    <w:jc w:val="center"/>
                    <w:rPr>
                      <w:rFonts w:cs="宋体"/>
                      <w:bCs/>
                      <w:color w:val="auto"/>
                      <w:spacing w:val="-10"/>
                      <w:szCs w:val="21"/>
                    </w:rPr>
                  </w:pPr>
                  <w:r>
                    <w:rPr>
                      <w:rFonts w:cs="宋体"/>
                      <w:bCs/>
                      <w:color w:val="auto"/>
                      <w:spacing w:val="-10"/>
                      <w:szCs w:val="21"/>
                    </w:rPr>
                    <w:t>900-001-S17</w:t>
                  </w:r>
                </w:p>
              </w:tc>
              <w:tc>
                <w:tcPr>
                  <w:tcW w:w="1196" w:type="pct"/>
                  <w:vMerge w:val="restart"/>
                  <w:vAlign w:val="center"/>
                </w:tcPr>
                <w:p w14:paraId="4CEC05B5">
                  <w:pPr>
                    <w:adjustRightInd w:val="0"/>
                    <w:snapToGrid w:val="0"/>
                    <w:jc w:val="center"/>
                    <w:rPr>
                      <w:rFonts w:cs="宋体"/>
                      <w:bCs/>
                      <w:color w:val="auto"/>
                      <w:spacing w:val="-10"/>
                      <w:szCs w:val="21"/>
                    </w:rPr>
                  </w:pPr>
                  <w:r>
                    <w:rPr>
                      <w:rFonts w:hint="eastAsia" w:cs="宋体"/>
                      <w:bCs/>
                      <w:color w:val="auto"/>
                      <w:spacing w:val="-10"/>
                      <w:szCs w:val="21"/>
                    </w:rPr>
                    <w:t>《固体废物鉴别标准 通则》（GB34330-20</w:t>
                  </w:r>
                  <w:r>
                    <w:rPr>
                      <w:rFonts w:hint="eastAsia" w:cs="宋体"/>
                      <w:bCs/>
                      <w:color w:val="auto"/>
                      <w:spacing w:val="-10"/>
                      <w:szCs w:val="21"/>
                      <w:lang w:val="en-US" w:eastAsia="zh-CN"/>
                    </w:rPr>
                    <w:t>25</w:t>
                  </w:r>
                  <w:r>
                    <w:rPr>
                      <w:rFonts w:hint="eastAsia" w:cs="宋体"/>
                      <w:bCs/>
                      <w:color w:val="auto"/>
                      <w:spacing w:val="-10"/>
                      <w:szCs w:val="21"/>
                    </w:rPr>
                    <w:t>）、</w:t>
                  </w:r>
                  <w:r>
                    <w:rPr>
                      <w:rFonts w:cs="宋体"/>
                      <w:bCs/>
                      <w:color w:val="auto"/>
                      <w:spacing w:val="-10"/>
                      <w:szCs w:val="21"/>
                    </w:rPr>
                    <w:t>《固体废物分类与代码目录》</w:t>
                  </w:r>
                </w:p>
              </w:tc>
            </w:tr>
            <w:tr w14:paraId="6D97731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316" w:type="pct"/>
                  <w:shd w:val="clear" w:color="auto" w:fill="auto"/>
                  <w:vAlign w:val="center"/>
                </w:tcPr>
                <w:p w14:paraId="36AD68A9">
                  <w:pPr>
                    <w:adjustRightInd w:val="0"/>
                    <w:snapToGrid w:val="0"/>
                    <w:jc w:val="center"/>
                    <w:rPr>
                      <w:rFonts w:hint="eastAsia" w:ascii="Times New Roman" w:hAnsi="Times New Roman" w:eastAsia="宋体" w:cs="宋体"/>
                      <w:bCs/>
                      <w:color w:val="auto"/>
                      <w:spacing w:val="-10"/>
                      <w:kern w:val="2"/>
                      <w:sz w:val="21"/>
                      <w:szCs w:val="21"/>
                      <w:lang w:val="en-US" w:eastAsia="zh-CN" w:bidi="ar-SA"/>
                    </w:rPr>
                  </w:pPr>
                  <w:r>
                    <w:rPr>
                      <w:rFonts w:hint="eastAsia" w:cs="宋体"/>
                      <w:bCs/>
                      <w:color w:val="auto"/>
                      <w:spacing w:val="-10"/>
                      <w:szCs w:val="21"/>
                    </w:rPr>
                    <w:t>2</w:t>
                  </w:r>
                </w:p>
              </w:tc>
              <w:tc>
                <w:tcPr>
                  <w:tcW w:w="633" w:type="pct"/>
                  <w:vAlign w:val="center"/>
                </w:tcPr>
                <w:p w14:paraId="01D7254F">
                  <w:pPr>
                    <w:adjustRightInd w:val="0"/>
                    <w:snapToGrid w:val="0"/>
                    <w:jc w:val="center"/>
                    <w:rPr>
                      <w:rFonts w:hint="default" w:eastAsia="宋体" w:cs="宋体"/>
                      <w:bCs/>
                      <w:color w:val="auto"/>
                      <w:spacing w:val="-10"/>
                      <w:szCs w:val="21"/>
                      <w:lang w:val="en-US" w:eastAsia="zh-CN"/>
                    </w:rPr>
                  </w:pPr>
                  <w:r>
                    <w:rPr>
                      <w:rFonts w:hint="eastAsia"/>
                      <w:color w:val="auto"/>
                      <w:highlight w:val="none"/>
                      <w:lang w:val="en-US" w:eastAsia="zh-CN"/>
                    </w:rPr>
                    <w:t>下料、</w:t>
                  </w:r>
                  <w:r>
                    <w:rPr>
                      <w:rFonts w:hint="eastAsia" w:cs="宋体"/>
                      <w:bCs/>
                      <w:color w:val="auto"/>
                      <w:spacing w:val="-10"/>
                      <w:szCs w:val="21"/>
                      <w:lang w:val="en-US" w:eastAsia="zh-CN"/>
                    </w:rPr>
                    <w:t>打磨工序</w:t>
                  </w:r>
                </w:p>
              </w:tc>
              <w:tc>
                <w:tcPr>
                  <w:tcW w:w="849" w:type="pct"/>
                  <w:shd w:val="clear" w:color="auto" w:fill="auto"/>
                  <w:vAlign w:val="center"/>
                </w:tcPr>
                <w:p w14:paraId="423BBAC5">
                  <w:pPr>
                    <w:adjustRightInd w:val="0"/>
                    <w:snapToGrid w:val="0"/>
                    <w:jc w:val="center"/>
                    <w:rPr>
                      <w:rFonts w:hint="eastAsia" w:ascii="Times New Roman" w:hAnsi="Times New Roman" w:eastAsia="宋体" w:cs="宋体"/>
                      <w:color w:val="auto"/>
                      <w:kern w:val="2"/>
                      <w:sz w:val="21"/>
                      <w:szCs w:val="24"/>
                      <w:lang w:val="en-US" w:eastAsia="zh-CN" w:bidi="ar-SA"/>
                    </w:rPr>
                  </w:pPr>
                  <w:r>
                    <w:rPr>
                      <w:rFonts w:hint="eastAsia" w:cs="宋体"/>
                      <w:color w:val="auto"/>
                    </w:rPr>
                    <w:t>氧化铁屑</w:t>
                  </w:r>
                </w:p>
              </w:tc>
              <w:tc>
                <w:tcPr>
                  <w:tcW w:w="483" w:type="pct"/>
                  <w:shd w:val="clear" w:color="auto" w:fill="auto"/>
                  <w:vAlign w:val="center"/>
                </w:tcPr>
                <w:p w14:paraId="36A61B30">
                  <w:pPr>
                    <w:adjustRightInd w:val="0"/>
                    <w:snapToGrid w:val="0"/>
                    <w:jc w:val="center"/>
                    <w:rPr>
                      <w:rFonts w:hint="eastAsia" w:ascii="Times New Roman" w:hAnsi="Times New Roman" w:eastAsia="宋体" w:cs="宋体"/>
                      <w:bCs/>
                      <w:color w:val="auto"/>
                      <w:spacing w:val="-10"/>
                      <w:kern w:val="2"/>
                      <w:sz w:val="21"/>
                      <w:szCs w:val="21"/>
                      <w:lang w:val="en-US" w:eastAsia="zh-CN" w:bidi="ar-SA"/>
                    </w:rPr>
                  </w:pPr>
                  <w:r>
                    <w:rPr>
                      <w:rFonts w:hint="eastAsia" w:cs="宋体"/>
                      <w:bCs/>
                      <w:color w:val="auto"/>
                      <w:spacing w:val="-10"/>
                      <w:szCs w:val="21"/>
                    </w:rPr>
                    <w:t>固态</w:t>
                  </w:r>
                </w:p>
              </w:tc>
              <w:tc>
                <w:tcPr>
                  <w:tcW w:w="620" w:type="pct"/>
                  <w:shd w:val="clear" w:color="auto" w:fill="auto"/>
                  <w:vAlign w:val="center"/>
                </w:tcPr>
                <w:p w14:paraId="60540B35">
                  <w:pPr>
                    <w:adjustRightInd w:val="0"/>
                    <w:snapToGrid w:val="0"/>
                    <w:jc w:val="center"/>
                    <w:rPr>
                      <w:rFonts w:hint="eastAsia" w:ascii="Times New Roman" w:hAnsi="Times New Roman" w:eastAsia="宋体" w:cs="宋体"/>
                      <w:bCs/>
                      <w:color w:val="auto"/>
                      <w:spacing w:val="-10"/>
                      <w:kern w:val="2"/>
                      <w:sz w:val="21"/>
                      <w:szCs w:val="21"/>
                      <w:lang w:val="en-US" w:eastAsia="zh-CN" w:bidi="ar-SA"/>
                    </w:rPr>
                  </w:pPr>
                  <w:r>
                    <w:rPr>
                      <w:rFonts w:hint="eastAsia" w:cs="宋体"/>
                      <w:bCs/>
                      <w:color w:val="auto"/>
                      <w:spacing w:val="-10"/>
                      <w:szCs w:val="21"/>
                    </w:rPr>
                    <w:t>一般固废</w:t>
                  </w:r>
                </w:p>
              </w:tc>
              <w:tc>
                <w:tcPr>
                  <w:tcW w:w="899" w:type="pct"/>
                  <w:shd w:val="clear" w:color="auto" w:fill="auto"/>
                  <w:vAlign w:val="center"/>
                </w:tcPr>
                <w:p w14:paraId="5BB94608">
                  <w:pPr>
                    <w:adjustRightInd w:val="0"/>
                    <w:snapToGrid w:val="0"/>
                    <w:jc w:val="center"/>
                    <w:rPr>
                      <w:rFonts w:ascii="Times New Roman" w:hAnsi="Times New Roman" w:eastAsia="宋体" w:cs="宋体"/>
                      <w:bCs/>
                      <w:color w:val="auto"/>
                      <w:spacing w:val="-10"/>
                      <w:kern w:val="2"/>
                      <w:sz w:val="21"/>
                      <w:szCs w:val="21"/>
                      <w:lang w:val="en-US" w:eastAsia="zh-CN" w:bidi="ar-SA"/>
                    </w:rPr>
                  </w:pPr>
                  <w:r>
                    <w:rPr>
                      <w:rFonts w:hint="eastAsia" w:cs="宋体"/>
                      <w:bCs/>
                      <w:color w:val="auto"/>
                      <w:spacing w:val="-10"/>
                      <w:szCs w:val="21"/>
                    </w:rPr>
                    <w:t>900-099-S59</w:t>
                  </w:r>
                </w:p>
              </w:tc>
              <w:tc>
                <w:tcPr>
                  <w:tcW w:w="1196" w:type="pct"/>
                  <w:vMerge w:val="continue"/>
                  <w:vAlign w:val="center"/>
                </w:tcPr>
                <w:p w14:paraId="1257BC3F">
                  <w:pPr>
                    <w:adjustRightInd w:val="0"/>
                    <w:snapToGrid w:val="0"/>
                    <w:jc w:val="center"/>
                    <w:rPr>
                      <w:rFonts w:cs="宋体"/>
                      <w:bCs/>
                      <w:color w:val="auto"/>
                      <w:spacing w:val="-10"/>
                      <w:szCs w:val="21"/>
                    </w:rPr>
                  </w:pPr>
                </w:p>
              </w:tc>
            </w:tr>
            <w:tr w14:paraId="3357E4C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316" w:type="pct"/>
                  <w:shd w:val="clear" w:color="auto" w:fill="auto"/>
                  <w:vAlign w:val="center"/>
                </w:tcPr>
                <w:p w14:paraId="5887FDA5">
                  <w:pPr>
                    <w:adjustRightInd w:val="0"/>
                    <w:snapToGrid w:val="0"/>
                    <w:jc w:val="center"/>
                    <w:rPr>
                      <w:rFonts w:ascii="Times New Roman" w:hAnsi="Times New Roman" w:eastAsia="宋体" w:cs="宋体"/>
                      <w:bCs/>
                      <w:color w:val="auto"/>
                      <w:spacing w:val="-10"/>
                      <w:kern w:val="2"/>
                      <w:sz w:val="21"/>
                      <w:szCs w:val="21"/>
                      <w:lang w:val="en-US" w:eastAsia="zh-CN" w:bidi="ar-SA"/>
                    </w:rPr>
                  </w:pPr>
                  <w:r>
                    <w:rPr>
                      <w:rFonts w:hint="eastAsia" w:cs="宋体"/>
                      <w:bCs/>
                      <w:color w:val="auto"/>
                      <w:spacing w:val="-10"/>
                      <w:szCs w:val="21"/>
                    </w:rPr>
                    <w:t>3</w:t>
                  </w:r>
                </w:p>
              </w:tc>
              <w:tc>
                <w:tcPr>
                  <w:tcW w:w="633" w:type="pct"/>
                  <w:vMerge w:val="restart"/>
                  <w:vAlign w:val="center"/>
                </w:tcPr>
                <w:p w14:paraId="363B5291">
                  <w:pPr>
                    <w:adjustRightInd w:val="0"/>
                    <w:snapToGrid w:val="0"/>
                    <w:jc w:val="center"/>
                    <w:rPr>
                      <w:rFonts w:cs="宋体"/>
                      <w:bCs/>
                      <w:color w:val="auto"/>
                      <w:spacing w:val="-10"/>
                      <w:szCs w:val="21"/>
                    </w:rPr>
                  </w:pPr>
                  <w:r>
                    <w:rPr>
                      <w:rFonts w:hint="eastAsia" w:cs="宋体"/>
                      <w:bCs/>
                      <w:color w:val="auto"/>
                      <w:spacing w:val="-10"/>
                      <w:szCs w:val="21"/>
                    </w:rPr>
                    <w:t>抛丸工序</w:t>
                  </w:r>
                </w:p>
              </w:tc>
              <w:tc>
                <w:tcPr>
                  <w:tcW w:w="849" w:type="pct"/>
                  <w:vAlign w:val="center"/>
                </w:tcPr>
                <w:p w14:paraId="39A46687">
                  <w:pPr>
                    <w:adjustRightInd w:val="0"/>
                    <w:snapToGrid w:val="0"/>
                    <w:jc w:val="center"/>
                    <w:rPr>
                      <w:rFonts w:cs="宋体"/>
                      <w:bCs/>
                      <w:color w:val="auto"/>
                      <w:spacing w:val="-10"/>
                      <w:szCs w:val="21"/>
                    </w:rPr>
                  </w:pPr>
                  <w:r>
                    <w:rPr>
                      <w:rFonts w:hint="eastAsia" w:cs="宋体"/>
                      <w:bCs/>
                      <w:color w:val="auto"/>
                      <w:spacing w:val="-10"/>
                      <w:szCs w:val="21"/>
                    </w:rPr>
                    <w:t>废钢丸</w:t>
                  </w:r>
                </w:p>
              </w:tc>
              <w:tc>
                <w:tcPr>
                  <w:tcW w:w="483" w:type="pct"/>
                  <w:vAlign w:val="center"/>
                </w:tcPr>
                <w:p w14:paraId="3BC718D5">
                  <w:pPr>
                    <w:adjustRightInd w:val="0"/>
                    <w:snapToGrid w:val="0"/>
                    <w:jc w:val="center"/>
                    <w:rPr>
                      <w:rFonts w:cs="宋体"/>
                      <w:bCs/>
                      <w:color w:val="auto"/>
                      <w:spacing w:val="-10"/>
                      <w:szCs w:val="21"/>
                    </w:rPr>
                  </w:pPr>
                  <w:r>
                    <w:rPr>
                      <w:rFonts w:hint="eastAsia" w:cs="宋体"/>
                      <w:bCs/>
                      <w:color w:val="auto"/>
                      <w:spacing w:val="-10"/>
                      <w:szCs w:val="21"/>
                    </w:rPr>
                    <w:t>固态</w:t>
                  </w:r>
                </w:p>
              </w:tc>
              <w:tc>
                <w:tcPr>
                  <w:tcW w:w="620" w:type="pct"/>
                  <w:vAlign w:val="center"/>
                </w:tcPr>
                <w:p w14:paraId="14131047">
                  <w:pPr>
                    <w:adjustRightInd w:val="0"/>
                    <w:snapToGrid w:val="0"/>
                    <w:jc w:val="center"/>
                    <w:rPr>
                      <w:rFonts w:cs="宋体"/>
                      <w:bCs/>
                      <w:color w:val="auto"/>
                      <w:spacing w:val="-10"/>
                      <w:szCs w:val="21"/>
                    </w:rPr>
                  </w:pPr>
                  <w:r>
                    <w:rPr>
                      <w:rFonts w:hint="eastAsia" w:cs="宋体"/>
                      <w:bCs/>
                      <w:color w:val="auto"/>
                      <w:spacing w:val="-10"/>
                      <w:szCs w:val="21"/>
                    </w:rPr>
                    <w:t>一般固废</w:t>
                  </w:r>
                </w:p>
              </w:tc>
              <w:tc>
                <w:tcPr>
                  <w:tcW w:w="899" w:type="pct"/>
                  <w:vAlign w:val="center"/>
                </w:tcPr>
                <w:p w14:paraId="3518D37D">
                  <w:pPr>
                    <w:adjustRightInd w:val="0"/>
                    <w:snapToGrid w:val="0"/>
                    <w:jc w:val="center"/>
                    <w:rPr>
                      <w:rFonts w:cs="宋体"/>
                      <w:bCs/>
                      <w:color w:val="auto"/>
                      <w:spacing w:val="-10"/>
                      <w:szCs w:val="21"/>
                    </w:rPr>
                  </w:pPr>
                  <w:r>
                    <w:rPr>
                      <w:rFonts w:cs="宋体"/>
                      <w:bCs/>
                      <w:color w:val="auto"/>
                      <w:spacing w:val="-10"/>
                      <w:szCs w:val="21"/>
                    </w:rPr>
                    <w:t>900-001-S17</w:t>
                  </w:r>
                </w:p>
              </w:tc>
              <w:tc>
                <w:tcPr>
                  <w:tcW w:w="1196" w:type="pct"/>
                  <w:vMerge w:val="continue"/>
                  <w:vAlign w:val="center"/>
                </w:tcPr>
                <w:p w14:paraId="20C3D52A">
                  <w:pPr>
                    <w:adjustRightInd w:val="0"/>
                    <w:snapToGrid w:val="0"/>
                    <w:jc w:val="center"/>
                    <w:rPr>
                      <w:rFonts w:cs="宋体"/>
                      <w:bCs/>
                      <w:color w:val="auto"/>
                      <w:spacing w:val="-10"/>
                      <w:szCs w:val="21"/>
                    </w:rPr>
                  </w:pPr>
                </w:p>
              </w:tc>
            </w:tr>
            <w:tr w14:paraId="3143B23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316" w:type="pct"/>
                  <w:shd w:val="clear" w:color="auto" w:fill="auto"/>
                  <w:vAlign w:val="center"/>
                </w:tcPr>
                <w:p w14:paraId="2F2A4F27">
                  <w:pPr>
                    <w:adjustRightInd w:val="0"/>
                    <w:snapToGrid w:val="0"/>
                    <w:jc w:val="center"/>
                    <w:rPr>
                      <w:rFonts w:ascii="Times New Roman" w:hAnsi="Times New Roman" w:eastAsia="宋体" w:cs="宋体"/>
                      <w:bCs/>
                      <w:color w:val="auto"/>
                      <w:spacing w:val="-10"/>
                      <w:kern w:val="2"/>
                      <w:sz w:val="21"/>
                      <w:szCs w:val="21"/>
                      <w:lang w:val="en-US" w:eastAsia="zh-CN" w:bidi="ar-SA"/>
                    </w:rPr>
                  </w:pPr>
                  <w:r>
                    <w:rPr>
                      <w:rFonts w:hint="eastAsia" w:cs="宋体"/>
                      <w:bCs/>
                      <w:color w:val="auto"/>
                      <w:spacing w:val="-10"/>
                      <w:szCs w:val="21"/>
                    </w:rPr>
                    <w:t>4</w:t>
                  </w:r>
                </w:p>
              </w:tc>
              <w:tc>
                <w:tcPr>
                  <w:tcW w:w="633" w:type="pct"/>
                  <w:vMerge w:val="continue"/>
                  <w:vAlign w:val="center"/>
                </w:tcPr>
                <w:p w14:paraId="2BA60BC0">
                  <w:pPr>
                    <w:adjustRightInd w:val="0"/>
                    <w:snapToGrid w:val="0"/>
                    <w:jc w:val="center"/>
                    <w:rPr>
                      <w:rFonts w:cs="宋体"/>
                      <w:bCs/>
                      <w:color w:val="auto"/>
                      <w:spacing w:val="-10"/>
                      <w:szCs w:val="21"/>
                    </w:rPr>
                  </w:pPr>
                </w:p>
              </w:tc>
              <w:tc>
                <w:tcPr>
                  <w:tcW w:w="849" w:type="pct"/>
                  <w:vAlign w:val="center"/>
                </w:tcPr>
                <w:p w14:paraId="57A4F7A3">
                  <w:pPr>
                    <w:adjustRightInd w:val="0"/>
                    <w:snapToGrid w:val="0"/>
                    <w:jc w:val="center"/>
                    <w:rPr>
                      <w:rFonts w:cs="宋体"/>
                      <w:color w:val="auto"/>
                    </w:rPr>
                  </w:pPr>
                  <w:r>
                    <w:rPr>
                      <w:rFonts w:hint="eastAsia" w:cs="宋体"/>
                      <w:color w:val="auto"/>
                    </w:rPr>
                    <w:t>氧化铁屑</w:t>
                  </w:r>
                </w:p>
              </w:tc>
              <w:tc>
                <w:tcPr>
                  <w:tcW w:w="483" w:type="pct"/>
                  <w:vAlign w:val="center"/>
                </w:tcPr>
                <w:p w14:paraId="3055CCBF">
                  <w:pPr>
                    <w:adjustRightInd w:val="0"/>
                    <w:snapToGrid w:val="0"/>
                    <w:jc w:val="center"/>
                    <w:rPr>
                      <w:rFonts w:cs="宋体"/>
                      <w:bCs/>
                      <w:color w:val="auto"/>
                      <w:spacing w:val="-10"/>
                      <w:szCs w:val="21"/>
                    </w:rPr>
                  </w:pPr>
                  <w:r>
                    <w:rPr>
                      <w:rFonts w:hint="eastAsia" w:cs="宋体"/>
                      <w:bCs/>
                      <w:color w:val="auto"/>
                      <w:spacing w:val="-10"/>
                      <w:szCs w:val="21"/>
                    </w:rPr>
                    <w:t>固态</w:t>
                  </w:r>
                </w:p>
              </w:tc>
              <w:tc>
                <w:tcPr>
                  <w:tcW w:w="620" w:type="pct"/>
                  <w:vAlign w:val="center"/>
                </w:tcPr>
                <w:p w14:paraId="10A606D7">
                  <w:pPr>
                    <w:adjustRightInd w:val="0"/>
                    <w:snapToGrid w:val="0"/>
                    <w:jc w:val="center"/>
                    <w:rPr>
                      <w:rFonts w:cs="宋体"/>
                      <w:bCs/>
                      <w:color w:val="auto"/>
                      <w:spacing w:val="-10"/>
                      <w:szCs w:val="21"/>
                    </w:rPr>
                  </w:pPr>
                  <w:r>
                    <w:rPr>
                      <w:rFonts w:hint="eastAsia" w:cs="宋体"/>
                      <w:bCs/>
                      <w:color w:val="auto"/>
                      <w:spacing w:val="-10"/>
                      <w:szCs w:val="21"/>
                    </w:rPr>
                    <w:t>一般固废</w:t>
                  </w:r>
                </w:p>
              </w:tc>
              <w:tc>
                <w:tcPr>
                  <w:tcW w:w="899" w:type="pct"/>
                  <w:vAlign w:val="center"/>
                </w:tcPr>
                <w:p w14:paraId="03AE7CEF">
                  <w:pPr>
                    <w:adjustRightInd w:val="0"/>
                    <w:snapToGrid w:val="0"/>
                    <w:jc w:val="center"/>
                    <w:rPr>
                      <w:rFonts w:cs="宋体"/>
                      <w:bCs/>
                      <w:color w:val="auto"/>
                      <w:spacing w:val="-10"/>
                      <w:szCs w:val="21"/>
                    </w:rPr>
                  </w:pPr>
                  <w:r>
                    <w:rPr>
                      <w:rFonts w:hint="eastAsia" w:cs="宋体"/>
                      <w:bCs/>
                      <w:color w:val="auto"/>
                      <w:spacing w:val="-10"/>
                      <w:szCs w:val="21"/>
                    </w:rPr>
                    <w:t>900-099-S59</w:t>
                  </w:r>
                </w:p>
              </w:tc>
              <w:tc>
                <w:tcPr>
                  <w:tcW w:w="1196" w:type="pct"/>
                  <w:vMerge w:val="continue"/>
                  <w:vAlign w:val="center"/>
                </w:tcPr>
                <w:p w14:paraId="10E2F4EF">
                  <w:pPr>
                    <w:adjustRightInd w:val="0"/>
                    <w:snapToGrid w:val="0"/>
                    <w:jc w:val="center"/>
                    <w:rPr>
                      <w:rFonts w:cs="宋体"/>
                      <w:bCs/>
                      <w:color w:val="auto"/>
                      <w:spacing w:val="-10"/>
                      <w:szCs w:val="21"/>
                    </w:rPr>
                  </w:pPr>
                </w:p>
              </w:tc>
            </w:tr>
            <w:tr w14:paraId="67D9878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316" w:type="pct"/>
                  <w:shd w:val="clear" w:color="auto" w:fill="auto"/>
                  <w:vAlign w:val="center"/>
                </w:tcPr>
                <w:p w14:paraId="3042A247">
                  <w:pPr>
                    <w:adjustRightInd w:val="0"/>
                    <w:snapToGrid w:val="0"/>
                    <w:jc w:val="center"/>
                    <w:rPr>
                      <w:rFonts w:ascii="Times New Roman" w:hAnsi="Times New Roman" w:eastAsia="宋体" w:cs="宋体"/>
                      <w:bCs/>
                      <w:color w:val="auto"/>
                      <w:spacing w:val="-10"/>
                      <w:kern w:val="2"/>
                      <w:sz w:val="21"/>
                      <w:szCs w:val="21"/>
                      <w:lang w:val="en-US" w:eastAsia="zh-CN" w:bidi="ar-SA"/>
                    </w:rPr>
                  </w:pPr>
                  <w:r>
                    <w:rPr>
                      <w:rFonts w:hint="eastAsia" w:cs="宋体"/>
                      <w:bCs/>
                      <w:color w:val="auto"/>
                      <w:spacing w:val="-10"/>
                      <w:szCs w:val="21"/>
                    </w:rPr>
                    <w:t>5</w:t>
                  </w:r>
                </w:p>
              </w:tc>
              <w:tc>
                <w:tcPr>
                  <w:tcW w:w="633" w:type="pct"/>
                  <w:vMerge w:val="restart"/>
                  <w:vAlign w:val="center"/>
                </w:tcPr>
                <w:p w14:paraId="138C1019">
                  <w:pPr>
                    <w:adjustRightInd w:val="0"/>
                    <w:snapToGrid w:val="0"/>
                    <w:jc w:val="center"/>
                    <w:rPr>
                      <w:rFonts w:cs="宋体"/>
                      <w:bCs/>
                      <w:color w:val="auto"/>
                      <w:spacing w:val="-10"/>
                      <w:szCs w:val="21"/>
                    </w:rPr>
                  </w:pPr>
                  <w:r>
                    <w:rPr>
                      <w:rFonts w:hint="eastAsia" w:cs="宋体"/>
                      <w:bCs/>
                      <w:color w:val="auto"/>
                      <w:spacing w:val="-10"/>
                      <w:szCs w:val="21"/>
                    </w:rPr>
                    <w:t>滤筒除尘器</w:t>
                  </w:r>
                </w:p>
              </w:tc>
              <w:tc>
                <w:tcPr>
                  <w:tcW w:w="849" w:type="pct"/>
                  <w:vAlign w:val="center"/>
                </w:tcPr>
                <w:p w14:paraId="16D61CA9">
                  <w:pPr>
                    <w:adjustRightInd w:val="0"/>
                    <w:snapToGrid w:val="0"/>
                    <w:jc w:val="center"/>
                    <w:rPr>
                      <w:rFonts w:cs="宋体"/>
                      <w:bCs/>
                      <w:color w:val="auto"/>
                      <w:spacing w:val="-10"/>
                      <w:szCs w:val="21"/>
                    </w:rPr>
                  </w:pPr>
                  <w:r>
                    <w:rPr>
                      <w:rFonts w:hint="eastAsia" w:cs="宋体"/>
                      <w:color w:val="auto"/>
                    </w:rPr>
                    <w:t>除尘灰</w:t>
                  </w:r>
                </w:p>
              </w:tc>
              <w:tc>
                <w:tcPr>
                  <w:tcW w:w="483" w:type="pct"/>
                  <w:vAlign w:val="center"/>
                </w:tcPr>
                <w:p w14:paraId="48363F05">
                  <w:pPr>
                    <w:adjustRightInd w:val="0"/>
                    <w:snapToGrid w:val="0"/>
                    <w:jc w:val="center"/>
                    <w:rPr>
                      <w:rFonts w:cs="宋体"/>
                      <w:bCs/>
                      <w:color w:val="auto"/>
                      <w:spacing w:val="-10"/>
                      <w:szCs w:val="21"/>
                    </w:rPr>
                  </w:pPr>
                  <w:r>
                    <w:rPr>
                      <w:rFonts w:hint="eastAsia" w:cs="宋体"/>
                      <w:bCs/>
                      <w:color w:val="auto"/>
                      <w:spacing w:val="-10"/>
                      <w:szCs w:val="21"/>
                    </w:rPr>
                    <w:t>固态</w:t>
                  </w:r>
                </w:p>
              </w:tc>
              <w:tc>
                <w:tcPr>
                  <w:tcW w:w="620" w:type="pct"/>
                  <w:vAlign w:val="center"/>
                </w:tcPr>
                <w:p w14:paraId="06EA4EE9">
                  <w:pPr>
                    <w:adjustRightInd w:val="0"/>
                    <w:snapToGrid w:val="0"/>
                    <w:jc w:val="center"/>
                    <w:rPr>
                      <w:rFonts w:cs="宋体"/>
                      <w:bCs/>
                      <w:color w:val="auto"/>
                      <w:spacing w:val="-10"/>
                      <w:szCs w:val="21"/>
                    </w:rPr>
                  </w:pPr>
                  <w:r>
                    <w:rPr>
                      <w:rFonts w:hint="eastAsia" w:cs="宋体"/>
                      <w:bCs/>
                      <w:color w:val="auto"/>
                      <w:spacing w:val="-10"/>
                      <w:szCs w:val="21"/>
                    </w:rPr>
                    <w:t>一般固废</w:t>
                  </w:r>
                </w:p>
              </w:tc>
              <w:tc>
                <w:tcPr>
                  <w:tcW w:w="899" w:type="pct"/>
                  <w:vAlign w:val="center"/>
                </w:tcPr>
                <w:p w14:paraId="3B01EC34">
                  <w:pPr>
                    <w:adjustRightInd w:val="0"/>
                    <w:snapToGrid w:val="0"/>
                    <w:jc w:val="center"/>
                    <w:rPr>
                      <w:rFonts w:cs="宋体"/>
                      <w:bCs/>
                      <w:color w:val="auto"/>
                      <w:spacing w:val="-10"/>
                      <w:szCs w:val="21"/>
                    </w:rPr>
                  </w:pPr>
                  <w:r>
                    <w:rPr>
                      <w:rFonts w:hint="eastAsia" w:cs="宋体"/>
                      <w:bCs/>
                      <w:color w:val="auto"/>
                      <w:spacing w:val="-10"/>
                      <w:szCs w:val="21"/>
                    </w:rPr>
                    <w:t>900-099-S59</w:t>
                  </w:r>
                </w:p>
              </w:tc>
              <w:tc>
                <w:tcPr>
                  <w:tcW w:w="1196" w:type="pct"/>
                  <w:vMerge w:val="continue"/>
                  <w:vAlign w:val="center"/>
                </w:tcPr>
                <w:p w14:paraId="6DF5E49F">
                  <w:pPr>
                    <w:adjustRightInd w:val="0"/>
                    <w:snapToGrid w:val="0"/>
                    <w:jc w:val="center"/>
                    <w:rPr>
                      <w:rFonts w:cs="宋体"/>
                      <w:bCs/>
                      <w:color w:val="auto"/>
                      <w:spacing w:val="-10"/>
                      <w:szCs w:val="21"/>
                    </w:rPr>
                  </w:pPr>
                </w:p>
              </w:tc>
            </w:tr>
            <w:tr w14:paraId="453241E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316" w:type="pct"/>
                  <w:shd w:val="clear" w:color="auto" w:fill="auto"/>
                  <w:vAlign w:val="center"/>
                </w:tcPr>
                <w:p w14:paraId="1BF6572C">
                  <w:pPr>
                    <w:adjustRightInd w:val="0"/>
                    <w:snapToGrid w:val="0"/>
                    <w:jc w:val="center"/>
                    <w:rPr>
                      <w:rFonts w:ascii="Times New Roman" w:hAnsi="Times New Roman" w:eastAsia="宋体" w:cs="宋体"/>
                      <w:bCs/>
                      <w:color w:val="auto"/>
                      <w:spacing w:val="-10"/>
                      <w:kern w:val="2"/>
                      <w:sz w:val="21"/>
                      <w:szCs w:val="21"/>
                      <w:lang w:val="en-US" w:eastAsia="zh-CN" w:bidi="ar-SA"/>
                    </w:rPr>
                  </w:pPr>
                  <w:r>
                    <w:rPr>
                      <w:rFonts w:hint="eastAsia" w:cs="宋体"/>
                      <w:bCs/>
                      <w:color w:val="auto"/>
                      <w:spacing w:val="-10"/>
                      <w:szCs w:val="21"/>
                    </w:rPr>
                    <w:t>6</w:t>
                  </w:r>
                </w:p>
              </w:tc>
              <w:tc>
                <w:tcPr>
                  <w:tcW w:w="633" w:type="pct"/>
                  <w:vMerge w:val="continue"/>
                  <w:vAlign w:val="center"/>
                </w:tcPr>
                <w:p w14:paraId="70C7A54A">
                  <w:pPr>
                    <w:adjustRightInd w:val="0"/>
                    <w:snapToGrid w:val="0"/>
                    <w:jc w:val="center"/>
                    <w:rPr>
                      <w:rFonts w:cs="宋体"/>
                      <w:bCs/>
                      <w:color w:val="auto"/>
                      <w:spacing w:val="-10"/>
                      <w:szCs w:val="21"/>
                    </w:rPr>
                  </w:pPr>
                </w:p>
              </w:tc>
              <w:tc>
                <w:tcPr>
                  <w:tcW w:w="849" w:type="pct"/>
                  <w:vAlign w:val="center"/>
                </w:tcPr>
                <w:p w14:paraId="6A10EC82">
                  <w:pPr>
                    <w:adjustRightInd w:val="0"/>
                    <w:snapToGrid w:val="0"/>
                    <w:jc w:val="center"/>
                    <w:rPr>
                      <w:rFonts w:cs="宋体"/>
                      <w:bCs/>
                      <w:color w:val="auto"/>
                      <w:spacing w:val="-10"/>
                      <w:szCs w:val="21"/>
                    </w:rPr>
                  </w:pPr>
                  <w:r>
                    <w:rPr>
                      <w:rFonts w:hint="eastAsia" w:cs="宋体"/>
                      <w:bCs/>
                      <w:color w:val="auto"/>
                      <w:spacing w:val="-10"/>
                      <w:szCs w:val="21"/>
                    </w:rPr>
                    <w:t>废滤筒</w:t>
                  </w:r>
                </w:p>
              </w:tc>
              <w:tc>
                <w:tcPr>
                  <w:tcW w:w="483" w:type="pct"/>
                  <w:vAlign w:val="center"/>
                </w:tcPr>
                <w:p w14:paraId="7A5F57D8">
                  <w:pPr>
                    <w:adjustRightInd w:val="0"/>
                    <w:snapToGrid w:val="0"/>
                    <w:jc w:val="center"/>
                    <w:rPr>
                      <w:rFonts w:cs="宋体"/>
                      <w:bCs/>
                      <w:color w:val="auto"/>
                      <w:spacing w:val="-10"/>
                      <w:szCs w:val="21"/>
                    </w:rPr>
                  </w:pPr>
                  <w:r>
                    <w:rPr>
                      <w:rFonts w:hint="eastAsia" w:cs="宋体"/>
                      <w:bCs/>
                      <w:color w:val="auto"/>
                      <w:spacing w:val="-10"/>
                      <w:szCs w:val="21"/>
                    </w:rPr>
                    <w:t>固态</w:t>
                  </w:r>
                </w:p>
              </w:tc>
              <w:tc>
                <w:tcPr>
                  <w:tcW w:w="620" w:type="pct"/>
                  <w:vAlign w:val="center"/>
                </w:tcPr>
                <w:p w14:paraId="59FD7336">
                  <w:pPr>
                    <w:adjustRightInd w:val="0"/>
                    <w:snapToGrid w:val="0"/>
                    <w:jc w:val="center"/>
                    <w:rPr>
                      <w:rFonts w:cs="宋体"/>
                      <w:bCs/>
                      <w:color w:val="auto"/>
                      <w:spacing w:val="-10"/>
                      <w:szCs w:val="21"/>
                    </w:rPr>
                  </w:pPr>
                  <w:r>
                    <w:rPr>
                      <w:rFonts w:hint="eastAsia" w:cs="宋体"/>
                      <w:bCs/>
                      <w:color w:val="auto"/>
                      <w:spacing w:val="-10"/>
                      <w:szCs w:val="21"/>
                    </w:rPr>
                    <w:t>一般固废</w:t>
                  </w:r>
                </w:p>
              </w:tc>
              <w:tc>
                <w:tcPr>
                  <w:tcW w:w="899" w:type="pct"/>
                  <w:vAlign w:val="center"/>
                </w:tcPr>
                <w:p w14:paraId="314DCEC7">
                  <w:pPr>
                    <w:adjustRightInd w:val="0"/>
                    <w:snapToGrid w:val="0"/>
                    <w:jc w:val="center"/>
                    <w:rPr>
                      <w:rFonts w:cs="宋体"/>
                      <w:bCs/>
                      <w:color w:val="auto"/>
                      <w:spacing w:val="-10"/>
                      <w:szCs w:val="21"/>
                    </w:rPr>
                  </w:pPr>
                  <w:r>
                    <w:rPr>
                      <w:rFonts w:hint="eastAsia" w:cs="宋体"/>
                      <w:bCs/>
                      <w:color w:val="auto"/>
                      <w:spacing w:val="-10"/>
                      <w:szCs w:val="21"/>
                    </w:rPr>
                    <w:t>900-009-S59</w:t>
                  </w:r>
                </w:p>
              </w:tc>
              <w:tc>
                <w:tcPr>
                  <w:tcW w:w="1196" w:type="pct"/>
                  <w:vMerge w:val="continue"/>
                  <w:vAlign w:val="center"/>
                </w:tcPr>
                <w:p w14:paraId="70DE0908">
                  <w:pPr>
                    <w:adjustRightInd w:val="0"/>
                    <w:snapToGrid w:val="0"/>
                    <w:jc w:val="center"/>
                    <w:rPr>
                      <w:rFonts w:cs="宋体"/>
                      <w:bCs/>
                      <w:color w:val="auto"/>
                      <w:spacing w:val="-10"/>
                      <w:szCs w:val="21"/>
                    </w:rPr>
                  </w:pPr>
                </w:p>
              </w:tc>
            </w:tr>
            <w:tr w14:paraId="6A47414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316" w:type="pct"/>
                  <w:shd w:val="clear" w:color="auto" w:fill="auto"/>
                  <w:vAlign w:val="center"/>
                </w:tcPr>
                <w:p w14:paraId="56EF8891">
                  <w:pPr>
                    <w:adjustRightInd w:val="0"/>
                    <w:snapToGrid w:val="0"/>
                    <w:jc w:val="center"/>
                    <w:rPr>
                      <w:rFonts w:hint="eastAsia" w:ascii="Times New Roman" w:hAnsi="Times New Roman" w:eastAsia="宋体" w:cs="宋体"/>
                      <w:bCs/>
                      <w:color w:val="auto"/>
                      <w:spacing w:val="-10"/>
                      <w:kern w:val="2"/>
                      <w:sz w:val="21"/>
                      <w:szCs w:val="21"/>
                      <w:lang w:val="en-US" w:eastAsia="zh-CN" w:bidi="ar-SA"/>
                    </w:rPr>
                  </w:pPr>
                  <w:r>
                    <w:rPr>
                      <w:rFonts w:hint="eastAsia" w:cs="宋体"/>
                      <w:bCs/>
                      <w:color w:val="auto"/>
                      <w:spacing w:val="-10"/>
                      <w:szCs w:val="21"/>
                      <w:lang w:val="en-US" w:eastAsia="zh-CN"/>
                    </w:rPr>
                    <w:t>7</w:t>
                  </w:r>
                </w:p>
              </w:tc>
              <w:tc>
                <w:tcPr>
                  <w:tcW w:w="633" w:type="pct"/>
                  <w:vMerge w:val="restart"/>
                  <w:vAlign w:val="center"/>
                </w:tcPr>
                <w:p w14:paraId="4EB46AE2">
                  <w:pPr>
                    <w:adjustRightInd w:val="0"/>
                    <w:snapToGrid w:val="0"/>
                    <w:jc w:val="center"/>
                    <w:rPr>
                      <w:rFonts w:cs="宋体"/>
                      <w:color w:val="auto"/>
                    </w:rPr>
                  </w:pPr>
                  <w:r>
                    <w:rPr>
                      <w:rFonts w:hint="eastAsia" w:cs="宋体"/>
                      <w:color w:val="auto"/>
                    </w:rPr>
                    <w:t>设备维修、保养</w:t>
                  </w:r>
                </w:p>
              </w:tc>
              <w:tc>
                <w:tcPr>
                  <w:tcW w:w="849" w:type="pct"/>
                  <w:vAlign w:val="center"/>
                </w:tcPr>
                <w:p w14:paraId="561B38A9">
                  <w:pPr>
                    <w:adjustRightInd w:val="0"/>
                    <w:snapToGrid w:val="0"/>
                    <w:jc w:val="center"/>
                    <w:rPr>
                      <w:rFonts w:cs="宋体"/>
                      <w:bCs/>
                      <w:color w:val="auto"/>
                      <w:spacing w:val="-10"/>
                      <w:szCs w:val="21"/>
                    </w:rPr>
                  </w:pPr>
                  <w:r>
                    <w:rPr>
                      <w:rFonts w:hint="eastAsia" w:cs="宋体"/>
                      <w:bCs/>
                      <w:color w:val="auto"/>
                      <w:spacing w:val="-10"/>
                      <w:szCs w:val="21"/>
                    </w:rPr>
                    <w:t>废润滑油</w:t>
                  </w:r>
                </w:p>
              </w:tc>
              <w:tc>
                <w:tcPr>
                  <w:tcW w:w="483" w:type="pct"/>
                  <w:vAlign w:val="center"/>
                </w:tcPr>
                <w:p w14:paraId="4D2E0C41">
                  <w:pPr>
                    <w:adjustRightInd w:val="0"/>
                    <w:snapToGrid w:val="0"/>
                    <w:jc w:val="center"/>
                    <w:rPr>
                      <w:rFonts w:cs="宋体"/>
                      <w:bCs/>
                      <w:color w:val="auto"/>
                      <w:spacing w:val="-10"/>
                      <w:szCs w:val="21"/>
                    </w:rPr>
                  </w:pPr>
                  <w:r>
                    <w:rPr>
                      <w:rFonts w:hint="eastAsia" w:cs="宋体"/>
                      <w:bCs/>
                      <w:color w:val="auto"/>
                      <w:spacing w:val="-10"/>
                      <w:szCs w:val="21"/>
                    </w:rPr>
                    <w:t>液态</w:t>
                  </w:r>
                </w:p>
              </w:tc>
              <w:tc>
                <w:tcPr>
                  <w:tcW w:w="620" w:type="pct"/>
                  <w:vAlign w:val="center"/>
                </w:tcPr>
                <w:p w14:paraId="450FB39D">
                  <w:pPr>
                    <w:adjustRightInd w:val="0"/>
                    <w:snapToGrid w:val="0"/>
                    <w:jc w:val="center"/>
                    <w:rPr>
                      <w:rFonts w:cs="宋体"/>
                      <w:bCs/>
                      <w:color w:val="auto"/>
                      <w:spacing w:val="-10"/>
                      <w:szCs w:val="21"/>
                    </w:rPr>
                  </w:pPr>
                  <w:r>
                    <w:rPr>
                      <w:rFonts w:hint="eastAsia" w:cs="宋体"/>
                      <w:bCs/>
                      <w:color w:val="auto"/>
                      <w:spacing w:val="-10"/>
                      <w:szCs w:val="21"/>
                    </w:rPr>
                    <w:t>危险废物</w:t>
                  </w:r>
                </w:p>
              </w:tc>
              <w:tc>
                <w:tcPr>
                  <w:tcW w:w="899" w:type="pct"/>
                  <w:vAlign w:val="center"/>
                </w:tcPr>
                <w:p w14:paraId="110FB37D">
                  <w:pPr>
                    <w:adjustRightInd w:val="0"/>
                    <w:snapToGrid w:val="0"/>
                    <w:jc w:val="center"/>
                    <w:rPr>
                      <w:rFonts w:cs="宋体"/>
                      <w:bCs/>
                      <w:color w:val="auto"/>
                      <w:spacing w:val="-10"/>
                      <w:szCs w:val="21"/>
                    </w:rPr>
                  </w:pPr>
                  <w:r>
                    <w:rPr>
                      <w:rFonts w:cs="宋体"/>
                      <w:bCs/>
                      <w:color w:val="auto"/>
                      <w:spacing w:val="-10"/>
                      <w:szCs w:val="21"/>
                    </w:rPr>
                    <w:t>900-2</w:t>
                  </w:r>
                  <w:r>
                    <w:rPr>
                      <w:rFonts w:hint="eastAsia" w:cs="宋体"/>
                      <w:bCs/>
                      <w:color w:val="auto"/>
                      <w:spacing w:val="-10"/>
                      <w:szCs w:val="21"/>
                    </w:rPr>
                    <w:t>1</w:t>
                  </w:r>
                  <w:r>
                    <w:rPr>
                      <w:rFonts w:hint="eastAsia" w:cs="宋体"/>
                      <w:bCs/>
                      <w:color w:val="auto"/>
                      <w:spacing w:val="-10"/>
                      <w:szCs w:val="21"/>
                      <w:lang w:val="en-US" w:eastAsia="zh-CN"/>
                    </w:rPr>
                    <w:t>7</w:t>
                  </w:r>
                  <w:r>
                    <w:rPr>
                      <w:rFonts w:cs="宋体"/>
                      <w:bCs/>
                      <w:color w:val="auto"/>
                      <w:spacing w:val="-10"/>
                      <w:szCs w:val="21"/>
                    </w:rPr>
                    <w:t>-08</w:t>
                  </w:r>
                </w:p>
              </w:tc>
              <w:tc>
                <w:tcPr>
                  <w:tcW w:w="1196" w:type="pct"/>
                  <w:vMerge w:val="restart"/>
                  <w:vAlign w:val="center"/>
                </w:tcPr>
                <w:p w14:paraId="646BDF3C">
                  <w:pPr>
                    <w:adjustRightInd w:val="0"/>
                    <w:snapToGrid w:val="0"/>
                    <w:jc w:val="center"/>
                    <w:rPr>
                      <w:rFonts w:cs="宋体"/>
                      <w:bCs/>
                      <w:color w:val="auto"/>
                      <w:spacing w:val="-10"/>
                      <w:szCs w:val="21"/>
                    </w:rPr>
                  </w:pPr>
                  <w:r>
                    <w:rPr>
                      <w:rFonts w:hint="eastAsia" w:cs="宋体"/>
                      <w:bCs/>
                      <w:color w:val="auto"/>
                      <w:spacing w:val="-10"/>
                      <w:szCs w:val="21"/>
                    </w:rPr>
                    <w:t>《国家危险废物名录》（2025年版）</w:t>
                  </w:r>
                </w:p>
              </w:tc>
            </w:tr>
            <w:tr w14:paraId="08C9150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316" w:type="pct"/>
                  <w:shd w:val="clear" w:color="auto" w:fill="auto"/>
                  <w:vAlign w:val="center"/>
                </w:tcPr>
                <w:p w14:paraId="0A48BFAD">
                  <w:pPr>
                    <w:adjustRightInd w:val="0"/>
                    <w:snapToGrid w:val="0"/>
                    <w:jc w:val="center"/>
                    <w:rPr>
                      <w:rFonts w:hint="eastAsia" w:ascii="Times New Roman" w:hAnsi="Times New Roman" w:eastAsia="宋体" w:cs="宋体"/>
                      <w:bCs/>
                      <w:color w:val="auto"/>
                      <w:spacing w:val="-10"/>
                      <w:kern w:val="2"/>
                      <w:sz w:val="21"/>
                      <w:szCs w:val="21"/>
                      <w:lang w:val="en-US" w:eastAsia="zh-CN" w:bidi="ar-SA"/>
                    </w:rPr>
                  </w:pPr>
                  <w:r>
                    <w:rPr>
                      <w:rFonts w:hint="eastAsia" w:cs="宋体"/>
                      <w:bCs/>
                      <w:color w:val="auto"/>
                      <w:spacing w:val="-10"/>
                      <w:szCs w:val="21"/>
                      <w:lang w:val="en-US" w:eastAsia="zh-CN"/>
                    </w:rPr>
                    <w:t>8</w:t>
                  </w:r>
                </w:p>
              </w:tc>
              <w:tc>
                <w:tcPr>
                  <w:tcW w:w="633" w:type="pct"/>
                  <w:vMerge w:val="continue"/>
                  <w:vAlign w:val="center"/>
                </w:tcPr>
                <w:p w14:paraId="46F1AE4D">
                  <w:pPr>
                    <w:adjustRightInd w:val="0"/>
                    <w:snapToGrid w:val="0"/>
                    <w:jc w:val="center"/>
                    <w:rPr>
                      <w:rFonts w:cs="宋体"/>
                      <w:bCs/>
                      <w:color w:val="auto"/>
                      <w:spacing w:val="-10"/>
                      <w:szCs w:val="21"/>
                    </w:rPr>
                  </w:pPr>
                </w:p>
              </w:tc>
              <w:tc>
                <w:tcPr>
                  <w:tcW w:w="849" w:type="pct"/>
                  <w:vAlign w:val="center"/>
                </w:tcPr>
                <w:p w14:paraId="781F16BE">
                  <w:pPr>
                    <w:adjustRightInd w:val="0"/>
                    <w:snapToGrid w:val="0"/>
                    <w:jc w:val="center"/>
                    <w:rPr>
                      <w:rFonts w:hint="eastAsia" w:cs="宋体"/>
                      <w:bCs/>
                      <w:color w:val="auto"/>
                      <w:spacing w:val="-10"/>
                      <w:szCs w:val="21"/>
                    </w:rPr>
                  </w:pPr>
                  <w:r>
                    <w:rPr>
                      <w:rFonts w:hint="eastAsia"/>
                      <w:color w:val="auto"/>
                      <w:szCs w:val="21"/>
                      <w:lang w:eastAsia="zh-CN"/>
                    </w:rPr>
                    <w:t>废液压油</w:t>
                  </w:r>
                </w:p>
              </w:tc>
              <w:tc>
                <w:tcPr>
                  <w:tcW w:w="483" w:type="pct"/>
                  <w:shd w:val="clear" w:color="auto" w:fill="auto"/>
                  <w:vAlign w:val="center"/>
                </w:tcPr>
                <w:p w14:paraId="747B1046">
                  <w:pPr>
                    <w:adjustRightInd w:val="0"/>
                    <w:snapToGrid w:val="0"/>
                    <w:jc w:val="center"/>
                    <w:rPr>
                      <w:rFonts w:hint="eastAsia" w:ascii="Times New Roman" w:hAnsi="Times New Roman" w:eastAsia="宋体" w:cs="宋体"/>
                      <w:bCs/>
                      <w:color w:val="auto"/>
                      <w:spacing w:val="-10"/>
                      <w:kern w:val="2"/>
                      <w:sz w:val="21"/>
                      <w:szCs w:val="21"/>
                      <w:lang w:val="en-US" w:eastAsia="zh-CN" w:bidi="ar-SA"/>
                    </w:rPr>
                  </w:pPr>
                  <w:r>
                    <w:rPr>
                      <w:rFonts w:hint="eastAsia" w:cs="宋体"/>
                      <w:bCs/>
                      <w:color w:val="auto"/>
                      <w:spacing w:val="-10"/>
                      <w:szCs w:val="21"/>
                    </w:rPr>
                    <w:t>液态</w:t>
                  </w:r>
                </w:p>
              </w:tc>
              <w:tc>
                <w:tcPr>
                  <w:tcW w:w="620" w:type="pct"/>
                  <w:shd w:val="clear" w:color="auto" w:fill="auto"/>
                  <w:vAlign w:val="center"/>
                </w:tcPr>
                <w:p w14:paraId="70D38CF1">
                  <w:pPr>
                    <w:adjustRightInd w:val="0"/>
                    <w:snapToGrid w:val="0"/>
                    <w:jc w:val="center"/>
                    <w:rPr>
                      <w:rFonts w:hint="eastAsia" w:ascii="Times New Roman" w:hAnsi="Times New Roman" w:eastAsia="宋体" w:cs="宋体"/>
                      <w:bCs/>
                      <w:color w:val="auto"/>
                      <w:spacing w:val="-10"/>
                      <w:kern w:val="2"/>
                      <w:sz w:val="21"/>
                      <w:szCs w:val="21"/>
                      <w:lang w:val="en-US" w:eastAsia="zh-CN" w:bidi="ar-SA"/>
                    </w:rPr>
                  </w:pPr>
                  <w:r>
                    <w:rPr>
                      <w:rFonts w:hint="eastAsia" w:cs="宋体"/>
                      <w:bCs/>
                      <w:color w:val="auto"/>
                      <w:spacing w:val="-10"/>
                      <w:szCs w:val="21"/>
                    </w:rPr>
                    <w:t>危险废物</w:t>
                  </w:r>
                </w:p>
              </w:tc>
              <w:tc>
                <w:tcPr>
                  <w:tcW w:w="899" w:type="pct"/>
                  <w:vAlign w:val="center"/>
                </w:tcPr>
                <w:p w14:paraId="111747DB">
                  <w:pPr>
                    <w:adjustRightInd w:val="0"/>
                    <w:snapToGrid w:val="0"/>
                    <w:jc w:val="center"/>
                    <w:rPr>
                      <w:rFonts w:cs="宋体"/>
                      <w:bCs/>
                      <w:color w:val="auto"/>
                      <w:spacing w:val="-10"/>
                      <w:szCs w:val="21"/>
                    </w:rPr>
                  </w:pPr>
                  <w:r>
                    <w:rPr>
                      <w:rFonts w:cs="宋体"/>
                      <w:bCs/>
                      <w:color w:val="auto"/>
                      <w:spacing w:val="-10"/>
                      <w:szCs w:val="21"/>
                    </w:rPr>
                    <w:t>900-2</w:t>
                  </w:r>
                  <w:r>
                    <w:rPr>
                      <w:rFonts w:hint="eastAsia" w:cs="宋体"/>
                      <w:bCs/>
                      <w:color w:val="auto"/>
                      <w:spacing w:val="-10"/>
                      <w:szCs w:val="21"/>
                    </w:rPr>
                    <w:t>1</w:t>
                  </w:r>
                  <w:r>
                    <w:rPr>
                      <w:rFonts w:hint="eastAsia" w:cs="宋体"/>
                      <w:bCs/>
                      <w:color w:val="auto"/>
                      <w:spacing w:val="-10"/>
                      <w:szCs w:val="21"/>
                      <w:lang w:val="en-US" w:eastAsia="zh-CN"/>
                    </w:rPr>
                    <w:t>8</w:t>
                  </w:r>
                  <w:r>
                    <w:rPr>
                      <w:rFonts w:cs="宋体"/>
                      <w:bCs/>
                      <w:color w:val="auto"/>
                      <w:spacing w:val="-10"/>
                      <w:szCs w:val="21"/>
                    </w:rPr>
                    <w:t>-08</w:t>
                  </w:r>
                </w:p>
              </w:tc>
              <w:tc>
                <w:tcPr>
                  <w:tcW w:w="1196" w:type="pct"/>
                  <w:vMerge w:val="continue"/>
                  <w:vAlign w:val="center"/>
                </w:tcPr>
                <w:p w14:paraId="766DB122">
                  <w:pPr>
                    <w:adjustRightInd w:val="0"/>
                    <w:snapToGrid w:val="0"/>
                    <w:jc w:val="center"/>
                    <w:rPr>
                      <w:rFonts w:cs="宋体"/>
                      <w:bCs/>
                      <w:color w:val="auto"/>
                      <w:spacing w:val="-10"/>
                      <w:szCs w:val="21"/>
                    </w:rPr>
                  </w:pPr>
                </w:p>
              </w:tc>
            </w:tr>
            <w:tr w14:paraId="725E613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316" w:type="pct"/>
                  <w:shd w:val="clear" w:color="auto" w:fill="auto"/>
                  <w:vAlign w:val="center"/>
                </w:tcPr>
                <w:p w14:paraId="7E3B8885">
                  <w:pPr>
                    <w:adjustRightInd w:val="0"/>
                    <w:snapToGrid w:val="0"/>
                    <w:jc w:val="center"/>
                    <w:rPr>
                      <w:rFonts w:hint="default" w:ascii="Times New Roman" w:hAnsi="Times New Roman" w:eastAsia="宋体" w:cs="宋体"/>
                      <w:bCs/>
                      <w:color w:val="auto"/>
                      <w:spacing w:val="-10"/>
                      <w:kern w:val="2"/>
                      <w:sz w:val="21"/>
                      <w:szCs w:val="21"/>
                      <w:lang w:val="en-US" w:eastAsia="zh-CN" w:bidi="ar-SA"/>
                    </w:rPr>
                  </w:pPr>
                  <w:r>
                    <w:rPr>
                      <w:rFonts w:hint="eastAsia" w:cs="宋体"/>
                      <w:bCs/>
                      <w:color w:val="auto"/>
                      <w:spacing w:val="-10"/>
                      <w:szCs w:val="21"/>
                      <w:lang w:val="en-US" w:eastAsia="zh-CN"/>
                    </w:rPr>
                    <w:t>9</w:t>
                  </w:r>
                </w:p>
              </w:tc>
              <w:tc>
                <w:tcPr>
                  <w:tcW w:w="633" w:type="pct"/>
                  <w:vMerge w:val="continue"/>
                  <w:vAlign w:val="center"/>
                </w:tcPr>
                <w:p w14:paraId="60A52ED5">
                  <w:pPr>
                    <w:adjustRightInd w:val="0"/>
                    <w:snapToGrid w:val="0"/>
                    <w:jc w:val="center"/>
                    <w:rPr>
                      <w:rFonts w:cs="宋体"/>
                      <w:bCs/>
                      <w:color w:val="auto"/>
                      <w:spacing w:val="-10"/>
                      <w:szCs w:val="21"/>
                    </w:rPr>
                  </w:pPr>
                </w:p>
              </w:tc>
              <w:tc>
                <w:tcPr>
                  <w:tcW w:w="849" w:type="pct"/>
                  <w:vAlign w:val="center"/>
                </w:tcPr>
                <w:p w14:paraId="201BD797">
                  <w:pPr>
                    <w:adjustRightInd w:val="0"/>
                    <w:snapToGrid w:val="0"/>
                    <w:jc w:val="center"/>
                    <w:rPr>
                      <w:rFonts w:cs="宋体"/>
                      <w:bCs/>
                      <w:color w:val="auto"/>
                      <w:spacing w:val="-10"/>
                      <w:szCs w:val="21"/>
                    </w:rPr>
                  </w:pPr>
                  <w:r>
                    <w:rPr>
                      <w:rFonts w:hint="eastAsia" w:cs="宋体"/>
                      <w:bCs/>
                      <w:color w:val="auto"/>
                      <w:spacing w:val="-10"/>
                      <w:szCs w:val="21"/>
                    </w:rPr>
                    <w:t>废油桶</w:t>
                  </w:r>
                </w:p>
              </w:tc>
              <w:tc>
                <w:tcPr>
                  <w:tcW w:w="483" w:type="pct"/>
                  <w:vAlign w:val="center"/>
                </w:tcPr>
                <w:p w14:paraId="6320F631">
                  <w:pPr>
                    <w:adjustRightInd w:val="0"/>
                    <w:snapToGrid w:val="0"/>
                    <w:jc w:val="center"/>
                    <w:rPr>
                      <w:rFonts w:cs="宋体"/>
                      <w:bCs/>
                      <w:color w:val="auto"/>
                      <w:spacing w:val="-10"/>
                      <w:szCs w:val="21"/>
                    </w:rPr>
                  </w:pPr>
                  <w:r>
                    <w:rPr>
                      <w:rFonts w:hint="eastAsia" w:cs="宋体"/>
                      <w:bCs/>
                      <w:color w:val="auto"/>
                      <w:spacing w:val="-10"/>
                      <w:szCs w:val="21"/>
                    </w:rPr>
                    <w:t>固态</w:t>
                  </w:r>
                </w:p>
              </w:tc>
              <w:tc>
                <w:tcPr>
                  <w:tcW w:w="620" w:type="pct"/>
                  <w:vAlign w:val="center"/>
                </w:tcPr>
                <w:p w14:paraId="7ABA8026">
                  <w:pPr>
                    <w:adjustRightInd w:val="0"/>
                    <w:snapToGrid w:val="0"/>
                    <w:jc w:val="center"/>
                    <w:rPr>
                      <w:rFonts w:cs="宋体"/>
                      <w:bCs/>
                      <w:color w:val="auto"/>
                      <w:spacing w:val="-10"/>
                      <w:szCs w:val="21"/>
                    </w:rPr>
                  </w:pPr>
                  <w:r>
                    <w:rPr>
                      <w:rFonts w:hint="eastAsia" w:cs="宋体"/>
                      <w:bCs/>
                      <w:color w:val="auto"/>
                      <w:spacing w:val="-10"/>
                      <w:szCs w:val="21"/>
                    </w:rPr>
                    <w:t>危险废物</w:t>
                  </w:r>
                </w:p>
              </w:tc>
              <w:tc>
                <w:tcPr>
                  <w:tcW w:w="899" w:type="pct"/>
                  <w:vAlign w:val="center"/>
                </w:tcPr>
                <w:p w14:paraId="6CBC21BF">
                  <w:pPr>
                    <w:adjustRightInd w:val="0"/>
                    <w:snapToGrid w:val="0"/>
                    <w:jc w:val="center"/>
                    <w:rPr>
                      <w:rFonts w:cs="宋体"/>
                      <w:bCs/>
                      <w:color w:val="auto"/>
                      <w:spacing w:val="-10"/>
                      <w:szCs w:val="21"/>
                    </w:rPr>
                  </w:pPr>
                  <w:r>
                    <w:rPr>
                      <w:rFonts w:cs="宋体"/>
                      <w:bCs/>
                      <w:color w:val="auto"/>
                      <w:spacing w:val="-10"/>
                      <w:szCs w:val="21"/>
                    </w:rPr>
                    <w:t>900-2</w:t>
                  </w:r>
                  <w:r>
                    <w:rPr>
                      <w:rFonts w:hint="eastAsia" w:cs="宋体"/>
                      <w:bCs/>
                      <w:color w:val="auto"/>
                      <w:spacing w:val="-10"/>
                      <w:szCs w:val="21"/>
                    </w:rPr>
                    <w:t>4</w:t>
                  </w:r>
                  <w:r>
                    <w:rPr>
                      <w:rFonts w:cs="宋体"/>
                      <w:bCs/>
                      <w:color w:val="auto"/>
                      <w:spacing w:val="-10"/>
                      <w:szCs w:val="21"/>
                    </w:rPr>
                    <w:t>9-08</w:t>
                  </w:r>
                </w:p>
              </w:tc>
              <w:tc>
                <w:tcPr>
                  <w:tcW w:w="1196" w:type="pct"/>
                  <w:vMerge w:val="continue"/>
                  <w:vAlign w:val="center"/>
                </w:tcPr>
                <w:p w14:paraId="3F9EF64C">
                  <w:pPr>
                    <w:adjustRightInd w:val="0"/>
                    <w:snapToGrid w:val="0"/>
                    <w:jc w:val="center"/>
                    <w:rPr>
                      <w:rFonts w:cs="宋体"/>
                      <w:bCs/>
                      <w:color w:val="auto"/>
                      <w:spacing w:val="-10"/>
                      <w:szCs w:val="21"/>
                    </w:rPr>
                  </w:pPr>
                </w:p>
              </w:tc>
            </w:tr>
            <w:tr w14:paraId="7038359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316" w:type="pct"/>
                  <w:vAlign w:val="center"/>
                </w:tcPr>
                <w:p w14:paraId="631ACC47">
                  <w:pPr>
                    <w:adjustRightInd w:val="0"/>
                    <w:snapToGrid w:val="0"/>
                    <w:jc w:val="center"/>
                    <w:rPr>
                      <w:rFonts w:hint="default" w:cs="宋体"/>
                      <w:bCs/>
                      <w:color w:val="auto"/>
                      <w:spacing w:val="-10"/>
                      <w:szCs w:val="21"/>
                      <w:lang w:val="en-US" w:eastAsia="zh-CN"/>
                    </w:rPr>
                  </w:pPr>
                  <w:r>
                    <w:rPr>
                      <w:rFonts w:hint="eastAsia" w:cs="宋体"/>
                      <w:bCs/>
                      <w:color w:val="auto"/>
                      <w:spacing w:val="-10"/>
                      <w:szCs w:val="21"/>
                      <w:lang w:val="en-US" w:eastAsia="zh-CN"/>
                    </w:rPr>
                    <w:t>10</w:t>
                  </w:r>
                </w:p>
              </w:tc>
              <w:tc>
                <w:tcPr>
                  <w:tcW w:w="633" w:type="pct"/>
                  <w:vMerge w:val="continue"/>
                  <w:vAlign w:val="center"/>
                </w:tcPr>
                <w:p w14:paraId="6CCEA156">
                  <w:pPr>
                    <w:adjustRightInd w:val="0"/>
                    <w:snapToGrid w:val="0"/>
                    <w:jc w:val="center"/>
                    <w:rPr>
                      <w:rFonts w:cs="宋体"/>
                      <w:bCs/>
                      <w:color w:val="auto"/>
                      <w:spacing w:val="-10"/>
                      <w:szCs w:val="21"/>
                    </w:rPr>
                  </w:pPr>
                </w:p>
              </w:tc>
              <w:tc>
                <w:tcPr>
                  <w:tcW w:w="849" w:type="pct"/>
                  <w:vAlign w:val="center"/>
                </w:tcPr>
                <w:p w14:paraId="3448A11C">
                  <w:pPr>
                    <w:adjustRightInd w:val="0"/>
                    <w:snapToGrid w:val="0"/>
                    <w:jc w:val="center"/>
                    <w:rPr>
                      <w:rFonts w:hint="eastAsia" w:cs="宋体"/>
                      <w:bCs/>
                      <w:color w:val="auto"/>
                      <w:spacing w:val="-10"/>
                      <w:szCs w:val="21"/>
                    </w:rPr>
                  </w:pPr>
                  <w:r>
                    <w:rPr>
                      <w:rFonts w:hint="eastAsia"/>
                      <w:color w:val="auto"/>
                      <w:highlight w:val="none"/>
                      <w:lang w:eastAsia="zh-CN"/>
                    </w:rPr>
                    <w:t>废含油抹布</w:t>
                  </w:r>
                </w:p>
              </w:tc>
              <w:tc>
                <w:tcPr>
                  <w:tcW w:w="483" w:type="pct"/>
                  <w:shd w:val="clear" w:color="auto" w:fill="auto"/>
                  <w:vAlign w:val="center"/>
                </w:tcPr>
                <w:p w14:paraId="08A35A3D">
                  <w:pPr>
                    <w:adjustRightInd w:val="0"/>
                    <w:snapToGrid w:val="0"/>
                    <w:jc w:val="center"/>
                    <w:rPr>
                      <w:rFonts w:hint="eastAsia" w:ascii="Times New Roman" w:hAnsi="Times New Roman" w:eastAsia="宋体" w:cs="宋体"/>
                      <w:bCs/>
                      <w:color w:val="auto"/>
                      <w:spacing w:val="-10"/>
                      <w:kern w:val="2"/>
                      <w:sz w:val="21"/>
                      <w:szCs w:val="21"/>
                      <w:lang w:val="en-US" w:eastAsia="zh-CN" w:bidi="ar-SA"/>
                    </w:rPr>
                  </w:pPr>
                  <w:r>
                    <w:rPr>
                      <w:rFonts w:hint="eastAsia" w:cs="宋体"/>
                      <w:bCs/>
                      <w:color w:val="auto"/>
                      <w:spacing w:val="-10"/>
                      <w:szCs w:val="21"/>
                    </w:rPr>
                    <w:t>固态</w:t>
                  </w:r>
                </w:p>
              </w:tc>
              <w:tc>
                <w:tcPr>
                  <w:tcW w:w="620" w:type="pct"/>
                  <w:shd w:val="clear" w:color="auto" w:fill="auto"/>
                  <w:vAlign w:val="center"/>
                </w:tcPr>
                <w:p w14:paraId="7574AC3F">
                  <w:pPr>
                    <w:adjustRightInd w:val="0"/>
                    <w:snapToGrid w:val="0"/>
                    <w:jc w:val="center"/>
                    <w:rPr>
                      <w:rFonts w:hint="eastAsia" w:ascii="Times New Roman" w:hAnsi="Times New Roman" w:eastAsia="宋体" w:cs="宋体"/>
                      <w:bCs/>
                      <w:color w:val="auto"/>
                      <w:spacing w:val="-10"/>
                      <w:kern w:val="2"/>
                      <w:sz w:val="21"/>
                      <w:szCs w:val="21"/>
                      <w:lang w:val="en-US" w:eastAsia="zh-CN" w:bidi="ar-SA"/>
                    </w:rPr>
                  </w:pPr>
                  <w:r>
                    <w:rPr>
                      <w:rFonts w:hint="eastAsia" w:cs="宋体"/>
                      <w:bCs/>
                      <w:color w:val="auto"/>
                      <w:spacing w:val="-10"/>
                      <w:szCs w:val="21"/>
                    </w:rPr>
                    <w:t>危险废物</w:t>
                  </w:r>
                </w:p>
              </w:tc>
              <w:tc>
                <w:tcPr>
                  <w:tcW w:w="899" w:type="pct"/>
                  <w:vAlign w:val="center"/>
                </w:tcPr>
                <w:p w14:paraId="01A08F3C">
                  <w:pPr>
                    <w:adjustRightInd w:val="0"/>
                    <w:snapToGrid w:val="0"/>
                    <w:jc w:val="center"/>
                    <w:rPr>
                      <w:rFonts w:cs="宋体"/>
                      <w:bCs/>
                      <w:color w:val="auto"/>
                      <w:spacing w:val="-10"/>
                      <w:szCs w:val="21"/>
                    </w:rPr>
                  </w:pPr>
                  <w:r>
                    <w:rPr>
                      <w:rFonts w:hint="eastAsia" w:cs="宋体"/>
                      <w:bCs/>
                      <w:color w:val="auto"/>
                      <w:spacing w:val="-10"/>
                      <w:szCs w:val="21"/>
                    </w:rPr>
                    <w:t>900-041-49</w:t>
                  </w:r>
                </w:p>
              </w:tc>
              <w:tc>
                <w:tcPr>
                  <w:tcW w:w="1196" w:type="pct"/>
                  <w:vMerge w:val="continue"/>
                  <w:vAlign w:val="center"/>
                </w:tcPr>
                <w:p w14:paraId="5EE2D593">
                  <w:pPr>
                    <w:adjustRightInd w:val="0"/>
                    <w:snapToGrid w:val="0"/>
                    <w:jc w:val="center"/>
                    <w:rPr>
                      <w:rFonts w:cs="宋体"/>
                      <w:bCs/>
                      <w:color w:val="auto"/>
                      <w:spacing w:val="-10"/>
                      <w:szCs w:val="21"/>
                    </w:rPr>
                  </w:pPr>
                </w:p>
              </w:tc>
            </w:tr>
          </w:tbl>
          <w:p w14:paraId="0C3E8C36">
            <w:pPr>
              <w:pStyle w:val="119"/>
              <w:rPr>
                <w:color w:val="auto"/>
              </w:rPr>
            </w:pPr>
            <w:r>
              <w:rPr>
                <w:rFonts w:hint="eastAsia"/>
                <w:color w:val="auto"/>
              </w:rPr>
              <w:t>4</w:t>
            </w:r>
            <w:r>
              <w:rPr>
                <w:color w:val="auto"/>
              </w:rPr>
              <w:t xml:space="preserve">.2 </w:t>
            </w:r>
            <w:r>
              <w:rPr>
                <w:rFonts w:hint="eastAsia"/>
                <w:color w:val="auto"/>
              </w:rPr>
              <w:t>固体废物产生及排放情况</w:t>
            </w:r>
          </w:p>
          <w:p w14:paraId="31298F11">
            <w:pPr>
              <w:pStyle w:val="119"/>
              <w:rPr>
                <w:color w:val="auto"/>
              </w:rPr>
            </w:pPr>
            <w:r>
              <w:rPr>
                <w:rFonts w:hint="eastAsia"/>
                <w:color w:val="auto"/>
              </w:rPr>
              <w:t>（1）一般工业固体废物</w:t>
            </w:r>
          </w:p>
          <w:p w14:paraId="1443887B">
            <w:pPr>
              <w:widowControl/>
              <w:spacing w:line="360" w:lineRule="auto"/>
              <w:ind w:firstLine="420" w:firstLineChars="200"/>
              <w:jc w:val="left"/>
              <w:rPr>
                <w:rFonts w:hAnsi="宋体" w:cs="宋体"/>
                <w:bCs/>
                <w:color w:val="auto"/>
                <w:szCs w:val="21"/>
              </w:rPr>
            </w:pPr>
            <w:r>
              <w:rPr>
                <w:rFonts w:hint="eastAsia" w:hAnsi="宋体" w:cs="宋体"/>
                <w:bCs/>
                <w:color w:val="auto"/>
                <w:szCs w:val="21"/>
              </w:rPr>
              <w:t>根据企业提供的资料，本项目一般工业固体废物的产生量及处置情况如下。</w:t>
            </w:r>
          </w:p>
          <w:p w14:paraId="15156971">
            <w:pPr>
              <w:pStyle w:val="10"/>
              <w:rPr>
                <w:color w:val="auto"/>
              </w:rPr>
            </w:pPr>
            <w:r>
              <w:rPr>
                <w:rFonts w:hint="eastAsia"/>
                <w:color w:val="auto"/>
              </w:rPr>
              <w:t>表4</w:t>
            </w:r>
            <w:r>
              <w:rPr>
                <w:rFonts w:hint="eastAsia"/>
                <w:color w:val="auto"/>
                <w:lang w:eastAsia="zh-CN"/>
              </w:rPr>
              <w:t>-</w:t>
            </w:r>
            <w:r>
              <w:rPr>
                <w:color w:val="auto"/>
              </w:rPr>
              <w:fldChar w:fldCharType="begin"/>
            </w:r>
            <w:r>
              <w:rPr>
                <w:color w:val="auto"/>
              </w:rPr>
              <w:instrText xml:space="preserve"> </w:instrText>
            </w:r>
            <w:r>
              <w:rPr>
                <w:rFonts w:hint="eastAsia"/>
                <w:color w:val="auto"/>
              </w:rPr>
              <w:instrText xml:space="preserve">SEQ 表4- \* ARABIC</w:instrText>
            </w:r>
            <w:r>
              <w:rPr>
                <w:color w:val="auto"/>
              </w:rPr>
              <w:instrText xml:space="preserve"> </w:instrText>
            </w:r>
            <w:r>
              <w:rPr>
                <w:color w:val="auto"/>
              </w:rPr>
              <w:fldChar w:fldCharType="separate"/>
            </w:r>
            <w:r>
              <w:rPr>
                <w:color w:val="auto"/>
              </w:rPr>
              <w:t>1</w:t>
            </w:r>
            <w:r>
              <w:rPr>
                <w:rFonts w:hint="eastAsia"/>
                <w:color w:val="auto"/>
                <w:lang w:val="en-US" w:eastAsia="zh-CN"/>
              </w:rPr>
              <w:t>6</w:t>
            </w:r>
            <w:r>
              <w:rPr>
                <w:color w:val="auto"/>
              </w:rPr>
              <w:fldChar w:fldCharType="end"/>
            </w:r>
            <w:r>
              <w:rPr>
                <w:rFonts w:hint="eastAsia"/>
                <w:color w:val="auto"/>
              </w:rPr>
              <w:t>本</w:t>
            </w:r>
            <w:r>
              <w:rPr>
                <w:color w:val="auto"/>
              </w:rPr>
              <w:t>项目</w:t>
            </w:r>
            <w:r>
              <w:rPr>
                <w:rFonts w:hint="eastAsia"/>
                <w:bCs/>
                <w:color w:val="auto"/>
              </w:rPr>
              <w:t>一般工业固体废物的产生量及处置情况一览表</w:t>
            </w:r>
          </w:p>
          <w:tbl>
            <w:tblPr>
              <w:tblStyle w:val="3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8"/>
              <w:gridCol w:w="2613"/>
              <w:gridCol w:w="1558"/>
              <w:gridCol w:w="3129"/>
            </w:tblGrid>
            <w:tr w14:paraId="106641B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453" w:type="pct"/>
                  <w:vAlign w:val="center"/>
                </w:tcPr>
                <w:p w14:paraId="47F0240E">
                  <w:pPr>
                    <w:adjustRightInd w:val="0"/>
                    <w:snapToGrid w:val="0"/>
                    <w:jc w:val="center"/>
                    <w:rPr>
                      <w:rFonts w:cs="宋体"/>
                      <w:bCs/>
                      <w:color w:val="auto"/>
                      <w:spacing w:val="-10"/>
                      <w:szCs w:val="21"/>
                    </w:rPr>
                  </w:pPr>
                  <w:r>
                    <w:rPr>
                      <w:rFonts w:hint="eastAsia" w:cs="宋体"/>
                      <w:bCs/>
                      <w:color w:val="auto"/>
                      <w:spacing w:val="-10"/>
                      <w:szCs w:val="21"/>
                    </w:rPr>
                    <w:t>序号</w:t>
                  </w:r>
                </w:p>
              </w:tc>
              <w:tc>
                <w:tcPr>
                  <w:tcW w:w="1627" w:type="pct"/>
                  <w:vAlign w:val="center"/>
                </w:tcPr>
                <w:p w14:paraId="7C1B8110">
                  <w:pPr>
                    <w:adjustRightInd w:val="0"/>
                    <w:snapToGrid w:val="0"/>
                    <w:jc w:val="center"/>
                    <w:rPr>
                      <w:rFonts w:cs="宋体"/>
                      <w:bCs/>
                      <w:color w:val="auto"/>
                      <w:spacing w:val="-10"/>
                      <w:szCs w:val="21"/>
                    </w:rPr>
                  </w:pPr>
                  <w:r>
                    <w:rPr>
                      <w:rFonts w:hint="eastAsia" w:cs="宋体"/>
                      <w:bCs/>
                      <w:color w:val="auto"/>
                      <w:spacing w:val="-10"/>
                      <w:szCs w:val="21"/>
                    </w:rPr>
                    <w:t>一般工业固体废物名称</w:t>
                  </w:r>
                </w:p>
              </w:tc>
              <w:tc>
                <w:tcPr>
                  <w:tcW w:w="970" w:type="pct"/>
                  <w:vAlign w:val="center"/>
                </w:tcPr>
                <w:p w14:paraId="280DA760">
                  <w:pPr>
                    <w:adjustRightInd w:val="0"/>
                    <w:snapToGrid w:val="0"/>
                    <w:jc w:val="center"/>
                    <w:rPr>
                      <w:rFonts w:cs="宋体"/>
                      <w:bCs/>
                      <w:color w:val="auto"/>
                      <w:spacing w:val="-10"/>
                      <w:szCs w:val="21"/>
                    </w:rPr>
                  </w:pPr>
                  <w:r>
                    <w:rPr>
                      <w:rFonts w:hint="eastAsia" w:cs="宋体"/>
                      <w:bCs/>
                      <w:color w:val="auto"/>
                      <w:spacing w:val="-10"/>
                      <w:szCs w:val="21"/>
                    </w:rPr>
                    <w:t>产生量/（t/a）</w:t>
                  </w:r>
                </w:p>
              </w:tc>
              <w:tc>
                <w:tcPr>
                  <w:tcW w:w="1948" w:type="pct"/>
                  <w:vAlign w:val="center"/>
                </w:tcPr>
                <w:p w14:paraId="4A4E17A3">
                  <w:pPr>
                    <w:adjustRightInd w:val="0"/>
                    <w:snapToGrid w:val="0"/>
                    <w:jc w:val="center"/>
                    <w:rPr>
                      <w:rFonts w:cs="宋体"/>
                      <w:bCs/>
                      <w:color w:val="auto"/>
                      <w:spacing w:val="-10"/>
                      <w:szCs w:val="21"/>
                    </w:rPr>
                  </w:pPr>
                  <w:r>
                    <w:rPr>
                      <w:rFonts w:hint="eastAsia" w:cs="宋体"/>
                      <w:bCs/>
                      <w:color w:val="auto"/>
                      <w:spacing w:val="-10"/>
                      <w:szCs w:val="21"/>
                    </w:rPr>
                    <w:t>处置情况</w:t>
                  </w:r>
                </w:p>
              </w:tc>
            </w:tr>
            <w:tr w14:paraId="5027225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453" w:type="pct"/>
                  <w:shd w:val="clear" w:color="auto" w:fill="auto"/>
                  <w:vAlign w:val="center"/>
                </w:tcPr>
                <w:p w14:paraId="4CD1C115">
                  <w:pPr>
                    <w:adjustRightInd w:val="0"/>
                    <w:snapToGrid w:val="0"/>
                    <w:jc w:val="center"/>
                    <w:rPr>
                      <w:rFonts w:hint="eastAsia" w:ascii="Times New Roman" w:hAnsi="Times New Roman" w:eastAsia="宋体" w:cs="宋体"/>
                      <w:bCs/>
                      <w:color w:val="auto"/>
                      <w:spacing w:val="-10"/>
                      <w:kern w:val="2"/>
                      <w:sz w:val="21"/>
                      <w:szCs w:val="21"/>
                      <w:lang w:val="en-US" w:eastAsia="zh-CN" w:bidi="ar-SA"/>
                    </w:rPr>
                  </w:pPr>
                  <w:r>
                    <w:rPr>
                      <w:rFonts w:hint="eastAsia" w:cs="宋体"/>
                      <w:bCs/>
                      <w:color w:val="auto"/>
                      <w:spacing w:val="-10"/>
                      <w:szCs w:val="21"/>
                    </w:rPr>
                    <w:t>1</w:t>
                  </w:r>
                </w:p>
              </w:tc>
              <w:tc>
                <w:tcPr>
                  <w:tcW w:w="1627" w:type="pct"/>
                  <w:vAlign w:val="center"/>
                </w:tcPr>
                <w:p w14:paraId="3F94968E">
                  <w:pPr>
                    <w:adjustRightInd w:val="0"/>
                    <w:snapToGrid w:val="0"/>
                    <w:jc w:val="center"/>
                    <w:rPr>
                      <w:rFonts w:hint="eastAsia" w:cs="宋体"/>
                      <w:bCs/>
                      <w:color w:val="auto"/>
                      <w:spacing w:val="-10"/>
                      <w:szCs w:val="21"/>
                    </w:rPr>
                  </w:pPr>
                  <w:r>
                    <w:rPr>
                      <w:rStyle w:val="58"/>
                      <w:rFonts w:hint="eastAsia"/>
                      <w:color w:val="auto"/>
                      <w:sz w:val="21"/>
                      <w:szCs w:val="21"/>
                      <w:highlight w:val="none"/>
                      <w:lang w:val="en-US"/>
                    </w:rPr>
                    <w:t>不合格品</w:t>
                  </w:r>
                </w:p>
              </w:tc>
              <w:tc>
                <w:tcPr>
                  <w:tcW w:w="970" w:type="pct"/>
                  <w:vAlign w:val="center"/>
                </w:tcPr>
                <w:p w14:paraId="556A954C">
                  <w:pPr>
                    <w:adjustRightInd w:val="0"/>
                    <w:snapToGrid w:val="0"/>
                    <w:jc w:val="center"/>
                    <w:rPr>
                      <w:rFonts w:hint="eastAsia" w:cs="宋体"/>
                      <w:bCs/>
                      <w:color w:val="auto"/>
                      <w:spacing w:val="-10"/>
                      <w:szCs w:val="21"/>
                      <w:highlight w:val="yellow"/>
                    </w:rPr>
                  </w:pPr>
                  <w:r>
                    <w:rPr>
                      <w:rFonts w:hint="default" w:ascii="Times New Roman" w:hAnsi="Times New Roman" w:eastAsia="宋体" w:cs="Times New Roman"/>
                      <w:i w:val="0"/>
                      <w:iCs w:val="0"/>
                      <w:color w:val="auto"/>
                      <w:kern w:val="0"/>
                      <w:sz w:val="21"/>
                      <w:szCs w:val="21"/>
                      <w:highlight w:val="none"/>
                      <w:u w:val="none"/>
                      <w:lang w:val="en-US" w:eastAsia="zh-CN" w:bidi="ar"/>
                    </w:rPr>
                    <w:t>2714.083</w:t>
                  </w:r>
                </w:p>
              </w:tc>
              <w:tc>
                <w:tcPr>
                  <w:tcW w:w="1948" w:type="pct"/>
                  <w:vMerge w:val="restart"/>
                  <w:vAlign w:val="center"/>
                </w:tcPr>
                <w:p w14:paraId="05B1DAE2">
                  <w:pPr>
                    <w:adjustRightInd w:val="0"/>
                    <w:snapToGrid w:val="0"/>
                    <w:jc w:val="center"/>
                    <w:rPr>
                      <w:color w:val="auto"/>
                    </w:rPr>
                  </w:pPr>
                  <w:r>
                    <w:rPr>
                      <w:rFonts w:hint="eastAsia"/>
                      <w:color w:val="auto"/>
                    </w:rPr>
                    <w:t>收集后外售，综合利用</w:t>
                  </w:r>
                </w:p>
              </w:tc>
            </w:tr>
            <w:tr w14:paraId="420F9C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453" w:type="pct"/>
                  <w:shd w:val="clear" w:color="auto" w:fill="auto"/>
                  <w:vAlign w:val="center"/>
                </w:tcPr>
                <w:p w14:paraId="2D1AA9BB">
                  <w:pPr>
                    <w:adjustRightInd w:val="0"/>
                    <w:snapToGrid w:val="0"/>
                    <w:jc w:val="center"/>
                    <w:rPr>
                      <w:rFonts w:ascii="Times New Roman" w:hAnsi="Times New Roman" w:eastAsia="宋体" w:cs="宋体"/>
                      <w:bCs/>
                      <w:color w:val="auto"/>
                      <w:spacing w:val="-10"/>
                      <w:kern w:val="2"/>
                      <w:sz w:val="21"/>
                      <w:szCs w:val="21"/>
                      <w:lang w:val="en-US" w:eastAsia="zh-CN" w:bidi="ar-SA"/>
                    </w:rPr>
                  </w:pPr>
                  <w:r>
                    <w:rPr>
                      <w:rFonts w:hint="eastAsia" w:cs="宋体"/>
                      <w:bCs/>
                      <w:color w:val="auto"/>
                      <w:spacing w:val="-10"/>
                      <w:szCs w:val="21"/>
                    </w:rPr>
                    <w:t>2</w:t>
                  </w:r>
                </w:p>
              </w:tc>
              <w:tc>
                <w:tcPr>
                  <w:tcW w:w="1627" w:type="pct"/>
                  <w:vAlign w:val="center"/>
                </w:tcPr>
                <w:p w14:paraId="5997890A">
                  <w:pPr>
                    <w:adjustRightInd w:val="0"/>
                    <w:snapToGrid w:val="0"/>
                    <w:jc w:val="center"/>
                    <w:rPr>
                      <w:rFonts w:cs="宋体"/>
                      <w:bCs/>
                      <w:color w:val="auto"/>
                      <w:spacing w:val="-10"/>
                      <w:szCs w:val="21"/>
                    </w:rPr>
                  </w:pPr>
                  <w:r>
                    <w:rPr>
                      <w:rFonts w:hint="eastAsia" w:cs="宋体"/>
                      <w:bCs/>
                      <w:color w:val="auto"/>
                      <w:spacing w:val="-10"/>
                      <w:szCs w:val="21"/>
                    </w:rPr>
                    <w:t>废钢丸</w:t>
                  </w:r>
                </w:p>
              </w:tc>
              <w:tc>
                <w:tcPr>
                  <w:tcW w:w="970" w:type="pct"/>
                  <w:vAlign w:val="center"/>
                </w:tcPr>
                <w:p w14:paraId="63601E21">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0.2</w:t>
                  </w:r>
                </w:p>
              </w:tc>
              <w:tc>
                <w:tcPr>
                  <w:tcW w:w="1948" w:type="pct"/>
                  <w:vMerge w:val="continue"/>
                  <w:vAlign w:val="center"/>
                </w:tcPr>
                <w:p w14:paraId="7F90DB1F">
                  <w:pPr>
                    <w:adjustRightInd w:val="0"/>
                    <w:snapToGrid w:val="0"/>
                    <w:jc w:val="center"/>
                    <w:rPr>
                      <w:color w:val="auto"/>
                    </w:rPr>
                  </w:pPr>
                </w:p>
              </w:tc>
            </w:tr>
            <w:tr w14:paraId="42EB892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74" w:hRule="atLeast"/>
                <w:jc w:val="center"/>
              </w:trPr>
              <w:tc>
                <w:tcPr>
                  <w:tcW w:w="453" w:type="pct"/>
                  <w:shd w:val="clear" w:color="auto" w:fill="auto"/>
                  <w:vAlign w:val="center"/>
                </w:tcPr>
                <w:p w14:paraId="2BA47C22">
                  <w:pPr>
                    <w:adjustRightInd w:val="0"/>
                    <w:snapToGrid w:val="0"/>
                    <w:jc w:val="center"/>
                    <w:rPr>
                      <w:rFonts w:ascii="Times New Roman" w:hAnsi="Times New Roman" w:eastAsia="宋体" w:cs="宋体"/>
                      <w:bCs/>
                      <w:color w:val="auto"/>
                      <w:spacing w:val="-10"/>
                      <w:kern w:val="2"/>
                      <w:sz w:val="21"/>
                      <w:szCs w:val="21"/>
                      <w:lang w:val="en-US" w:eastAsia="zh-CN" w:bidi="ar-SA"/>
                    </w:rPr>
                  </w:pPr>
                  <w:r>
                    <w:rPr>
                      <w:rFonts w:hint="eastAsia" w:cs="宋体"/>
                      <w:bCs/>
                      <w:color w:val="auto"/>
                      <w:spacing w:val="-10"/>
                      <w:szCs w:val="21"/>
                    </w:rPr>
                    <w:t>3</w:t>
                  </w:r>
                </w:p>
              </w:tc>
              <w:tc>
                <w:tcPr>
                  <w:tcW w:w="1627" w:type="pct"/>
                  <w:vAlign w:val="center"/>
                </w:tcPr>
                <w:p w14:paraId="00C98A06">
                  <w:pPr>
                    <w:adjustRightInd w:val="0"/>
                    <w:snapToGrid w:val="0"/>
                    <w:jc w:val="center"/>
                    <w:rPr>
                      <w:rFonts w:cs="宋体"/>
                      <w:bCs/>
                      <w:color w:val="auto"/>
                      <w:spacing w:val="-10"/>
                      <w:szCs w:val="21"/>
                    </w:rPr>
                  </w:pPr>
                  <w:r>
                    <w:rPr>
                      <w:rFonts w:hint="eastAsia" w:cs="宋体"/>
                      <w:color w:val="auto"/>
                    </w:rPr>
                    <w:t>氧化铁屑</w:t>
                  </w:r>
                </w:p>
              </w:tc>
              <w:tc>
                <w:tcPr>
                  <w:tcW w:w="970" w:type="pct"/>
                  <w:vAlign w:val="center"/>
                </w:tcPr>
                <w:p w14:paraId="207AE297">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0.3</w:t>
                  </w:r>
                </w:p>
              </w:tc>
              <w:tc>
                <w:tcPr>
                  <w:tcW w:w="1948" w:type="pct"/>
                  <w:vMerge w:val="continue"/>
                  <w:vAlign w:val="center"/>
                </w:tcPr>
                <w:p w14:paraId="086779DE">
                  <w:pPr>
                    <w:adjustRightInd w:val="0"/>
                    <w:snapToGrid w:val="0"/>
                    <w:jc w:val="center"/>
                    <w:rPr>
                      <w:color w:val="auto"/>
                    </w:rPr>
                  </w:pPr>
                </w:p>
              </w:tc>
            </w:tr>
            <w:tr w14:paraId="26DD92B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453" w:type="pct"/>
                  <w:shd w:val="clear" w:color="auto" w:fill="auto"/>
                  <w:vAlign w:val="center"/>
                </w:tcPr>
                <w:p w14:paraId="2B5EFBE4">
                  <w:pPr>
                    <w:adjustRightInd w:val="0"/>
                    <w:snapToGrid w:val="0"/>
                    <w:jc w:val="center"/>
                    <w:rPr>
                      <w:rFonts w:ascii="Times New Roman" w:hAnsi="Times New Roman" w:eastAsia="宋体" w:cs="宋体"/>
                      <w:bCs/>
                      <w:color w:val="auto"/>
                      <w:spacing w:val="-10"/>
                      <w:kern w:val="2"/>
                      <w:sz w:val="21"/>
                      <w:szCs w:val="21"/>
                      <w:lang w:val="en-US" w:eastAsia="zh-CN" w:bidi="ar-SA"/>
                    </w:rPr>
                  </w:pPr>
                  <w:r>
                    <w:rPr>
                      <w:rFonts w:hint="eastAsia" w:cs="宋体"/>
                      <w:bCs/>
                      <w:color w:val="auto"/>
                      <w:spacing w:val="-10"/>
                      <w:szCs w:val="21"/>
                    </w:rPr>
                    <w:t>4</w:t>
                  </w:r>
                </w:p>
              </w:tc>
              <w:tc>
                <w:tcPr>
                  <w:tcW w:w="1627" w:type="pct"/>
                  <w:vAlign w:val="center"/>
                </w:tcPr>
                <w:p w14:paraId="44CB288E">
                  <w:pPr>
                    <w:adjustRightInd w:val="0"/>
                    <w:snapToGrid w:val="0"/>
                    <w:jc w:val="center"/>
                    <w:rPr>
                      <w:rFonts w:cs="宋体"/>
                      <w:bCs/>
                      <w:color w:val="auto"/>
                      <w:spacing w:val="-10"/>
                      <w:szCs w:val="21"/>
                    </w:rPr>
                  </w:pPr>
                  <w:r>
                    <w:rPr>
                      <w:rFonts w:hint="eastAsia" w:cs="宋体"/>
                      <w:bCs/>
                      <w:color w:val="auto"/>
                      <w:spacing w:val="-10"/>
                      <w:szCs w:val="21"/>
                    </w:rPr>
                    <w:t>除尘灰</w:t>
                  </w:r>
                </w:p>
              </w:tc>
              <w:tc>
                <w:tcPr>
                  <w:tcW w:w="970" w:type="pct"/>
                  <w:vAlign w:val="center"/>
                </w:tcPr>
                <w:p w14:paraId="44FE52C9">
                  <w:pPr>
                    <w:adjustRightInd w:val="0"/>
                    <w:snapToGrid w:val="0"/>
                    <w:jc w:val="center"/>
                    <w:rPr>
                      <w:rFonts w:cs="宋体"/>
                      <w:bCs/>
                      <w:color w:val="auto"/>
                      <w:spacing w:val="-10"/>
                      <w:szCs w:val="21"/>
                      <w:highlight w:val="none"/>
                    </w:rPr>
                  </w:pPr>
                  <w:r>
                    <w:rPr>
                      <w:rFonts w:hint="eastAsia" w:ascii="Times New Roman"/>
                      <w:color w:val="auto"/>
                      <w:kern w:val="2"/>
                      <w:szCs w:val="21"/>
                      <w:highlight w:val="none"/>
                      <w:lang w:val="en-US" w:eastAsia="zh-CN"/>
                    </w:rPr>
                    <w:t>17.777</w:t>
                  </w:r>
                </w:p>
              </w:tc>
              <w:tc>
                <w:tcPr>
                  <w:tcW w:w="1948" w:type="pct"/>
                  <w:vMerge w:val="continue"/>
                  <w:vAlign w:val="center"/>
                </w:tcPr>
                <w:p w14:paraId="7D5B0A8B">
                  <w:pPr>
                    <w:adjustRightInd w:val="0"/>
                    <w:snapToGrid w:val="0"/>
                    <w:jc w:val="center"/>
                    <w:rPr>
                      <w:color w:val="auto"/>
                    </w:rPr>
                  </w:pPr>
                </w:p>
              </w:tc>
            </w:tr>
            <w:tr w14:paraId="147348C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453" w:type="pct"/>
                  <w:vAlign w:val="center"/>
                </w:tcPr>
                <w:p w14:paraId="7C075B13">
                  <w:pPr>
                    <w:adjustRightInd w:val="0"/>
                    <w:snapToGrid w:val="0"/>
                    <w:jc w:val="center"/>
                    <w:rPr>
                      <w:rFonts w:hint="eastAsia" w:eastAsia="宋体" w:cs="宋体"/>
                      <w:bCs/>
                      <w:color w:val="auto"/>
                      <w:spacing w:val="-10"/>
                      <w:szCs w:val="21"/>
                      <w:lang w:val="en-US" w:eastAsia="zh-CN"/>
                    </w:rPr>
                  </w:pPr>
                  <w:r>
                    <w:rPr>
                      <w:rFonts w:hint="eastAsia" w:cs="宋体"/>
                      <w:bCs/>
                      <w:color w:val="auto"/>
                      <w:spacing w:val="-10"/>
                      <w:szCs w:val="21"/>
                      <w:lang w:val="en-US" w:eastAsia="zh-CN"/>
                    </w:rPr>
                    <w:t>5</w:t>
                  </w:r>
                </w:p>
              </w:tc>
              <w:tc>
                <w:tcPr>
                  <w:tcW w:w="1627" w:type="pct"/>
                  <w:vAlign w:val="center"/>
                </w:tcPr>
                <w:p w14:paraId="47C77016">
                  <w:pPr>
                    <w:adjustRightInd w:val="0"/>
                    <w:snapToGrid w:val="0"/>
                    <w:jc w:val="center"/>
                    <w:rPr>
                      <w:rFonts w:cs="宋体"/>
                      <w:bCs/>
                      <w:color w:val="auto"/>
                      <w:spacing w:val="-10"/>
                      <w:szCs w:val="21"/>
                    </w:rPr>
                  </w:pPr>
                  <w:r>
                    <w:rPr>
                      <w:rFonts w:hint="eastAsia" w:cs="宋体"/>
                      <w:bCs/>
                      <w:color w:val="auto"/>
                      <w:spacing w:val="-10"/>
                      <w:szCs w:val="21"/>
                    </w:rPr>
                    <w:t>废滤筒</w:t>
                  </w:r>
                </w:p>
              </w:tc>
              <w:tc>
                <w:tcPr>
                  <w:tcW w:w="970" w:type="pct"/>
                  <w:vAlign w:val="center"/>
                </w:tcPr>
                <w:p w14:paraId="30CDE073">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0.1</w:t>
                  </w:r>
                </w:p>
              </w:tc>
              <w:tc>
                <w:tcPr>
                  <w:tcW w:w="1948" w:type="pct"/>
                  <w:vMerge w:val="continue"/>
                  <w:vAlign w:val="center"/>
                </w:tcPr>
                <w:p w14:paraId="798CE374">
                  <w:pPr>
                    <w:adjustRightInd w:val="0"/>
                    <w:snapToGrid w:val="0"/>
                    <w:jc w:val="center"/>
                    <w:rPr>
                      <w:color w:val="auto"/>
                    </w:rPr>
                  </w:pPr>
                </w:p>
              </w:tc>
            </w:tr>
          </w:tbl>
          <w:p w14:paraId="574C48F8">
            <w:pPr>
              <w:pStyle w:val="119"/>
              <w:rPr>
                <w:color w:val="auto"/>
              </w:rPr>
            </w:pPr>
            <w:r>
              <w:rPr>
                <w:rFonts w:hint="eastAsia"/>
                <w:color w:val="auto"/>
              </w:rPr>
              <w:t>（2）危险废物</w:t>
            </w:r>
          </w:p>
          <w:p w14:paraId="73A44F0F">
            <w:pPr>
              <w:pStyle w:val="116"/>
              <w:ind w:firstLine="420"/>
              <w:rPr>
                <w:rFonts w:cs="宋体"/>
                <w:bCs w:val="0"/>
                <w:color w:val="auto"/>
              </w:rPr>
            </w:pPr>
            <w:r>
              <w:rPr>
                <w:rFonts w:hint="eastAsia" w:cs="宋体"/>
                <w:bCs w:val="0"/>
                <w:color w:val="auto"/>
              </w:rPr>
              <w:t>①</w:t>
            </w:r>
            <w:r>
              <w:rPr>
                <w:rFonts w:hint="eastAsia" w:cs="宋体"/>
                <w:bCs w:val="0"/>
                <w:color w:val="auto"/>
                <w:lang w:eastAsia="zh-CN"/>
              </w:rPr>
              <w:t>本项目</w:t>
            </w:r>
            <w:r>
              <w:rPr>
                <w:rFonts w:hint="eastAsia" w:cs="宋体"/>
                <w:bCs w:val="0"/>
                <w:color w:val="auto"/>
              </w:rPr>
              <w:t>危险废物产生及处置情况</w:t>
            </w:r>
          </w:p>
          <w:p w14:paraId="35BE1ECD">
            <w:pPr>
              <w:pStyle w:val="116"/>
              <w:ind w:firstLine="420"/>
              <w:rPr>
                <w:rFonts w:cs="宋体"/>
                <w:bCs w:val="0"/>
                <w:color w:val="auto"/>
              </w:rPr>
            </w:pPr>
            <w:r>
              <w:rPr>
                <w:rFonts w:hint="eastAsia" w:cs="宋体"/>
                <w:bCs w:val="0"/>
                <w:color w:val="auto"/>
                <w:lang w:eastAsia="zh-CN"/>
              </w:rPr>
              <w:t>本项目</w:t>
            </w:r>
            <w:r>
              <w:rPr>
                <w:rFonts w:hint="eastAsia" w:cs="宋体"/>
                <w:bCs w:val="0"/>
                <w:color w:val="auto"/>
              </w:rPr>
              <w:t>危险废物的产生量及处置情况如下。</w:t>
            </w:r>
          </w:p>
          <w:p w14:paraId="6B76F521">
            <w:pPr>
              <w:pStyle w:val="10"/>
              <w:rPr>
                <w:bCs/>
                <w:color w:val="auto"/>
              </w:rPr>
            </w:pPr>
            <w:r>
              <w:rPr>
                <w:rFonts w:hint="eastAsia"/>
                <w:color w:val="auto"/>
              </w:rPr>
              <w:t>表4</w:t>
            </w:r>
            <w:r>
              <w:rPr>
                <w:rFonts w:hint="eastAsia"/>
                <w:color w:val="auto"/>
                <w:lang w:eastAsia="zh-CN"/>
              </w:rPr>
              <w:t>-</w:t>
            </w:r>
            <w:r>
              <w:rPr>
                <w:color w:val="auto"/>
              </w:rPr>
              <w:fldChar w:fldCharType="begin"/>
            </w:r>
            <w:r>
              <w:rPr>
                <w:color w:val="auto"/>
              </w:rPr>
              <w:instrText xml:space="preserve"> </w:instrText>
            </w:r>
            <w:r>
              <w:rPr>
                <w:rFonts w:hint="eastAsia"/>
                <w:color w:val="auto"/>
              </w:rPr>
              <w:instrText xml:space="preserve">SEQ 表4- \* ARABIC</w:instrText>
            </w:r>
            <w:r>
              <w:rPr>
                <w:color w:val="auto"/>
              </w:rPr>
              <w:instrText xml:space="preserve"> </w:instrText>
            </w:r>
            <w:r>
              <w:rPr>
                <w:color w:val="auto"/>
              </w:rPr>
              <w:fldChar w:fldCharType="separate"/>
            </w:r>
            <w:r>
              <w:rPr>
                <w:color w:val="auto"/>
              </w:rPr>
              <w:t>1</w:t>
            </w:r>
            <w:r>
              <w:rPr>
                <w:rFonts w:hint="eastAsia"/>
                <w:color w:val="auto"/>
                <w:lang w:val="en-US" w:eastAsia="zh-CN"/>
              </w:rPr>
              <w:t>7</w:t>
            </w:r>
            <w:r>
              <w:rPr>
                <w:color w:val="auto"/>
              </w:rPr>
              <w:fldChar w:fldCharType="end"/>
            </w:r>
            <w:r>
              <w:rPr>
                <w:rFonts w:hint="eastAsia"/>
                <w:bCs/>
                <w:color w:val="auto"/>
              </w:rPr>
              <w:t>本项目危险废物产生、处置及防治措施情况一览表</w:t>
            </w:r>
          </w:p>
          <w:tbl>
            <w:tblPr>
              <w:tblStyle w:val="3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311"/>
              <w:gridCol w:w="473"/>
              <w:gridCol w:w="604"/>
              <w:gridCol w:w="1116"/>
              <w:gridCol w:w="718"/>
              <w:gridCol w:w="365"/>
              <w:gridCol w:w="512"/>
              <w:gridCol w:w="914"/>
              <w:gridCol w:w="782"/>
              <w:gridCol w:w="821"/>
              <w:gridCol w:w="1412"/>
            </w:tblGrid>
            <w:tr w14:paraId="4E5FA14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93" w:type="pct"/>
                  <w:vAlign w:val="center"/>
                </w:tcPr>
                <w:p w14:paraId="07EF0FE3">
                  <w:pPr>
                    <w:adjustRightInd w:val="0"/>
                    <w:snapToGrid w:val="0"/>
                    <w:spacing w:line="240" w:lineRule="auto"/>
                    <w:jc w:val="center"/>
                    <w:rPr>
                      <w:color w:val="auto"/>
                      <w:szCs w:val="21"/>
                    </w:rPr>
                  </w:pPr>
                  <w:r>
                    <w:rPr>
                      <w:color w:val="auto"/>
                      <w:szCs w:val="21"/>
                    </w:rPr>
                    <w:t>序号</w:t>
                  </w:r>
                </w:p>
              </w:tc>
              <w:tc>
                <w:tcPr>
                  <w:tcW w:w="294" w:type="pct"/>
                  <w:vAlign w:val="center"/>
                </w:tcPr>
                <w:p w14:paraId="5ED82D29">
                  <w:pPr>
                    <w:adjustRightInd w:val="0"/>
                    <w:snapToGrid w:val="0"/>
                    <w:spacing w:line="240" w:lineRule="auto"/>
                    <w:jc w:val="center"/>
                    <w:rPr>
                      <w:color w:val="auto"/>
                      <w:szCs w:val="21"/>
                    </w:rPr>
                  </w:pPr>
                  <w:r>
                    <w:rPr>
                      <w:color w:val="auto"/>
                      <w:szCs w:val="21"/>
                    </w:rPr>
                    <w:t>危险废物</w:t>
                  </w:r>
                </w:p>
                <w:p w14:paraId="43863831">
                  <w:pPr>
                    <w:adjustRightInd w:val="0"/>
                    <w:snapToGrid w:val="0"/>
                    <w:spacing w:line="240" w:lineRule="auto"/>
                    <w:jc w:val="center"/>
                    <w:rPr>
                      <w:color w:val="auto"/>
                      <w:szCs w:val="21"/>
                    </w:rPr>
                  </w:pPr>
                  <w:r>
                    <w:rPr>
                      <w:color w:val="auto"/>
                      <w:szCs w:val="21"/>
                    </w:rPr>
                    <w:t>名称</w:t>
                  </w:r>
                </w:p>
              </w:tc>
              <w:tc>
                <w:tcPr>
                  <w:tcW w:w="376" w:type="pct"/>
                  <w:vAlign w:val="center"/>
                </w:tcPr>
                <w:p w14:paraId="2A08AD1B">
                  <w:pPr>
                    <w:adjustRightInd w:val="0"/>
                    <w:snapToGrid w:val="0"/>
                    <w:spacing w:line="240" w:lineRule="auto"/>
                    <w:jc w:val="center"/>
                    <w:rPr>
                      <w:color w:val="auto"/>
                      <w:szCs w:val="21"/>
                    </w:rPr>
                  </w:pPr>
                  <w:r>
                    <w:rPr>
                      <w:color w:val="auto"/>
                      <w:szCs w:val="21"/>
                    </w:rPr>
                    <w:t>年度</w:t>
                  </w:r>
                </w:p>
                <w:p w14:paraId="270B5FE2">
                  <w:pPr>
                    <w:adjustRightInd w:val="0"/>
                    <w:snapToGrid w:val="0"/>
                    <w:spacing w:line="240" w:lineRule="auto"/>
                    <w:jc w:val="center"/>
                    <w:rPr>
                      <w:color w:val="auto"/>
                      <w:szCs w:val="21"/>
                    </w:rPr>
                  </w:pPr>
                  <w:r>
                    <w:rPr>
                      <w:color w:val="auto"/>
                      <w:szCs w:val="21"/>
                    </w:rPr>
                    <w:t>计划</w:t>
                  </w:r>
                </w:p>
                <w:p w14:paraId="38F2EAD3">
                  <w:pPr>
                    <w:adjustRightInd w:val="0"/>
                    <w:snapToGrid w:val="0"/>
                    <w:spacing w:line="240" w:lineRule="auto"/>
                    <w:jc w:val="center"/>
                    <w:rPr>
                      <w:color w:val="auto"/>
                      <w:szCs w:val="21"/>
                    </w:rPr>
                  </w:pPr>
                  <w:r>
                    <w:rPr>
                      <w:color w:val="auto"/>
                      <w:szCs w:val="21"/>
                    </w:rPr>
                    <w:t>产生量</w:t>
                  </w:r>
                </w:p>
                <w:p w14:paraId="170A37A5">
                  <w:pPr>
                    <w:adjustRightInd w:val="0"/>
                    <w:snapToGrid w:val="0"/>
                    <w:spacing w:line="240" w:lineRule="auto"/>
                    <w:jc w:val="center"/>
                    <w:rPr>
                      <w:color w:val="auto"/>
                      <w:szCs w:val="21"/>
                    </w:rPr>
                  </w:pPr>
                  <w:r>
                    <w:rPr>
                      <w:color w:val="auto"/>
                      <w:szCs w:val="21"/>
                    </w:rPr>
                    <w:t>(t/a)</w:t>
                  </w:r>
                </w:p>
              </w:tc>
              <w:tc>
                <w:tcPr>
                  <w:tcW w:w="695" w:type="pct"/>
                  <w:vAlign w:val="center"/>
                </w:tcPr>
                <w:p w14:paraId="0946A240">
                  <w:pPr>
                    <w:adjustRightInd w:val="0"/>
                    <w:snapToGrid w:val="0"/>
                    <w:spacing w:line="240" w:lineRule="auto"/>
                    <w:jc w:val="center"/>
                    <w:rPr>
                      <w:color w:val="auto"/>
                      <w:szCs w:val="21"/>
                    </w:rPr>
                  </w:pPr>
                  <w:r>
                    <w:rPr>
                      <w:color w:val="auto"/>
                      <w:szCs w:val="21"/>
                    </w:rPr>
                    <w:t>危险废物类别及代码</w:t>
                  </w:r>
                </w:p>
              </w:tc>
              <w:tc>
                <w:tcPr>
                  <w:tcW w:w="447" w:type="pct"/>
                  <w:vAlign w:val="center"/>
                </w:tcPr>
                <w:p w14:paraId="467CE059">
                  <w:pPr>
                    <w:adjustRightInd w:val="0"/>
                    <w:snapToGrid w:val="0"/>
                    <w:spacing w:line="240" w:lineRule="auto"/>
                    <w:jc w:val="center"/>
                    <w:rPr>
                      <w:color w:val="auto"/>
                      <w:szCs w:val="21"/>
                    </w:rPr>
                  </w:pPr>
                  <w:r>
                    <w:rPr>
                      <w:color w:val="auto"/>
                      <w:szCs w:val="21"/>
                    </w:rPr>
                    <w:t>产生工序及装置</w:t>
                  </w:r>
                </w:p>
              </w:tc>
              <w:tc>
                <w:tcPr>
                  <w:tcW w:w="227" w:type="pct"/>
                  <w:vAlign w:val="center"/>
                </w:tcPr>
                <w:p w14:paraId="5A1FD24A">
                  <w:pPr>
                    <w:adjustRightInd w:val="0"/>
                    <w:snapToGrid w:val="0"/>
                    <w:spacing w:line="240" w:lineRule="auto"/>
                    <w:jc w:val="center"/>
                    <w:rPr>
                      <w:color w:val="auto"/>
                      <w:szCs w:val="21"/>
                    </w:rPr>
                  </w:pPr>
                  <w:r>
                    <w:rPr>
                      <w:color w:val="auto"/>
                      <w:szCs w:val="21"/>
                    </w:rPr>
                    <w:t>形态</w:t>
                  </w:r>
                </w:p>
              </w:tc>
              <w:tc>
                <w:tcPr>
                  <w:tcW w:w="318" w:type="pct"/>
                  <w:vAlign w:val="center"/>
                </w:tcPr>
                <w:p w14:paraId="69AA835B">
                  <w:pPr>
                    <w:adjustRightInd w:val="0"/>
                    <w:snapToGrid w:val="0"/>
                    <w:spacing w:line="240" w:lineRule="auto"/>
                    <w:jc w:val="center"/>
                    <w:rPr>
                      <w:color w:val="auto"/>
                      <w:szCs w:val="21"/>
                    </w:rPr>
                  </w:pPr>
                  <w:r>
                    <w:rPr>
                      <w:color w:val="auto"/>
                      <w:szCs w:val="21"/>
                    </w:rPr>
                    <w:t>主要</w:t>
                  </w:r>
                </w:p>
                <w:p w14:paraId="33C53586">
                  <w:pPr>
                    <w:adjustRightInd w:val="0"/>
                    <w:snapToGrid w:val="0"/>
                    <w:spacing w:line="240" w:lineRule="auto"/>
                    <w:jc w:val="center"/>
                    <w:rPr>
                      <w:color w:val="auto"/>
                      <w:szCs w:val="21"/>
                    </w:rPr>
                  </w:pPr>
                  <w:r>
                    <w:rPr>
                      <w:color w:val="auto"/>
                      <w:szCs w:val="21"/>
                    </w:rPr>
                    <w:t>成分</w:t>
                  </w:r>
                </w:p>
              </w:tc>
              <w:tc>
                <w:tcPr>
                  <w:tcW w:w="569" w:type="pct"/>
                  <w:vAlign w:val="center"/>
                </w:tcPr>
                <w:p w14:paraId="7D7BB817">
                  <w:pPr>
                    <w:adjustRightInd w:val="0"/>
                    <w:snapToGrid w:val="0"/>
                    <w:spacing w:line="240" w:lineRule="auto"/>
                    <w:jc w:val="center"/>
                    <w:rPr>
                      <w:color w:val="auto"/>
                      <w:szCs w:val="21"/>
                    </w:rPr>
                  </w:pPr>
                  <w:r>
                    <w:rPr>
                      <w:color w:val="auto"/>
                      <w:szCs w:val="21"/>
                    </w:rPr>
                    <w:t>有害</w:t>
                  </w:r>
                </w:p>
                <w:p w14:paraId="30398EC5">
                  <w:pPr>
                    <w:adjustRightInd w:val="0"/>
                    <w:snapToGrid w:val="0"/>
                    <w:spacing w:line="240" w:lineRule="auto"/>
                    <w:jc w:val="center"/>
                    <w:rPr>
                      <w:color w:val="auto"/>
                      <w:szCs w:val="21"/>
                    </w:rPr>
                  </w:pPr>
                  <w:r>
                    <w:rPr>
                      <w:color w:val="auto"/>
                      <w:szCs w:val="21"/>
                    </w:rPr>
                    <w:t>成分</w:t>
                  </w:r>
                </w:p>
              </w:tc>
              <w:tc>
                <w:tcPr>
                  <w:tcW w:w="487" w:type="pct"/>
                  <w:vAlign w:val="center"/>
                </w:tcPr>
                <w:p w14:paraId="5C720EA8">
                  <w:pPr>
                    <w:adjustRightInd w:val="0"/>
                    <w:snapToGrid w:val="0"/>
                    <w:spacing w:line="240" w:lineRule="auto"/>
                    <w:jc w:val="center"/>
                    <w:rPr>
                      <w:color w:val="auto"/>
                      <w:szCs w:val="21"/>
                    </w:rPr>
                  </w:pPr>
                  <w:r>
                    <w:rPr>
                      <w:color w:val="auto"/>
                      <w:szCs w:val="21"/>
                    </w:rPr>
                    <w:t>产废</w:t>
                  </w:r>
                </w:p>
                <w:p w14:paraId="79080E33">
                  <w:pPr>
                    <w:adjustRightInd w:val="0"/>
                    <w:snapToGrid w:val="0"/>
                    <w:spacing w:line="240" w:lineRule="auto"/>
                    <w:jc w:val="center"/>
                    <w:rPr>
                      <w:color w:val="auto"/>
                      <w:szCs w:val="21"/>
                    </w:rPr>
                  </w:pPr>
                  <w:r>
                    <w:rPr>
                      <w:color w:val="auto"/>
                      <w:szCs w:val="21"/>
                    </w:rPr>
                    <w:t>周期</w:t>
                  </w:r>
                </w:p>
              </w:tc>
              <w:tc>
                <w:tcPr>
                  <w:tcW w:w="511" w:type="pct"/>
                  <w:vAlign w:val="center"/>
                </w:tcPr>
                <w:p w14:paraId="2EEF7EC5">
                  <w:pPr>
                    <w:adjustRightInd w:val="0"/>
                    <w:snapToGrid w:val="0"/>
                    <w:spacing w:line="240" w:lineRule="auto"/>
                    <w:jc w:val="center"/>
                    <w:rPr>
                      <w:color w:val="auto"/>
                      <w:szCs w:val="21"/>
                    </w:rPr>
                  </w:pPr>
                  <w:r>
                    <w:rPr>
                      <w:color w:val="auto"/>
                      <w:szCs w:val="21"/>
                    </w:rPr>
                    <w:t>危险</w:t>
                  </w:r>
                </w:p>
                <w:p w14:paraId="7C3F0710">
                  <w:pPr>
                    <w:adjustRightInd w:val="0"/>
                    <w:snapToGrid w:val="0"/>
                    <w:spacing w:line="240" w:lineRule="auto"/>
                    <w:jc w:val="center"/>
                    <w:rPr>
                      <w:color w:val="auto"/>
                      <w:szCs w:val="21"/>
                    </w:rPr>
                  </w:pPr>
                  <w:r>
                    <w:rPr>
                      <w:color w:val="auto"/>
                      <w:szCs w:val="21"/>
                    </w:rPr>
                    <w:t>特性</w:t>
                  </w:r>
                </w:p>
              </w:tc>
              <w:tc>
                <w:tcPr>
                  <w:tcW w:w="879" w:type="pct"/>
                  <w:vAlign w:val="center"/>
                </w:tcPr>
                <w:p w14:paraId="2882E034">
                  <w:pPr>
                    <w:adjustRightInd w:val="0"/>
                    <w:snapToGrid w:val="0"/>
                    <w:spacing w:line="240" w:lineRule="auto"/>
                    <w:jc w:val="center"/>
                    <w:rPr>
                      <w:color w:val="auto"/>
                      <w:szCs w:val="21"/>
                    </w:rPr>
                  </w:pPr>
                  <w:r>
                    <w:rPr>
                      <w:color w:val="auto"/>
                      <w:szCs w:val="21"/>
                    </w:rPr>
                    <w:t>污染</w:t>
                  </w:r>
                </w:p>
                <w:p w14:paraId="0376B795">
                  <w:pPr>
                    <w:adjustRightInd w:val="0"/>
                    <w:snapToGrid w:val="0"/>
                    <w:spacing w:line="240" w:lineRule="auto"/>
                    <w:jc w:val="center"/>
                    <w:rPr>
                      <w:color w:val="auto"/>
                      <w:szCs w:val="21"/>
                    </w:rPr>
                  </w:pPr>
                  <w:r>
                    <w:rPr>
                      <w:color w:val="auto"/>
                      <w:szCs w:val="21"/>
                    </w:rPr>
                    <w:t>防治</w:t>
                  </w:r>
                </w:p>
                <w:p w14:paraId="573E78D0">
                  <w:pPr>
                    <w:adjustRightInd w:val="0"/>
                    <w:snapToGrid w:val="0"/>
                    <w:spacing w:line="240" w:lineRule="auto"/>
                    <w:jc w:val="center"/>
                    <w:rPr>
                      <w:color w:val="auto"/>
                      <w:szCs w:val="21"/>
                    </w:rPr>
                  </w:pPr>
                  <w:r>
                    <w:rPr>
                      <w:color w:val="auto"/>
                      <w:szCs w:val="21"/>
                    </w:rPr>
                    <w:t>措施</w:t>
                  </w:r>
                </w:p>
              </w:tc>
            </w:tr>
            <w:tr w14:paraId="3171E5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393" w:hRule="atLeast"/>
                <w:jc w:val="center"/>
              </w:trPr>
              <w:tc>
                <w:tcPr>
                  <w:tcW w:w="193" w:type="pct"/>
                  <w:vAlign w:val="center"/>
                </w:tcPr>
                <w:p w14:paraId="10F31813">
                  <w:pPr>
                    <w:adjustRightInd w:val="0"/>
                    <w:spacing w:line="240" w:lineRule="auto"/>
                    <w:jc w:val="center"/>
                    <w:rPr>
                      <w:color w:val="auto"/>
                      <w:spacing w:val="-10"/>
                      <w:szCs w:val="21"/>
                    </w:rPr>
                  </w:pPr>
                  <w:r>
                    <w:rPr>
                      <w:rFonts w:hint="eastAsia"/>
                      <w:color w:val="auto"/>
                      <w:spacing w:val="-10"/>
                      <w:szCs w:val="21"/>
                    </w:rPr>
                    <w:t>1</w:t>
                  </w:r>
                </w:p>
              </w:tc>
              <w:tc>
                <w:tcPr>
                  <w:tcW w:w="294" w:type="pct"/>
                  <w:vAlign w:val="center"/>
                </w:tcPr>
                <w:p w14:paraId="6E931EE6">
                  <w:pPr>
                    <w:adjustRightInd w:val="0"/>
                    <w:snapToGrid w:val="0"/>
                    <w:spacing w:line="240" w:lineRule="auto"/>
                    <w:jc w:val="center"/>
                    <w:rPr>
                      <w:color w:val="auto"/>
                      <w:szCs w:val="21"/>
                    </w:rPr>
                  </w:pPr>
                  <w:r>
                    <w:rPr>
                      <w:rFonts w:hint="eastAsia"/>
                      <w:color w:val="auto"/>
                      <w:szCs w:val="21"/>
                    </w:rPr>
                    <w:t>废润滑油</w:t>
                  </w:r>
                </w:p>
              </w:tc>
              <w:tc>
                <w:tcPr>
                  <w:tcW w:w="376" w:type="pct"/>
                  <w:vAlign w:val="center"/>
                </w:tcPr>
                <w:p w14:paraId="1B4D46E6">
                  <w:pPr>
                    <w:adjustRightInd w:val="0"/>
                    <w:spacing w:line="240" w:lineRule="auto"/>
                    <w:jc w:val="center"/>
                    <w:rPr>
                      <w:color w:val="auto"/>
                      <w:spacing w:val="-10"/>
                      <w:szCs w:val="21"/>
                    </w:rPr>
                  </w:pPr>
                  <w:r>
                    <w:rPr>
                      <w:rFonts w:hint="eastAsia"/>
                      <w:color w:val="auto"/>
                      <w:spacing w:val="-10"/>
                      <w:szCs w:val="21"/>
                    </w:rPr>
                    <w:t>0.</w:t>
                  </w:r>
                  <w:r>
                    <w:rPr>
                      <w:rFonts w:hint="eastAsia"/>
                      <w:color w:val="auto"/>
                      <w:spacing w:val="-10"/>
                      <w:szCs w:val="21"/>
                      <w:lang w:val="en-US" w:eastAsia="zh-CN"/>
                    </w:rPr>
                    <w:t>3</w:t>
                  </w:r>
                  <w:r>
                    <w:rPr>
                      <w:rFonts w:hint="eastAsia"/>
                      <w:color w:val="auto"/>
                      <w:spacing w:val="-10"/>
                      <w:szCs w:val="21"/>
                    </w:rPr>
                    <w:t>5</w:t>
                  </w:r>
                </w:p>
              </w:tc>
              <w:tc>
                <w:tcPr>
                  <w:tcW w:w="695" w:type="pct"/>
                  <w:vAlign w:val="center"/>
                </w:tcPr>
                <w:p w14:paraId="24B421AA">
                  <w:pPr>
                    <w:adjustRightInd w:val="0"/>
                    <w:spacing w:line="240" w:lineRule="auto"/>
                    <w:jc w:val="center"/>
                    <w:rPr>
                      <w:color w:val="auto"/>
                      <w:spacing w:val="-10"/>
                      <w:szCs w:val="21"/>
                    </w:rPr>
                  </w:pPr>
                  <w:r>
                    <w:rPr>
                      <w:color w:val="auto"/>
                      <w:spacing w:val="-10"/>
                      <w:szCs w:val="21"/>
                    </w:rPr>
                    <w:t>HW08</w:t>
                  </w:r>
                </w:p>
                <w:p w14:paraId="3DD4384C">
                  <w:pPr>
                    <w:adjustRightInd w:val="0"/>
                    <w:spacing w:line="240" w:lineRule="auto"/>
                    <w:jc w:val="center"/>
                    <w:rPr>
                      <w:color w:val="auto"/>
                      <w:spacing w:val="-10"/>
                      <w:szCs w:val="21"/>
                    </w:rPr>
                  </w:pPr>
                  <w:r>
                    <w:rPr>
                      <w:color w:val="auto"/>
                      <w:spacing w:val="-10"/>
                      <w:szCs w:val="21"/>
                    </w:rPr>
                    <w:t>900-2</w:t>
                  </w:r>
                  <w:r>
                    <w:rPr>
                      <w:rFonts w:hint="eastAsia"/>
                      <w:color w:val="auto"/>
                      <w:spacing w:val="-10"/>
                      <w:szCs w:val="21"/>
                    </w:rPr>
                    <w:t>1</w:t>
                  </w:r>
                  <w:r>
                    <w:rPr>
                      <w:rFonts w:hint="eastAsia"/>
                      <w:color w:val="auto"/>
                      <w:spacing w:val="-10"/>
                      <w:szCs w:val="21"/>
                      <w:lang w:val="en-US" w:eastAsia="zh-CN"/>
                    </w:rPr>
                    <w:t>7</w:t>
                  </w:r>
                  <w:r>
                    <w:rPr>
                      <w:color w:val="auto"/>
                      <w:spacing w:val="-10"/>
                      <w:szCs w:val="21"/>
                    </w:rPr>
                    <w:t>-08</w:t>
                  </w:r>
                </w:p>
              </w:tc>
              <w:tc>
                <w:tcPr>
                  <w:tcW w:w="447" w:type="pct"/>
                  <w:vAlign w:val="center"/>
                </w:tcPr>
                <w:p w14:paraId="432875BA">
                  <w:pPr>
                    <w:adjustRightInd w:val="0"/>
                    <w:snapToGrid w:val="0"/>
                    <w:spacing w:line="240" w:lineRule="auto"/>
                    <w:jc w:val="center"/>
                    <w:rPr>
                      <w:color w:val="auto"/>
                      <w:szCs w:val="21"/>
                    </w:rPr>
                  </w:pPr>
                  <w:r>
                    <w:rPr>
                      <w:color w:val="auto"/>
                      <w:szCs w:val="21"/>
                    </w:rPr>
                    <w:t>设备维</w:t>
                  </w:r>
                  <w:r>
                    <w:rPr>
                      <w:rFonts w:hint="eastAsia"/>
                      <w:color w:val="auto"/>
                      <w:szCs w:val="21"/>
                    </w:rPr>
                    <w:t>修保养</w:t>
                  </w:r>
                </w:p>
              </w:tc>
              <w:tc>
                <w:tcPr>
                  <w:tcW w:w="227" w:type="pct"/>
                  <w:vAlign w:val="center"/>
                </w:tcPr>
                <w:p w14:paraId="1B4CD007">
                  <w:pPr>
                    <w:adjustRightInd w:val="0"/>
                    <w:snapToGrid w:val="0"/>
                    <w:spacing w:line="240" w:lineRule="auto"/>
                    <w:jc w:val="center"/>
                    <w:rPr>
                      <w:color w:val="auto"/>
                      <w:szCs w:val="21"/>
                    </w:rPr>
                  </w:pPr>
                  <w:r>
                    <w:rPr>
                      <w:color w:val="auto"/>
                      <w:szCs w:val="21"/>
                    </w:rPr>
                    <w:t>液态</w:t>
                  </w:r>
                </w:p>
              </w:tc>
              <w:tc>
                <w:tcPr>
                  <w:tcW w:w="318" w:type="pct"/>
                  <w:vAlign w:val="center"/>
                </w:tcPr>
                <w:p w14:paraId="6A867B02">
                  <w:pPr>
                    <w:adjustRightInd w:val="0"/>
                    <w:snapToGrid w:val="0"/>
                    <w:spacing w:line="240" w:lineRule="auto"/>
                    <w:jc w:val="center"/>
                    <w:rPr>
                      <w:color w:val="auto"/>
                      <w:szCs w:val="21"/>
                    </w:rPr>
                  </w:pPr>
                  <w:r>
                    <w:rPr>
                      <w:color w:val="auto"/>
                      <w:szCs w:val="21"/>
                    </w:rPr>
                    <w:t>油类物质</w:t>
                  </w:r>
                </w:p>
              </w:tc>
              <w:tc>
                <w:tcPr>
                  <w:tcW w:w="569" w:type="pct"/>
                  <w:vAlign w:val="center"/>
                </w:tcPr>
                <w:p w14:paraId="31A6A5D8">
                  <w:pPr>
                    <w:adjustRightInd w:val="0"/>
                    <w:snapToGrid w:val="0"/>
                    <w:spacing w:line="240" w:lineRule="auto"/>
                    <w:jc w:val="center"/>
                    <w:rPr>
                      <w:color w:val="auto"/>
                      <w:szCs w:val="21"/>
                    </w:rPr>
                  </w:pPr>
                  <w:r>
                    <w:rPr>
                      <w:rFonts w:hint="eastAsia"/>
                      <w:color w:val="auto"/>
                      <w:szCs w:val="21"/>
                    </w:rPr>
                    <w:t>石油烃</w:t>
                  </w:r>
                </w:p>
              </w:tc>
              <w:tc>
                <w:tcPr>
                  <w:tcW w:w="487" w:type="pct"/>
                  <w:vAlign w:val="center"/>
                </w:tcPr>
                <w:p w14:paraId="352398FC">
                  <w:pPr>
                    <w:adjustRightInd w:val="0"/>
                    <w:snapToGrid w:val="0"/>
                    <w:spacing w:line="240" w:lineRule="auto"/>
                    <w:jc w:val="center"/>
                    <w:rPr>
                      <w:color w:val="auto"/>
                      <w:szCs w:val="21"/>
                    </w:rPr>
                  </w:pPr>
                  <w:r>
                    <w:rPr>
                      <w:color w:val="auto"/>
                      <w:szCs w:val="21"/>
                    </w:rPr>
                    <w:t>每</w:t>
                  </w:r>
                  <w:r>
                    <w:rPr>
                      <w:rFonts w:hint="eastAsia"/>
                      <w:color w:val="auto"/>
                      <w:szCs w:val="21"/>
                    </w:rPr>
                    <w:t>年</w:t>
                  </w:r>
                </w:p>
              </w:tc>
              <w:tc>
                <w:tcPr>
                  <w:tcW w:w="511" w:type="pct"/>
                  <w:vAlign w:val="center"/>
                </w:tcPr>
                <w:p w14:paraId="0B971ACA">
                  <w:pPr>
                    <w:adjustRightInd w:val="0"/>
                    <w:spacing w:line="240" w:lineRule="auto"/>
                    <w:jc w:val="center"/>
                    <w:rPr>
                      <w:color w:val="auto"/>
                      <w:spacing w:val="-10"/>
                      <w:szCs w:val="21"/>
                    </w:rPr>
                  </w:pPr>
                  <w:r>
                    <w:rPr>
                      <w:color w:val="auto"/>
                      <w:kern w:val="0"/>
                      <w:szCs w:val="21"/>
                    </w:rPr>
                    <w:t>T，I</w:t>
                  </w:r>
                </w:p>
              </w:tc>
              <w:tc>
                <w:tcPr>
                  <w:tcW w:w="879" w:type="pct"/>
                  <w:vMerge w:val="restart"/>
                  <w:vAlign w:val="center"/>
                </w:tcPr>
                <w:p w14:paraId="0EC1A10E">
                  <w:pPr>
                    <w:adjustRightInd w:val="0"/>
                    <w:snapToGrid w:val="0"/>
                    <w:spacing w:line="240" w:lineRule="auto"/>
                    <w:jc w:val="center"/>
                    <w:rPr>
                      <w:color w:val="auto"/>
                      <w:spacing w:val="-10"/>
                      <w:szCs w:val="21"/>
                    </w:rPr>
                  </w:pPr>
                  <w:r>
                    <w:rPr>
                      <w:rFonts w:hint="eastAsia"/>
                      <w:color w:val="auto"/>
                      <w:spacing w:val="-10"/>
                      <w:szCs w:val="21"/>
                    </w:rPr>
                    <w:t>设备维修保养过程中下设防渗托盘，用于收集滴落的废润滑油，产生的废油使用专用容器收集，废桶原盖封存，暂存于危废间，定期交由有资质的单位处置</w:t>
                  </w:r>
                </w:p>
              </w:tc>
            </w:tr>
            <w:tr w14:paraId="3946A08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393" w:hRule="atLeast"/>
                <w:jc w:val="center"/>
              </w:trPr>
              <w:tc>
                <w:tcPr>
                  <w:tcW w:w="193" w:type="pct"/>
                  <w:vAlign w:val="center"/>
                </w:tcPr>
                <w:p w14:paraId="37E8913A">
                  <w:pPr>
                    <w:adjustRightInd w:val="0"/>
                    <w:spacing w:line="240" w:lineRule="auto"/>
                    <w:jc w:val="center"/>
                    <w:rPr>
                      <w:rFonts w:hint="eastAsia"/>
                      <w:color w:val="auto"/>
                      <w:spacing w:val="-10"/>
                      <w:szCs w:val="21"/>
                    </w:rPr>
                  </w:pPr>
                  <w:r>
                    <w:rPr>
                      <w:rFonts w:hint="eastAsia"/>
                      <w:color w:val="auto"/>
                      <w:spacing w:val="-10"/>
                      <w:szCs w:val="21"/>
                    </w:rPr>
                    <w:t>2</w:t>
                  </w:r>
                </w:p>
              </w:tc>
              <w:tc>
                <w:tcPr>
                  <w:tcW w:w="294" w:type="pct"/>
                  <w:vAlign w:val="center"/>
                </w:tcPr>
                <w:p w14:paraId="7DA637B4">
                  <w:pPr>
                    <w:adjustRightInd w:val="0"/>
                    <w:snapToGrid w:val="0"/>
                    <w:spacing w:line="240" w:lineRule="auto"/>
                    <w:jc w:val="center"/>
                    <w:rPr>
                      <w:rFonts w:hint="eastAsia"/>
                      <w:color w:val="auto"/>
                      <w:szCs w:val="21"/>
                    </w:rPr>
                  </w:pPr>
                  <w:r>
                    <w:rPr>
                      <w:rFonts w:hint="eastAsia"/>
                      <w:color w:val="auto"/>
                      <w:szCs w:val="21"/>
                      <w:lang w:eastAsia="zh-CN"/>
                    </w:rPr>
                    <w:t>废液压油</w:t>
                  </w:r>
                </w:p>
              </w:tc>
              <w:tc>
                <w:tcPr>
                  <w:tcW w:w="376" w:type="pct"/>
                  <w:vAlign w:val="center"/>
                </w:tcPr>
                <w:p w14:paraId="0740C14F">
                  <w:pPr>
                    <w:adjustRightInd w:val="0"/>
                    <w:spacing w:line="240" w:lineRule="auto"/>
                    <w:jc w:val="center"/>
                    <w:rPr>
                      <w:rFonts w:hint="default" w:eastAsia="宋体"/>
                      <w:color w:val="auto"/>
                      <w:spacing w:val="-10"/>
                      <w:szCs w:val="21"/>
                      <w:lang w:val="en-US" w:eastAsia="zh-CN"/>
                    </w:rPr>
                  </w:pPr>
                  <w:r>
                    <w:rPr>
                      <w:rFonts w:hint="eastAsia"/>
                      <w:color w:val="auto"/>
                      <w:spacing w:val="-10"/>
                      <w:szCs w:val="21"/>
                      <w:lang w:val="en-US" w:eastAsia="zh-CN"/>
                    </w:rPr>
                    <w:t>0.7</w:t>
                  </w:r>
                </w:p>
              </w:tc>
              <w:tc>
                <w:tcPr>
                  <w:tcW w:w="695" w:type="pct"/>
                  <w:shd w:val="clear" w:color="auto" w:fill="auto"/>
                  <w:vAlign w:val="center"/>
                </w:tcPr>
                <w:p w14:paraId="7D9870C6">
                  <w:pPr>
                    <w:adjustRightInd w:val="0"/>
                    <w:spacing w:line="240" w:lineRule="auto"/>
                    <w:jc w:val="center"/>
                    <w:rPr>
                      <w:color w:val="auto"/>
                      <w:spacing w:val="-10"/>
                      <w:szCs w:val="21"/>
                    </w:rPr>
                  </w:pPr>
                  <w:r>
                    <w:rPr>
                      <w:color w:val="auto"/>
                      <w:spacing w:val="-10"/>
                      <w:szCs w:val="21"/>
                    </w:rPr>
                    <w:t>HW08</w:t>
                  </w:r>
                </w:p>
                <w:p w14:paraId="26400CD7">
                  <w:pPr>
                    <w:adjustRightInd w:val="0"/>
                    <w:spacing w:line="240" w:lineRule="auto"/>
                    <w:jc w:val="center"/>
                    <w:rPr>
                      <w:rFonts w:ascii="Times New Roman" w:hAnsi="Times New Roman" w:eastAsia="宋体" w:cs="Times New Roman"/>
                      <w:color w:val="auto"/>
                      <w:spacing w:val="-10"/>
                      <w:kern w:val="2"/>
                      <w:sz w:val="21"/>
                      <w:szCs w:val="21"/>
                      <w:lang w:val="en-US" w:eastAsia="zh-CN" w:bidi="ar-SA"/>
                    </w:rPr>
                  </w:pPr>
                  <w:r>
                    <w:rPr>
                      <w:color w:val="auto"/>
                      <w:spacing w:val="-10"/>
                      <w:szCs w:val="21"/>
                    </w:rPr>
                    <w:t>900-2</w:t>
                  </w:r>
                  <w:r>
                    <w:rPr>
                      <w:rFonts w:hint="eastAsia"/>
                      <w:color w:val="auto"/>
                      <w:spacing w:val="-10"/>
                      <w:szCs w:val="21"/>
                    </w:rPr>
                    <w:t>1</w:t>
                  </w:r>
                  <w:r>
                    <w:rPr>
                      <w:rFonts w:hint="eastAsia"/>
                      <w:color w:val="auto"/>
                      <w:spacing w:val="-10"/>
                      <w:szCs w:val="21"/>
                      <w:lang w:val="en-US" w:eastAsia="zh-CN"/>
                    </w:rPr>
                    <w:t>8</w:t>
                  </w:r>
                  <w:r>
                    <w:rPr>
                      <w:color w:val="auto"/>
                      <w:spacing w:val="-10"/>
                      <w:szCs w:val="21"/>
                    </w:rPr>
                    <w:t>-08</w:t>
                  </w:r>
                </w:p>
              </w:tc>
              <w:tc>
                <w:tcPr>
                  <w:tcW w:w="447" w:type="pct"/>
                  <w:shd w:val="clear" w:color="auto" w:fill="auto"/>
                  <w:vAlign w:val="center"/>
                </w:tcPr>
                <w:p w14:paraId="613E1AF1">
                  <w:pPr>
                    <w:adjustRightInd w:val="0"/>
                    <w:snapToGrid w:val="0"/>
                    <w:spacing w:line="240" w:lineRule="auto"/>
                    <w:jc w:val="center"/>
                    <w:rPr>
                      <w:rFonts w:ascii="Times New Roman" w:hAnsi="Times New Roman" w:eastAsia="宋体" w:cs="Times New Roman"/>
                      <w:color w:val="auto"/>
                      <w:kern w:val="2"/>
                      <w:sz w:val="21"/>
                      <w:szCs w:val="21"/>
                      <w:lang w:val="en-US" w:eastAsia="zh-CN" w:bidi="ar-SA"/>
                    </w:rPr>
                  </w:pPr>
                  <w:r>
                    <w:rPr>
                      <w:color w:val="auto"/>
                      <w:szCs w:val="21"/>
                    </w:rPr>
                    <w:t>设备维</w:t>
                  </w:r>
                  <w:r>
                    <w:rPr>
                      <w:rFonts w:hint="eastAsia"/>
                      <w:color w:val="auto"/>
                      <w:szCs w:val="21"/>
                    </w:rPr>
                    <w:t>修保养</w:t>
                  </w:r>
                </w:p>
              </w:tc>
              <w:tc>
                <w:tcPr>
                  <w:tcW w:w="227" w:type="pct"/>
                  <w:shd w:val="clear" w:color="auto" w:fill="auto"/>
                  <w:vAlign w:val="center"/>
                </w:tcPr>
                <w:p w14:paraId="7D7CCBDE">
                  <w:pPr>
                    <w:adjustRightInd w:val="0"/>
                    <w:snapToGrid w:val="0"/>
                    <w:spacing w:line="240" w:lineRule="auto"/>
                    <w:jc w:val="center"/>
                    <w:rPr>
                      <w:rFonts w:ascii="Times New Roman" w:hAnsi="Times New Roman" w:eastAsia="宋体" w:cs="Times New Roman"/>
                      <w:color w:val="auto"/>
                      <w:kern w:val="2"/>
                      <w:sz w:val="21"/>
                      <w:szCs w:val="21"/>
                      <w:lang w:val="en-US" w:eastAsia="zh-CN" w:bidi="ar-SA"/>
                    </w:rPr>
                  </w:pPr>
                  <w:r>
                    <w:rPr>
                      <w:color w:val="auto"/>
                      <w:szCs w:val="21"/>
                    </w:rPr>
                    <w:t>液态</w:t>
                  </w:r>
                </w:p>
              </w:tc>
              <w:tc>
                <w:tcPr>
                  <w:tcW w:w="318" w:type="pct"/>
                  <w:shd w:val="clear" w:color="auto" w:fill="auto"/>
                  <w:vAlign w:val="center"/>
                </w:tcPr>
                <w:p w14:paraId="3F444B18">
                  <w:pPr>
                    <w:adjustRightInd w:val="0"/>
                    <w:snapToGrid w:val="0"/>
                    <w:spacing w:line="240" w:lineRule="auto"/>
                    <w:jc w:val="center"/>
                    <w:rPr>
                      <w:rFonts w:ascii="Times New Roman" w:hAnsi="Times New Roman" w:eastAsia="宋体" w:cs="Times New Roman"/>
                      <w:color w:val="auto"/>
                      <w:kern w:val="2"/>
                      <w:sz w:val="21"/>
                      <w:szCs w:val="21"/>
                      <w:lang w:val="en-US" w:eastAsia="zh-CN" w:bidi="ar-SA"/>
                    </w:rPr>
                  </w:pPr>
                  <w:r>
                    <w:rPr>
                      <w:color w:val="auto"/>
                      <w:szCs w:val="21"/>
                    </w:rPr>
                    <w:t>油类物质</w:t>
                  </w:r>
                </w:p>
              </w:tc>
              <w:tc>
                <w:tcPr>
                  <w:tcW w:w="569" w:type="pct"/>
                  <w:shd w:val="clear" w:color="auto" w:fill="auto"/>
                  <w:vAlign w:val="center"/>
                </w:tcPr>
                <w:p w14:paraId="22EBDA04">
                  <w:pPr>
                    <w:adjustRightInd w:val="0"/>
                    <w:snapToGrid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石油烃</w:t>
                  </w:r>
                </w:p>
              </w:tc>
              <w:tc>
                <w:tcPr>
                  <w:tcW w:w="487" w:type="pct"/>
                  <w:shd w:val="clear" w:color="auto" w:fill="auto"/>
                  <w:vAlign w:val="center"/>
                </w:tcPr>
                <w:p w14:paraId="44BFF7A8">
                  <w:pPr>
                    <w:adjustRightInd w:val="0"/>
                    <w:snapToGrid w:val="0"/>
                    <w:spacing w:line="240" w:lineRule="auto"/>
                    <w:jc w:val="center"/>
                    <w:rPr>
                      <w:rFonts w:ascii="Times New Roman" w:hAnsi="Times New Roman" w:eastAsia="宋体" w:cs="Times New Roman"/>
                      <w:color w:val="auto"/>
                      <w:kern w:val="2"/>
                      <w:sz w:val="21"/>
                      <w:szCs w:val="21"/>
                      <w:lang w:val="en-US" w:eastAsia="zh-CN" w:bidi="ar-SA"/>
                    </w:rPr>
                  </w:pPr>
                  <w:r>
                    <w:rPr>
                      <w:color w:val="auto"/>
                      <w:szCs w:val="21"/>
                    </w:rPr>
                    <w:t>每</w:t>
                  </w:r>
                  <w:r>
                    <w:rPr>
                      <w:rFonts w:hint="eastAsia"/>
                      <w:color w:val="auto"/>
                      <w:szCs w:val="21"/>
                    </w:rPr>
                    <w:t>年</w:t>
                  </w:r>
                </w:p>
              </w:tc>
              <w:tc>
                <w:tcPr>
                  <w:tcW w:w="511" w:type="pct"/>
                  <w:shd w:val="clear" w:color="auto" w:fill="auto"/>
                  <w:vAlign w:val="center"/>
                </w:tcPr>
                <w:p w14:paraId="04AF9DC6">
                  <w:pPr>
                    <w:adjustRightInd w:val="0"/>
                    <w:spacing w:line="240" w:lineRule="auto"/>
                    <w:jc w:val="center"/>
                    <w:rPr>
                      <w:rFonts w:ascii="Times New Roman" w:hAnsi="Times New Roman" w:eastAsia="宋体" w:cs="Times New Roman"/>
                      <w:color w:val="auto"/>
                      <w:spacing w:val="-10"/>
                      <w:kern w:val="2"/>
                      <w:sz w:val="21"/>
                      <w:szCs w:val="21"/>
                      <w:lang w:val="en-US" w:eastAsia="zh-CN" w:bidi="ar-SA"/>
                    </w:rPr>
                  </w:pPr>
                  <w:r>
                    <w:rPr>
                      <w:color w:val="auto"/>
                      <w:kern w:val="0"/>
                      <w:szCs w:val="21"/>
                    </w:rPr>
                    <w:t>T，I</w:t>
                  </w:r>
                </w:p>
              </w:tc>
              <w:tc>
                <w:tcPr>
                  <w:tcW w:w="879" w:type="pct"/>
                  <w:vMerge w:val="continue"/>
                  <w:vAlign w:val="center"/>
                </w:tcPr>
                <w:p w14:paraId="08312F38">
                  <w:pPr>
                    <w:adjustRightInd w:val="0"/>
                    <w:snapToGrid w:val="0"/>
                    <w:spacing w:line="240" w:lineRule="auto"/>
                    <w:jc w:val="center"/>
                    <w:rPr>
                      <w:rFonts w:hint="eastAsia"/>
                      <w:color w:val="auto"/>
                      <w:spacing w:val="-10"/>
                      <w:szCs w:val="21"/>
                    </w:rPr>
                  </w:pPr>
                </w:p>
              </w:tc>
            </w:tr>
            <w:tr w14:paraId="141D41B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393" w:hRule="atLeast"/>
                <w:jc w:val="center"/>
              </w:trPr>
              <w:tc>
                <w:tcPr>
                  <w:tcW w:w="193" w:type="pct"/>
                  <w:vAlign w:val="center"/>
                </w:tcPr>
                <w:p w14:paraId="53B53B5B">
                  <w:pPr>
                    <w:adjustRightInd w:val="0"/>
                    <w:spacing w:line="240" w:lineRule="auto"/>
                    <w:jc w:val="center"/>
                    <w:rPr>
                      <w:rFonts w:hint="eastAsia" w:eastAsia="宋体"/>
                      <w:color w:val="auto"/>
                      <w:spacing w:val="-10"/>
                      <w:szCs w:val="21"/>
                      <w:lang w:val="en-US" w:eastAsia="zh-CN"/>
                    </w:rPr>
                  </w:pPr>
                  <w:r>
                    <w:rPr>
                      <w:rFonts w:hint="eastAsia"/>
                      <w:color w:val="auto"/>
                      <w:spacing w:val="-10"/>
                      <w:szCs w:val="21"/>
                      <w:lang w:val="en-US" w:eastAsia="zh-CN"/>
                    </w:rPr>
                    <w:t>3</w:t>
                  </w:r>
                </w:p>
              </w:tc>
              <w:tc>
                <w:tcPr>
                  <w:tcW w:w="294" w:type="pct"/>
                  <w:vAlign w:val="center"/>
                </w:tcPr>
                <w:p w14:paraId="1D6C517A">
                  <w:pPr>
                    <w:adjustRightInd w:val="0"/>
                    <w:snapToGrid w:val="0"/>
                    <w:spacing w:line="240" w:lineRule="auto"/>
                    <w:jc w:val="center"/>
                    <w:rPr>
                      <w:color w:val="auto"/>
                      <w:szCs w:val="21"/>
                    </w:rPr>
                  </w:pPr>
                  <w:r>
                    <w:rPr>
                      <w:rFonts w:hint="eastAsia"/>
                      <w:color w:val="auto"/>
                      <w:szCs w:val="21"/>
                    </w:rPr>
                    <w:t>废油桶</w:t>
                  </w:r>
                </w:p>
              </w:tc>
              <w:tc>
                <w:tcPr>
                  <w:tcW w:w="376" w:type="pct"/>
                  <w:vAlign w:val="center"/>
                </w:tcPr>
                <w:p w14:paraId="052361D4">
                  <w:pPr>
                    <w:adjustRightInd w:val="0"/>
                    <w:spacing w:line="240" w:lineRule="auto"/>
                    <w:jc w:val="center"/>
                    <w:rPr>
                      <w:rFonts w:hint="default" w:eastAsia="宋体"/>
                      <w:color w:val="auto"/>
                      <w:spacing w:val="-10"/>
                      <w:szCs w:val="21"/>
                      <w:lang w:val="en-US" w:eastAsia="zh-CN"/>
                    </w:rPr>
                  </w:pPr>
                  <w:r>
                    <w:rPr>
                      <w:rFonts w:hint="eastAsia"/>
                      <w:color w:val="auto"/>
                      <w:spacing w:val="-10"/>
                      <w:szCs w:val="21"/>
                    </w:rPr>
                    <w:t>0.</w:t>
                  </w:r>
                  <w:r>
                    <w:rPr>
                      <w:rFonts w:hint="eastAsia"/>
                      <w:color w:val="auto"/>
                      <w:spacing w:val="-10"/>
                      <w:szCs w:val="21"/>
                      <w:lang w:val="en-US" w:eastAsia="zh-CN"/>
                    </w:rPr>
                    <w:t>12</w:t>
                  </w:r>
                </w:p>
              </w:tc>
              <w:tc>
                <w:tcPr>
                  <w:tcW w:w="695" w:type="pct"/>
                  <w:vAlign w:val="center"/>
                </w:tcPr>
                <w:p w14:paraId="40FAA0F9">
                  <w:pPr>
                    <w:adjustRightInd w:val="0"/>
                    <w:spacing w:line="240" w:lineRule="auto"/>
                    <w:jc w:val="center"/>
                    <w:rPr>
                      <w:color w:val="auto"/>
                      <w:spacing w:val="-10"/>
                      <w:szCs w:val="21"/>
                    </w:rPr>
                  </w:pPr>
                  <w:r>
                    <w:rPr>
                      <w:color w:val="auto"/>
                      <w:spacing w:val="-10"/>
                      <w:szCs w:val="21"/>
                    </w:rPr>
                    <w:t>HW08</w:t>
                  </w:r>
                </w:p>
                <w:p w14:paraId="511C66B2">
                  <w:pPr>
                    <w:adjustRightInd w:val="0"/>
                    <w:spacing w:line="240" w:lineRule="auto"/>
                    <w:jc w:val="center"/>
                    <w:rPr>
                      <w:color w:val="auto"/>
                      <w:spacing w:val="-10"/>
                      <w:szCs w:val="21"/>
                    </w:rPr>
                  </w:pPr>
                  <w:r>
                    <w:rPr>
                      <w:color w:val="auto"/>
                      <w:spacing w:val="-10"/>
                      <w:szCs w:val="21"/>
                    </w:rPr>
                    <w:t>900-2</w:t>
                  </w:r>
                  <w:r>
                    <w:rPr>
                      <w:rFonts w:hint="eastAsia"/>
                      <w:color w:val="auto"/>
                      <w:spacing w:val="-10"/>
                      <w:szCs w:val="21"/>
                    </w:rPr>
                    <w:t>49</w:t>
                  </w:r>
                  <w:r>
                    <w:rPr>
                      <w:color w:val="auto"/>
                      <w:spacing w:val="-10"/>
                      <w:szCs w:val="21"/>
                    </w:rPr>
                    <w:t>-08</w:t>
                  </w:r>
                </w:p>
              </w:tc>
              <w:tc>
                <w:tcPr>
                  <w:tcW w:w="447" w:type="pct"/>
                  <w:vAlign w:val="center"/>
                </w:tcPr>
                <w:p w14:paraId="71F8433F">
                  <w:pPr>
                    <w:adjustRightInd w:val="0"/>
                    <w:snapToGrid w:val="0"/>
                    <w:spacing w:line="240" w:lineRule="auto"/>
                    <w:jc w:val="center"/>
                    <w:rPr>
                      <w:color w:val="auto"/>
                      <w:szCs w:val="21"/>
                    </w:rPr>
                  </w:pPr>
                  <w:r>
                    <w:rPr>
                      <w:color w:val="auto"/>
                      <w:szCs w:val="21"/>
                    </w:rPr>
                    <w:t>设备维</w:t>
                  </w:r>
                  <w:r>
                    <w:rPr>
                      <w:rFonts w:hint="eastAsia"/>
                      <w:color w:val="auto"/>
                      <w:szCs w:val="21"/>
                    </w:rPr>
                    <w:t>修保养</w:t>
                  </w:r>
                </w:p>
              </w:tc>
              <w:tc>
                <w:tcPr>
                  <w:tcW w:w="227" w:type="pct"/>
                  <w:vAlign w:val="center"/>
                </w:tcPr>
                <w:p w14:paraId="17974054">
                  <w:pPr>
                    <w:adjustRightInd w:val="0"/>
                    <w:snapToGrid w:val="0"/>
                    <w:spacing w:line="240" w:lineRule="auto"/>
                    <w:jc w:val="center"/>
                    <w:rPr>
                      <w:color w:val="auto"/>
                      <w:szCs w:val="21"/>
                    </w:rPr>
                  </w:pPr>
                  <w:r>
                    <w:rPr>
                      <w:rFonts w:hint="eastAsia"/>
                      <w:color w:val="auto"/>
                      <w:szCs w:val="21"/>
                    </w:rPr>
                    <w:t>固</w:t>
                  </w:r>
                  <w:r>
                    <w:rPr>
                      <w:color w:val="auto"/>
                      <w:szCs w:val="21"/>
                    </w:rPr>
                    <w:t>态</w:t>
                  </w:r>
                </w:p>
              </w:tc>
              <w:tc>
                <w:tcPr>
                  <w:tcW w:w="318" w:type="pct"/>
                  <w:vAlign w:val="center"/>
                </w:tcPr>
                <w:p w14:paraId="5B2DE1A0">
                  <w:pPr>
                    <w:adjustRightInd w:val="0"/>
                    <w:snapToGrid w:val="0"/>
                    <w:spacing w:line="240" w:lineRule="auto"/>
                    <w:jc w:val="center"/>
                    <w:rPr>
                      <w:color w:val="auto"/>
                      <w:szCs w:val="21"/>
                    </w:rPr>
                  </w:pPr>
                  <w:r>
                    <w:rPr>
                      <w:color w:val="auto"/>
                      <w:szCs w:val="21"/>
                    </w:rPr>
                    <w:t>塑料</w:t>
                  </w:r>
                </w:p>
              </w:tc>
              <w:tc>
                <w:tcPr>
                  <w:tcW w:w="569" w:type="pct"/>
                  <w:vAlign w:val="center"/>
                </w:tcPr>
                <w:p w14:paraId="1EA8F95B">
                  <w:pPr>
                    <w:adjustRightInd w:val="0"/>
                    <w:snapToGrid w:val="0"/>
                    <w:spacing w:line="240" w:lineRule="auto"/>
                    <w:jc w:val="center"/>
                    <w:rPr>
                      <w:color w:val="auto"/>
                      <w:szCs w:val="21"/>
                    </w:rPr>
                  </w:pPr>
                  <w:r>
                    <w:rPr>
                      <w:rFonts w:hint="eastAsia"/>
                      <w:color w:val="auto"/>
                      <w:szCs w:val="21"/>
                    </w:rPr>
                    <w:t>石油烃</w:t>
                  </w:r>
                </w:p>
              </w:tc>
              <w:tc>
                <w:tcPr>
                  <w:tcW w:w="487" w:type="pct"/>
                  <w:vAlign w:val="center"/>
                </w:tcPr>
                <w:p w14:paraId="109B0BF5">
                  <w:pPr>
                    <w:adjustRightInd w:val="0"/>
                    <w:spacing w:line="240" w:lineRule="auto"/>
                    <w:jc w:val="center"/>
                    <w:rPr>
                      <w:color w:val="auto"/>
                      <w:spacing w:val="-10"/>
                      <w:szCs w:val="21"/>
                    </w:rPr>
                  </w:pPr>
                  <w:r>
                    <w:rPr>
                      <w:color w:val="auto"/>
                      <w:szCs w:val="21"/>
                    </w:rPr>
                    <w:t>每</w:t>
                  </w:r>
                  <w:r>
                    <w:rPr>
                      <w:rFonts w:hint="eastAsia"/>
                      <w:color w:val="auto"/>
                      <w:szCs w:val="21"/>
                    </w:rPr>
                    <w:t>年</w:t>
                  </w:r>
                </w:p>
              </w:tc>
              <w:tc>
                <w:tcPr>
                  <w:tcW w:w="511" w:type="pct"/>
                  <w:vAlign w:val="center"/>
                </w:tcPr>
                <w:p w14:paraId="7B0A2932">
                  <w:pPr>
                    <w:adjustRightInd w:val="0"/>
                    <w:spacing w:line="240" w:lineRule="auto"/>
                    <w:jc w:val="center"/>
                    <w:rPr>
                      <w:color w:val="auto"/>
                      <w:spacing w:val="-10"/>
                      <w:szCs w:val="21"/>
                    </w:rPr>
                  </w:pPr>
                  <w:r>
                    <w:rPr>
                      <w:color w:val="auto"/>
                      <w:spacing w:val="-10"/>
                      <w:szCs w:val="21"/>
                    </w:rPr>
                    <w:t>T</w:t>
                  </w:r>
                  <w:r>
                    <w:rPr>
                      <w:rFonts w:hint="eastAsia"/>
                      <w:color w:val="auto"/>
                      <w:spacing w:val="-10"/>
                      <w:szCs w:val="21"/>
                    </w:rPr>
                    <w:t>，I</w:t>
                  </w:r>
                </w:p>
              </w:tc>
              <w:tc>
                <w:tcPr>
                  <w:tcW w:w="879" w:type="pct"/>
                  <w:vMerge w:val="continue"/>
                  <w:vAlign w:val="center"/>
                </w:tcPr>
                <w:p w14:paraId="30B8C277">
                  <w:pPr>
                    <w:adjustRightInd w:val="0"/>
                    <w:snapToGrid w:val="0"/>
                    <w:spacing w:line="240" w:lineRule="auto"/>
                    <w:jc w:val="center"/>
                    <w:rPr>
                      <w:color w:val="auto"/>
                      <w:spacing w:val="-10"/>
                      <w:szCs w:val="21"/>
                    </w:rPr>
                  </w:pPr>
                </w:p>
              </w:tc>
            </w:tr>
            <w:tr w14:paraId="2F2C92F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393" w:hRule="atLeast"/>
                <w:jc w:val="center"/>
              </w:trPr>
              <w:tc>
                <w:tcPr>
                  <w:tcW w:w="193" w:type="pct"/>
                  <w:vAlign w:val="center"/>
                </w:tcPr>
                <w:p w14:paraId="236465F8">
                  <w:pPr>
                    <w:adjustRightInd w:val="0"/>
                    <w:spacing w:line="240" w:lineRule="auto"/>
                    <w:jc w:val="center"/>
                    <w:rPr>
                      <w:rFonts w:hint="default"/>
                      <w:color w:val="auto"/>
                      <w:spacing w:val="-10"/>
                      <w:szCs w:val="21"/>
                      <w:lang w:val="en-US" w:eastAsia="zh-CN"/>
                    </w:rPr>
                  </w:pPr>
                  <w:r>
                    <w:rPr>
                      <w:rFonts w:hint="eastAsia"/>
                      <w:color w:val="auto"/>
                      <w:spacing w:val="-10"/>
                      <w:szCs w:val="21"/>
                      <w:lang w:val="en-US" w:eastAsia="zh-CN"/>
                    </w:rPr>
                    <w:t>4</w:t>
                  </w:r>
                </w:p>
              </w:tc>
              <w:tc>
                <w:tcPr>
                  <w:tcW w:w="294" w:type="pct"/>
                  <w:vAlign w:val="center"/>
                </w:tcPr>
                <w:p w14:paraId="5618931F">
                  <w:pPr>
                    <w:adjustRightInd w:val="0"/>
                    <w:snapToGrid w:val="0"/>
                    <w:spacing w:line="240" w:lineRule="auto"/>
                    <w:jc w:val="center"/>
                    <w:rPr>
                      <w:rFonts w:hint="eastAsia"/>
                      <w:color w:val="auto"/>
                      <w:szCs w:val="21"/>
                    </w:rPr>
                  </w:pPr>
                  <w:r>
                    <w:rPr>
                      <w:rFonts w:hint="eastAsia"/>
                      <w:color w:val="auto"/>
                      <w:highlight w:val="none"/>
                      <w:lang w:eastAsia="zh-CN"/>
                    </w:rPr>
                    <w:t>废含油抹布</w:t>
                  </w:r>
                </w:p>
              </w:tc>
              <w:tc>
                <w:tcPr>
                  <w:tcW w:w="376" w:type="pct"/>
                  <w:vAlign w:val="center"/>
                </w:tcPr>
                <w:p w14:paraId="5C80A2A9">
                  <w:pPr>
                    <w:adjustRightInd w:val="0"/>
                    <w:spacing w:line="240" w:lineRule="auto"/>
                    <w:jc w:val="center"/>
                    <w:rPr>
                      <w:rFonts w:hint="default" w:eastAsia="宋体"/>
                      <w:color w:val="auto"/>
                      <w:spacing w:val="-10"/>
                      <w:szCs w:val="21"/>
                      <w:lang w:val="en-US" w:eastAsia="zh-CN"/>
                    </w:rPr>
                  </w:pPr>
                  <w:r>
                    <w:rPr>
                      <w:rFonts w:hint="eastAsia"/>
                      <w:color w:val="auto"/>
                      <w:spacing w:val="-10"/>
                      <w:szCs w:val="21"/>
                      <w:lang w:val="en-US" w:eastAsia="zh-CN"/>
                    </w:rPr>
                    <w:t>0.05</w:t>
                  </w:r>
                </w:p>
              </w:tc>
              <w:tc>
                <w:tcPr>
                  <w:tcW w:w="695" w:type="pct"/>
                  <w:vAlign w:val="center"/>
                </w:tcPr>
                <w:p w14:paraId="7CF534DA">
                  <w:pPr>
                    <w:adjustRightInd w:val="0"/>
                    <w:spacing w:line="240" w:lineRule="auto"/>
                    <w:jc w:val="center"/>
                    <w:rPr>
                      <w:rFonts w:hint="default" w:eastAsia="宋体"/>
                      <w:color w:val="auto"/>
                      <w:spacing w:val="-10"/>
                      <w:szCs w:val="21"/>
                      <w:lang w:val="en-US" w:eastAsia="zh-CN"/>
                    </w:rPr>
                  </w:pPr>
                  <w:r>
                    <w:rPr>
                      <w:color w:val="auto"/>
                      <w:spacing w:val="-10"/>
                      <w:szCs w:val="21"/>
                    </w:rPr>
                    <w:t>HW</w:t>
                  </w:r>
                  <w:r>
                    <w:rPr>
                      <w:rFonts w:hint="eastAsia"/>
                      <w:color w:val="auto"/>
                      <w:spacing w:val="-10"/>
                      <w:szCs w:val="21"/>
                      <w:lang w:val="en-US" w:eastAsia="zh-CN"/>
                    </w:rPr>
                    <w:t>49</w:t>
                  </w:r>
                </w:p>
                <w:p w14:paraId="6E0D1743">
                  <w:pPr>
                    <w:adjustRightInd w:val="0"/>
                    <w:spacing w:line="240" w:lineRule="auto"/>
                    <w:jc w:val="center"/>
                    <w:rPr>
                      <w:color w:val="auto"/>
                      <w:spacing w:val="-10"/>
                      <w:szCs w:val="21"/>
                    </w:rPr>
                  </w:pPr>
                  <w:r>
                    <w:rPr>
                      <w:rFonts w:hint="eastAsia" w:cs="宋体"/>
                      <w:bCs/>
                      <w:color w:val="auto"/>
                      <w:spacing w:val="-10"/>
                      <w:szCs w:val="21"/>
                    </w:rPr>
                    <w:t>900-041-49</w:t>
                  </w:r>
                </w:p>
              </w:tc>
              <w:tc>
                <w:tcPr>
                  <w:tcW w:w="447" w:type="pct"/>
                  <w:shd w:val="clear" w:color="auto" w:fill="auto"/>
                  <w:vAlign w:val="center"/>
                </w:tcPr>
                <w:p w14:paraId="79782678">
                  <w:pPr>
                    <w:adjustRightInd w:val="0"/>
                    <w:snapToGrid w:val="0"/>
                    <w:spacing w:line="240" w:lineRule="auto"/>
                    <w:jc w:val="center"/>
                    <w:rPr>
                      <w:rFonts w:ascii="Times New Roman" w:hAnsi="Times New Roman" w:eastAsia="宋体" w:cs="Times New Roman"/>
                      <w:color w:val="auto"/>
                      <w:kern w:val="2"/>
                      <w:sz w:val="21"/>
                      <w:szCs w:val="21"/>
                      <w:lang w:val="en-US" w:eastAsia="zh-CN" w:bidi="ar-SA"/>
                    </w:rPr>
                  </w:pPr>
                  <w:r>
                    <w:rPr>
                      <w:color w:val="auto"/>
                      <w:szCs w:val="21"/>
                    </w:rPr>
                    <w:t>设备维</w:t>
                  </w:r>
                  <w:r>
                    <w:rPr>
                      <w:rFonts w:hint="eastAsia"/>
                      <w:color w:val="auto"/>
                      <w:szCs w:val="21"/>
                    </w:rPr>
                    <w:t>修保养</w:t>
                  </w:r>
                </w:p>
              </w:tc>
              <w:tc>
                <w:tcPr>
                  <w:tcW w:w="227" w:type="pct"/>
                  <w:shd w:val="clear" w:color="auto" w:fill="auto"/>
                  <w:vAlign w:val="center"/>
                </w:tcPr>
                <w:p w14:paraId="29BB7E87">
                  <w:pPr>
                    <w:adjustRightInd w:val="0"/>
                    <w:snapToGrid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固</w:t>
                  </w:r>
                  <w:r>
                    <w:rPr>
                      <w:color w:val="auto"/>
                      <w:szCs w:val="21"/>
                    </w:rPr>
                    <w:t>态</w:t>
                  </w:r>
                </w:p>
              </w:tc>
              <w:tc>
                <w:tcPr>
                  <w:tcW w:w="318" w:type="pct"/>
                  <w:shd w:val="clear" w:color="auto" w:fill="auto"/>
                  <w:vAlign w:val="center"/>
                </w:tcPr>
                <w:p w14:paraId="31FE7A80">
                  <w:pPr>
                    <w:adjustRightInd w:val="0"/>
                    <w:snapToGrid w:val="0"/>
                    <w:spacing w:line="240" w:lineRule="auto"/>
                    <w:jc w:val="center"/>
                    <w:rPr>
                      <w:rFonts w:ascii="Times New Roman" w:hAnsi="Times New Roman" w:eastAsia="宋体" w:cs="Times New Roman"/>
                      <w:color w:val="auto"/>
                      <w:kern w:val="2"/>
                      <w:sz w:val="21"/>
                      <w:szCs w:val="21"/>
                      <w:lang w:val="en-US" w:eastAsia="zh-CN" w:bidi="ar-SA"/>
                    </w:rPr>
                  </w:pPr>
                  <w:r>
                    <w:rPr>
                      <w:color w:val="auto"/>
                      <w:szCs w:val="21"/>
                    </w:rPr>
                    <w:t>油类物质</w:t>
                  </w:r>
                </w:p>
              </w:tc>
              <w:tc>
                <w:tcPr>
                  <w:tcW w:w="569" w:type="pct"/>
                  <w:shd w:val="clear" w:color="auto" w:fill="auto"/>
                  <w:vAlign w:val="center"/>
                </w:tcPr>
                <w:p w14:paraId="27C48D03">
                  <w:pPr>
                    <w:adjustRightInd w:val="0"/>
                    <w:snapToGrid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石油烃</w:t>
                  </w:r>
                </w:p>
              </w:tc>
              <w:tc>
                <w:tcPr>
                  <w:tcW w:w="487" w:type="pct"/>
                  <w:shd w:val="clear" w:color="auto" w:fill="auto"/>
                  <w:vAlign w:val="center"/>
                </w:tcPr>
                <w:p w14:paraId="53D0FA50">
                  <w:pPr>
                    <w:adjustRightInd w:val="0"/>
                    <w:snapToGrid w:val="0"/>
                    <w:spacing w:line="240" w:lineRule="auto"/>
                    <w:jc w:val="center"/>
                    <w:rPr>
                      <w:rFonts w:ascii="Times New Roman" w:hAnsi="Times New Roman" w:eastAsia="宋体" w:cs="Times New Roman"/>
                      <w:color w:val="auto"/>
                      <w:kern w:val="2"/>
                      <w:sz w:val="21"/>
                      <w:szCs w:val="21"/>
                      <w:lang w:val="en-US" w:eastAsia="zh-CN" w:bidi="ar-SA"/>
                    </w:rPr>
                  </w:pPr>
                  <w:r>
                    <w:rPr>
                      <w:color w:val="auto"/>
                      <w:szCs w:val="21"/>
                    </w:rPr>
                    <w:t>每</w:t>
                  </w:r>
                  <w:r>
                    <w:rPr>
                      <w:rFonts w:hint="eastAsia"/>
                      <w:color w:val="auto"/>
                      <w:szCs w:val="21"/>
                    </w:rPr>
                    <w:t>年</w:t>
                  </w:r>
                </w:p>
              </w:tc>
              <w:tc>
                <w:tcPr>
                  <w:tcW w:w="511" w:type="pct"/>
                  <w:shd w:val="clear" w:color="auto" w:fill="auto"/>
                  <w:vAlign w:val="center"/>
                </w:tcPr>
                <w:p w14:paraId="323AD3B1">
                  <w:pPr>
                    <w:adjustRightInd w:val="0"/>
                    <w:spacing w:line="240" w:lineRule="auto"/>
                    <w:jc w:val="center"/>
                    <w:rPr>
                      <w:rFonts w:ascii="Times New Roman" w:hAnsi="Times New Roman" w:eastAsia="宋体" w:cs="Times New Roman"/>
                      <w:color w:val="auto"/>
                      <w:spacing w:val="-10"/>
                      <w:kern w:val="2"/>
                      <w:sz w:val="21"/>
                      <w:szCs w:val="21"/>
                      <w:lang w:val="en-US" w:eastAsia="zh-CN" w:bidi="ar-SA"/>
                    </w:rPr>
                  </w:pPr>
                  <w:r>
                    <w:rPr>
                      <w:color w:val="auto"/>
                      <w:kern w:val="0"/>
                      <w:szCs w:val="21"/>
                    </w:rPr>
                    <w:t>T，I</w:t>
                  </w:r>
                </w:p>
              </w:tc>
              <w:tc>
                <w:tcPr>
                  <w:tcW w:w="879" w:type="pct"/>
                  <w:vAlign w:val="center"/>
                </w:tcPr>
                <w:p w14:paraId="53FB6946">
                  <w:pPr>
                    <w:adjustRightInd w:val="0"/>
                    <w:snapToGrid w:val="0"/>
                    <w:spacing w:line="240" w:lineRule="auto"/>
                    <w:jc w:val="center"/>
                    <w:rPr>
                      <w:color w:val="auto"/>
                      <w:spacing w:val="-10"/>
                      <w:szCs w:val="21"/>
                    </w:rPr>
                  </w:pPr>
                  <w:r>
                    <w:rPr>
                      <w:rFonts w:hint="eastAsia"/>
                      <w:color w:val="auto"/>
                      <w:spacing w:val="-10"/>
                      <w:szCs w:val="21"/>
                    </w:rPr>
                    <w:t>暂存于危废间，定期交由有资质的单位处置</w:t>
                  </w:r>
                </w:p>
              </w:tc>
            </w:tr>
          </w:tbl>
          <w:p w14:paraId="3F1A1322">
            <w:pPr>
              <w:pStyle w:val="116"/>
              <w:spacing w:beforeLines="50"/>
              <w:ind w:firstLine="420"/>
              <w:rPr>
                <w:rFonts w:cs="宋体"/>
                <w:color w:val="auto"/>
              </w:rPr>
            </w:pPr>
            <w:r>
              <w:rPr>
                <w:rFonts w:hint="eastAsia" w:ascii="宋体" w:cs="宋体"/>
                <w:color w:val="auto"/>
              </w:rPr>
              <w:t>②</w:t>
            </w:r>
            <w:r>
              <w:rPr>
                <w:rFonts w:hint="eastAsia" w:cs="宋体"/>
                <w:color w:val="auto"/>
              </w:rPr>
              <w:t>全厂危险废物产生及处置情况</w:t>
            </w:r>
          </w:p>
          <w:p w14:paraId="4335C38D">
            <w:pPr>
              <w:pStyle w:val="10"/>
              <w:rPr>
                <w:bCs/>
                <w:color w:val="auto"/>
              </w:rPr>
            </w:pPr>
            <w:r>
              <w:rPr>
                <w:rFonts w:hint="eastAsia"/>
                <w:color w:val="auto"/>
              </w:rPr>
              <w:t>表4</w:t>
            </w:r>
            <w:r>
              <w:rPr>
                <w:rFonts w:hint="eastAsia"/>
                <w:color w:val="auto"/>
                <w:lang w:eastAsia="zh-CN"/>
              </w:rPr>
              <w:t>-</w:t>
            </w:r>
            <w:r>
              <w:rPr>
                <w:color w:val="auto"/>
              </w:rPr>
              <w:fldChar w:fldCharType="begin"/>
            </w:r>
            <w:r>
              <w:rPr>
                <w:color w:val="auto"/>
              </w:rPr>
              <w:instrText xml:space="preserve"> </w:instrText>
            </w:r>
            <w:r>
              <w:rPr>
                <w:rFonts w:hint="eastAsia"/>
                <w:color w:val="auto"/>
              </w:rPr>
              <w:instrText xml:space="preserve">SEQ 表4- \* ARABIC</w:instrText>
            </w:r>
            <w:r>
              <w:rPr>
                <w:color w:val="auto"/>
              </w:rPr>
              <w:instrText xml:space="preserve"> </w:instrText>
            </w:r>
            <w:r>
              <w:rPr>
                <w:color w:val="auto"/>
              </w:rPr>
              <w:fldChar w:fldCharType="separate"/>
            </w:r>
            <w:r>
              <w:rPr>
                <w:color w:val="auto"/>
              </w:rPr>
              <w:t>1</w:t>
            </w:r>
            <w:r>
              <w:rPr>
                <w:rFonts w:hint="eastAsia"/>
                <w:color w:val="auto"/>
                <w:lang w:val="en-US" w:eastAsia="zh-CN"/>
              </w:rPr>
              <w:t>8</w:t>
            </w:r>
            <w:r>
              <w:rPr>
                <w:color w:val="auto"/>
              </w:rPr>
              <w:fldChar w:fldCharType="end"/>
            </w:r>
            <w:r>
              <w:rPr>
                <w:rFonts w:hint="eastAsia"/>
                <w:color w:val="auto"/>
              </w:rPr>
              <w:t xml:space="preserve"> </w:t>
            </w:r>
            <w:r>
              <w:rPr>
                <w:rFonts w:hint="eastAsia"/>
                <w:bCs/>
                <w:color w:val="auto"/>
                <w:lang w:val="en-US" w:eastAsia="zh-CN"/>
              </w:rPr>
              <w:t>扩建</w:t>
            </w:r>
            <w:r>
              <w:rPr>
                <w:rFonts w:hint="eastAsia"/>
                <w:bCs/>
                <w:color w:val="auto"/>
              </w:rPr>
              <w:t>后全厂危险废物产生、处置及防治措施情况一览表</w:t>
            </w:r>
          </w:p>
          <w:tbl>
            <w:tblPr>
              <w:tblStyle w:val="33"/>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59"/>
              <w:gridCol w:w="697"/>
              <w:gridCol w:w="720"/>
              <w:gridCol w:w="802"/>
              <w:gridCol w:w="930"/>
              <w:gridCol w:w="1122"/>
              <w:gridCol w:w="956"/>
              <w:gridCol w:w="562"/>
              <w:gridCol w:w="623"/>
              <w:gridCol w:w="1164"/>
            </w:tblGrid>
            <w:tr w14:paraId="37456DE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9" w:type="dxa"/>
                  <w:vAlign w:val="center"/>
                </w:tcPr>
                <w:p w14:paraId="698AF851">
                  <w:pPr>
                    <w:adjustRightInd w:val="0"/>
                    <w:snapToGrid w:val="0"/>
                    <w:spacing w:line="240" w:lineRule="auto"/>
                    <w:jc w:val="center"/>
                    <w:rPr>
                      <w:color w:val="auto"/>
                      <w:szCs w:val="21"/>
                    </w:rPr>
                  </w:pPr>
                  <w:r>
                    <w:rPr>
                      <w:color w:val="auto"/>
                      <w:szCs w:val="21"/>
                    </w:rPr>
                    <w:t>序号</w:t>
                  </w:r>
                </w:p>
              </w:tc>
              <w:tc>
                <w:tcPr>
                  <w:tcW w:w="697" w:type="dxa"/>
                  <w:vAlign w:val="center"/>
                </w:tcPr>
                <w:p w14:paraId="0A40F5BB">
                  <w:pPr>
                    <w:adjustRightInd w:val="0"/>
                    <w:snapToGrid w:val="0"/>
                    <w:spacing w:line="240" w:lineRule="auto"/>
                    <w:jc w:val="center"/>
                    <w:rPr>
                      <w:color w:val="auto"/>
                      <w:szCs w:val="21"/>
                    </w:rPr>
                  </w:pPr>
                  <w:r>
                    <w:rPr>
                      <w:color w:val="auto"/>
                      <w:szCs w:val="21"/>
                    </w:rPr>
                    <w:t>危险废物</w:t>
                  </w:r>
                </w:p>
                <w:p w14:paraId="0E4D68A2">
                  <w:pPr>
                    <w:adjustRightInd w:val="0"/>
                    <w:snapToGrid w:val="0"/>
                    <w:spacing w:line="240" w:lineRule="auto"/>
                    <w:jc w:val="center"/>
                    <w:rPr>
                      <w:color w:val="auto"/>
                      <w:szCs w:val="21"/>
                    </w:rPr>
                  </w:pPr>
                  <w:r>
                    <w:rPr>
                      <w:color w:val="auto"/>
                      <w:szCs w:val="21"/>
                    </w:rPr>
                    <w:t>名称</w:t>
                  </w:r>
                </w:p>
              </w:tc>
              <w:tc>
                <w:tcPr>
                  <w:tcW w:w="720" w:type="dxa"/>
                  <w:vAlign w:val="center"/>
                </w:tcPr>
                <w:p w14:paraId="081BF84A">
                  <w:pPr>
                    <w:adjustRightInd w:val="0"/>
                    <w:snapToGrid w:val="0"/>
                    <w:spacing w:line="240" w:lineRule="auto"/>
                    <w:jc w:val="center"/>
                    <w:rPr>
                      <w:color w:val="auto"/>
                      <w:szCs w:val="21"/>
                    </w:rPr>
                  </w:pPr>
                  <w:r>
                    <w:rPr>
                      <w:color w:val="auto"/>
                      <w:szCs w:val="21"/>
                    </w:rPr>
                    <w:t>现有工程产生量(t/a)</w:t>
                  </w:r>
                </w:p>
              </w:tc>
              <w:tc>
                <w:tcPr>
                  <w:tcW w:w="802" w:type="dxa"/>
                  <w:vAlign w:val="center"/>
                </w:tcPr>
                <w:p w14:paraId="1AE0CCFD">
                  <w:pPr>
                    <w:adjustRightInd w:val="0"/>
                    <w:snapToGrid w:val="0"/>
                    <w:spacing w:line="240" w:lineRule="auto"/>
                    <w:jc w:val="center"/>
                    <w:rPr>
                      <w:color w:val="auto"/>
                      <w:szCs w:val="21"/>
                    </w:rPr>
                  </w:pPr>
                  <w:r>
                    <w:rPr>
                      <w:rFonts w:hint="eastAsia"/>
                      <w:color w:val="auto"/>
                      <w:szCs w:val="21"/>
                      <w:lang w:val="en-US" w:eastAsia="zh-CN"/>
                    </w:rPr>
                    <w:t>本</w:t>
                  </w:r>
                  <w:r>
                    <w:rPr>
                      <w:color w:val="auto"/>
                      <w:szCs w:val="21"/>
                    </w:rPr>
                    <w:t>项目产生量</w:t>
                  </w:r>
                </w:p>
                <w:p w14:paraId="5B8B619D">
                  <w:pPr>
                    <w:adjustRightInd w:val="0"/>
                    <w:snapToGrid w:val="0"/>
                    <w:spacing w:line="240" w:lineRule="auto"/>
                    <w:jc w:val="center"/>
                    <w:rPr>
                      <w:color w:val="auto"/>
                      <w:szCs w:val="21"/>
                    </w:rPr>
                  </w:pPr>
                  <w:r>
                    <w:rPr>
                      <w:color w:val="auto"/>
                      <w:szCs w:val="21"/>
                    </w:rPr>
                    <w:t>(t/a)</w:t>
                  </w:r>
                </w:p>
              </w:tc>
              <w:tc>
                <w:tcPr>
                  <w:tcW w:w="930" w:type="dxa"/>
                  <w:vAlign w:val="center"/>
                </w:tcPr>
                <w:p w14:paraId="686A48A4">
                  <w:pPr>
                    <w:adjustRightInd w:val="0"/>
                    <w:snapToGrid w:val="0"/>
                    <w:spacing w:line="240" w:lineRule="auto"/>
                    <w:jc w:val="center"/>
                    <w:rPr>
                      <w:color w:val="auto"/>
                      <w:szCs w:val="21"/>
                    </w:rPr>
                  </w:pPr>
                  <w:r>
                    <w:rPr>
                      <w:rFonts w:hint="eastAsia"/>
                      <w:color w:val="auto"/>
                      <w:szCs w:val="21"/>
                      <w:lang w:val="en-US" w:eastAsia="zh-CN"/>
                    </w:rPr>
                    <w:t>扩建</w:t>
                  </w:r>
                  <w:r>
                    <w:rPr>
                      <w:color w:val="auto"/>
                      <w:szCs w:val="21"/>
                    </w:rPr>
                    <w:t>后全厂年度产生量(t/a)</w:t>
                  </w:r>
                </w:p>
              </w:tc>
              <w:tc>
                <w:tcPr>
                  <w:tcW w:w="1122" w:type="dxa"/>
                  <w:vAlign w:val="center"/>
                </w:tcPr>
                <w:p w14:paraId="612039E8">
                  <w:pPr>
                    <w:adjustRightInd w:val="0"/>
                    <w:snapToGrid w:val="0"/>
                    <w:spacing w:line="240" w:lineRule="auto"/>
                    <w:jc w:val="center"/>
                    <w:rPr>
                      <w:color w:val="auto"/>
                      <w:szCs w:val="21"/>
                    </w:rPr>
                  </w:pPr>
                  <w:r>
                    <w:rPr>
                      <w:color w:val="auto"/>
                      <w:szCs w:val="21"/>
                    </w:rPr>
                    <w:t>危险废物类别及代码</w:t>
                  </w:r>
                </w:p>
              </w:tc>
              <w:tc>
                <w:tcPr>
                  <w:tcW w:w="956" w:type="dxa"/>
                  <w:vAlign w:val="center"/>
                </w:tcPr>
                <w:p w14:paraId="68B06F70">
                  <w:pPr>
                    <w:adjustRightInd w:val="0"/>
                    <w:snapToGrid w:val="0"/>
                    <w:spacing w:line="240" w:lineRule="auto"/>
                    <w:jc w:val="center"/>
                    <w:rPr>
                      <w:color w:val="auto"/>
                      <w:szCs w:val="21"/>
                    </w:rPr>
                  </w:pPr>
                  <w:r>
                    <w:rPr>
                      <w:color w:val="auto"/>
                      <w:szCs w:val="21"/>
                    </w:rPr>
                    <w:t>产生工序及装置</w:t>
                  </w:r>
                </w:p>
              </w:tc>
              <w:tc>
                <w:tcPr>
                  <w:tcW w:w="562" w:type="dxa"/>
                  <w:vAlign w:val="center"/>
                </w:tcPr>
                <w:p w14:paraId="337FA1B8">
                  <w:pPr>
                    <w:adjustRightInd w:val="0"/>
                    <w:snapToGrid w:val="0"/>
                    <w:spacing w:line="240" w:lineRule="auto"/>
                    <w:jc w:val="center"/>
                    <w:rPr>
                      <w:color w:val="auto"/>
                      <w:szCs w:val="21"/>
                    </w:rPr>
                  </w:pPr>
                  <w:r>
                    <w:rPr>
                      <w:color w:val="auto"/>
                      <w:szCs w:val="21"/>
                    </w:rPr>
                    <w:t>产废</w:t>
                  </w:r>
                </w:p>
                <w:p w14:paraId="5A7FF3FB">
                  <w:pPr>
                    <w:adjustRightInd w:val="0"/>
                    <w:snapToGrid w:val="0"/>
                    <w:spacing w:line="240" w:lineRule="auto"/>
                    <w:jc w:val="center"/>
                    <w:rPr>
                      <w:color w:val="auto"/>
                      <w:szCs w:val="21"/>
                    </w:rPr>
                  </w:pPr>
                  <w:r>
                    <w:rPr>
                      <w:color w:val="auto"/>
                      <w:szCs w:val="21"/>
                    </w:rPr>
                    <w:t>周期</w:t>
                  </w:r>
                </w:p>
              </w:tc>
              <w:tc>
                <w:tcPr>
                  <w:tcW w:w="623" w:type="dxa"/>
                  <w:vAlign w:val="center"/>
                </w:tcPr>
                <w:p w14:paraId="3B4BDB38">
                  <w:pPr>
                    <w:adjustRightInd w:val="0"/>
                    <w:snapToGrid w:val="0"/>
                    <w:spacing w:line="240" w:lineRule="auto"/>
                    <w:jc w:val="center"/>
                    <w:rPr>
                      <w:color w:val="auto"/>
                      <w:szCs w:val="21"/>
                    </w:rPr>
                  </w:pPr>
                  <w:r>
                    <w:rPr>
                      <w:color w:val="auto"/>
                      <w:szCs w:val="21"/>
                    </w:rPr>
                    <w:t>危险</w:t>
                  </w:r>
                </w:p>
                <w:p w14:paraId="22356C45">
                  <w:pPr>
                    <w:adjustRightInd w:val="0"/>
                    <w:snapToGrid w:val="0"/>
                    <w:spacing w:line="240" w:lineRule="auto"/>
                    <w:jc w:val="center"/>
                    <w:rPr>
                      <w:color w:val="auto"/>
                      <w:szCs w:val="21"/>
                    </w:rPr>
                  </w:pPr>
                  <w:r>
                    <w:rPr>
                      <w:color w:val="auto"/>
                      <w:szCs w:val="21"/>
                    </w:rPr>
                    <w:t>特性</w:t>
                  </w:r>
                </w:p>
              </w:tc>
              <w:tc>
                <w:tcPr>
                  <w:tcW w:w="1164" w:type="dxa"/>
                  <w:vAlign w:val="center"/>
                </w:tcPr>
                <w:p w14:paraId="3BB3EAC0">
                  <w:pPr>
                    <w:adjustRightInd w:val="0"/>
                    <w:snapToGrid w:val="0"/>
                    <w:spacing w:line="240" w:lineRule="auto"/>
                    <w:jc w:val="center"/>
                    <w:rPr>
                      <w:color w:val="auto"/>
                      <w:szCs w:val="21"/>
                    </w:rPr>
                  </w:pPr>
                  <w:r>
                    <w:rPr>
                      <w:color w:val="auto"/>
                      <w:szCs w:val="21"/>
                    </w:rPr>
                    <w:t>污染</w:t>
                  </w:r>
                </w:p>
                <w:p w14:paraId="4EBB9FC7">
                  <w:pPr>
                    <w:adjustRightInd w:val="0"/>
                    <w:snapToGrid w:val="0"/>
                    <w:spacing w:line="240" w:lineRule="auto"/>
                    <w:jc w:val="center"/>
                    <w:rPr>
                      <w:color w:val="auto"/>
                      <w:szCs w:val="21"/>
                    </w:rPr>
                  </w:pPr>
                  <w:r>
                    <w:rPr>
                      <w:color w:val="auto"/>
                      <w:szCs w:val="21"/>
                    </w:rPr>
                    <w:t>防治</w:t>
                  </w:r>
                </w:p>
                <w:p w14:paraId="20474F2C">
                  <w:pPr>
                    <w:adjustRightInd w:val="0"/>
                    <w:snapToGrid w:val="0"/>
                    <w:spacing w:line="240" w:lineRule="auto"/>
                    <w:jc w:val="center"/>
                    <w:rPr>
                      <w:color w:val="auto"/>
                      <w:szCs w:val="21"/>
                    </w:rPr>
                  </w:pPr>
                  <w:r>
                    <w:rPr>
                      <w:color w:val="auto"/>
                      <w:szCs w:val="21"/>
                    </w:rPr>
                    <w:t>措施</w:t>
                  </w:r>
                </w:p>
              </w:tc>
            </w:tr>
            <w:tr w14:paraId="263AA10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9" w:type="dxa"/>
                  <w:vAlign w:val="center"/>
                </w:tcPr>
                <w:p w14:paraId="6F19228E">
                  <w:pPr>
                    <w:adjustRightInd w:val="0"/>
                    <w:spacing w:line="240" w:lineRule="auto"/>
                    <w:jc w:val="center"/>
                    <w:rPr>
                      <w:color w:val="auto"/>
                      <w:spacing w:val="-10"/>
                      <w:szCs w:val="21"/>
                    </w:rPr>
                  </w:pPr>
                  <w:r>
                    <w:rPr>
                      <w:color w:val="auto"/>
                      <w:spacing w:val="-10"/>
                      <w:szCs w:val="21"/>
                    </w:rPr>
                    <w:t>1</w:t>
                  </w:r>
                </w:p>
              </w:tc>
              <w:tc>
                <w:tcPr>
                  <w:tcW w:w="697" w:type="dxa"/>
                  <w:vAlign w:val="center"/>
                </w:tcPr>
                <w:p w14:paraId="798623C3">
                  <w:pPr>
                    <w:adjustRightInd w:val="0"/>
                    <w:snapToGrid w:val="0"/>
                    <w:spacing w:line="240" w:lineRule="auto"/>
                    <w:jc w:val="center"/>
                    <w:rPr>
                      <w:color w:val="auto"/>
                      <w:szCs w:val="21"/>
                    </w:rPr>
                  </w:pPr>
                  <w:r>
                    <w:rPr>
                      <w:rFonts w:hint="eastAsia"/>
                      <w:color w:val="auto"/>
                      <w:szCs w:val="21"/>
                    </w:rPr>
                    <w:t>废润滑油</w:t>
                  </w:r>
                </w:p>
              </w:tc>
              <w:tc>
                <w:tcPr>
                  <w:tcW w:w="720" w:type="dxa"/>
                  <w:shd w:val="clear" w:color="auto" w:fill="auto"/>
                  <w:vAlign w:val="center"/>
                </w:tcPr>
                <w:p w14:paraId="0009D2CD">
                  <w:pPr>
                    <w:adjustRightInd w:val="0"/>
                    <w:spacing w:line="240" w:lineRule="auto"/>
                    <w:jc w:val="center"/>
                    <w:rPr>
                      <w:rFonts w:ascii="Times New Roman" w:hAnsi="Times New Roman" w:eastAsia="宋体" w:cs="Times New Roman"/>
                      <w:color w:val="auto"/>
                      <w:spacing w:val="-10"/>
                      <w:kern w:val="2"/>
                      <w:sz w:val="21"/>
                      <w:szCs w:val="21"/>
                      <w:lang w:val="en-US" w:eastAsia="zh-CN" w:bidi="ar-SA"/>
                    </w:rPr>
                  </w:pPr>
                  <w:r>
                    <w:rPr>
                      <w:rFonts w:hint="eastAsia"/>
                      <w:color w:val="auto"/>
                      <w:spacing w:val="-10"/>
                      <w:szCs w:val="21"/>
                    </w:rPr>
                    <w:t>4.45</w:t>
                  </w:r>
                </w:p>
              </w:tc>
              <w:tc>
                <w:tcPr>
                  <w:tcW w:w="802" w:type="dxa"/>
                  <w:vAlign w:val="center"/>
                </w:tcPr>
                <w:p w14:paraId="58213C10">
                  <w:pPr>
                    <w:adjustRightInd w:val="0"/>
                    <w:spacing w:line="240" w:lineRule="auto"/>
                    <w:jc w:val="center"/>
                    <w:rPr>
                      <w:color w:val="auto"/>
                      <w:spacing w:val="-10"/>
                      <w:szCs w:val="21"/>
                    </w:rPr>
                  </w:pPr>
                  <w:r>
                    <w:rPr>
                      <w:rFonts w:hint="eastAsia"/>
                      <w:color w:val="auto"/>
                      <w:spacing w:val="-10"/>
                      <w:szCs w:val="21"/>
                    </w:rPr>
                    <w:t>0.</w:t>
                  </w:r>
                  <w:r>
                    <w:rPr>
                      <w:rFonts w:hint="eastAsia"/>
                      <w:color w:val="auto"/>
                      <w:spacing w:val="-10"/>
                      <w:szCs w:val="21"/>
                      <w:lang w:val="en-US" w:eastAsia="zh-CN"/>
                    </w:rPr>
                    <w:t>3</w:t>
                  </w:r>
                  <w:r>
                    <w:rPr>
                      <w:rFonts w:hint="eastAsia"/>
                      <w:color w:val="auto"/>
                      <w:spacing w:val="-10"/>
                      <w:szCs w:val="21"/>
                    </w:rPr>
                    <w:t>5</w:t>
                  </w:r>
                </w:p>
              </w:tc>
              <w:tc>
                <w:tcPr>
                  <w:tcW w:w="930" w:type="dxa"/>
                  <w:vAlign w:val="center"/>
                </w:tcPr>
                <w:p w14:paraId="494A0721">
                  <w:pPr>
                    <w:adjustRightInd w:val="0"/>
                    <w:spacing w:line="240" w:lineRule="auto"/>
                    <w:jc w:val="center"/>
                    <w:rPr>
                      <w:rFonts w:hint="default" w:eastAsia="宋体"/>
                      <w:color w:val="auto"/>
                      <w:spacing w:val="-10"/>
                      <w:szCs w:val="21"/>
                      <w:lang w:val="en-US" w:eastAsia="zh-CN"/>
                    </w:rPr>
                  </w:pPr>
                  <w:r>
                    <w:rPr>
                      <w:rFonts w:hint="eastAsia"/>
                      <w:color w:val="auto"/>
                      <w:spacing w:val="-10"/>
                      <w:szCs w:val="21"/>
                    </w:rPr>
                    <w:t>4.</w:t>
                  </w:r>
                  <w:r>
                    <w:rPr>
                      <w:rFonts w:hint="eastAsia"/>
                      <w:color w:val="auto"/>
                      <w:spacing w:val="-10"/>
                      <w:szCs w:val="21"/>
                      <w:lang w:val="en-US" w:eastAsia="zh-CN"/>
                    </w:rPr>
                    <w:t>8</w:t>
                  </w:r>
                </w:p>
              </w:tc>
              <w:tc>
                <w:tcPr>
                  <w:tcW w:w="1122" w:type="dxa"/>
                  <w:vAlign w:val="center"/>
                </w:tcPr>
                <w:p w14:paraId="50212FCA">
                  <w:pPr>
                    <w:adjustRightInd w:val="0"/>
                    <w:spacing w:line="240" w:lineRule="auto"/>
                    <w:jc w:val="center"/>
                    <w:rPr>
                      <w:color w:val="auto"/>
                      <w:spacing w:val="-10"/>
                      <w:szCs w:val="21"/>
                    </w:rPr>
                  </w:pPr>
                  <w:r>
                    <w:rPr>
                      <w:color w:val="auto"/>
                      <w:spacing w:val="-10"/>
                      <w:szCs w:val="21"/>
                    </w:rPr>
                    <w:t>HW08</w:t>
                  </w:r>
                </w:p>
                <w:p w14:paraId="6FEC70AB">
                  <w:pPr>
                    <w:adjustRightInd w:val="0"/>
                    <w:spacing w:line="240" w:lineRule="auto"/>
                    <w:jc w:val="center"/>
                    <w:rPr>
                      <w:color w:val="auto"/>
                      <w:spacing w:val="-10"/>
                      <w:szCs w:val="21"/>
                    </w:rPr>
                  </w:pPr>
                  <w:r>
                    <w:rPr>
                      <w:color w:val="auto"/>
                      <w:spacing w:val="-10"/>
                      <w:szCs w:val="21"/>
                    </w:rPr>
                    <w:t>900-2</w:t>
                  </w:r>
                  <w:r>
                    <w:rPr>
                      <w:rFonts w:hint="eastAsia"/>
                      <w:color w:val="auto"/>
                      <w:spacing w:val="-10"/>
                      <w:szCs w:val="21"/>
                    </w:rPr>
                    <w:t>1</w:t>
                  </w:r>
                  <w:r>
                    <w:rPr>
                      <w:rFonts w:hint="eastAsia"/>
                      <w:color w:val="auto"/>
                      <w:spacing w:val="-10"/>
                      <w:szCs w:val="21"/>
                      <w:lang w:val="en-US" w:eastAsia="zh-CN"/>
                    </w:rPr>
                    <w:t>8</w:t>
                  </w:r>
                  <w:r>
                    <w:rPr>
                      <w:color w:val="auto"/>
                      <w:spacing w:val="-10"/>
                      <w:szCs w:val="21"/>
                    </w:rPr>
                    <w:t>-08</w:t>
                  </w:r>
                </w:p>
              </w:tc>
              <w:tc>
                <w:tcPr>
                  <w:tcW w:w="956" w:type="dxa"/>
                  <w:vAlign w:val="center"/>
                </w:tcPr>
                <w:p w14:paraId="69EF7C46">
                  <w:pPr>
                    <w:adjustRightInd w:val="0"/>
                    <w:snapToGrid w:val="0"/>
                    <w:spacing w:line="240" w:lineRule="auto"/>
                    <w:jc w:val="center"/>
                    <w:rPr>
                      <w:color w:val="auto"/>
                      <w:szCs w:val="21"/>
                    </w:rPr>
                  </w:pPr>
                  <w:r>
                    <w:rPr>
                      <w:color w:val="auto"/>
                      <w:szCs w:val="21"/>
                    </w:rPr>
                    <w:t>设备</w:t>
                  </w:r>
                </w:p>
                <w:p w14:paraId="51082FCE">
                  <w:pPr>
                    <w:adjustRightInd w:val="0"/>
                    <w:snapToGrid w:val="0"/>
                    <w:spacing w:line="240" w:lineRule="auto"/>
                    <w:jc w:val="center"/>
                    <w:rPr>
                      <w:color w:val="auto"/>
                      <w:szCs w:val="21"/>
                    </w:rPr>
                  </w:pPr>
                  <w:r>
                    <w:rPr>
                      <w:color w:val="auto"/>
                      <w:szCs w:val="21"/>
                    </w:rPr>
                    <w:t>维</w:t>
                  </w:r>
                  <w:r>
                    <w:rPr>
                      <w:rFonts w:hint="eastAsia"/>
                      <w:color w:val="auto"/>
                      <w:szCs w:val="21"/>
                    </w:rPr>
                    <w:t>护保养</w:t>
                  </w:r>
                </w:p>
              </w:tc>
              <w:tc>
                <w:tcPr>
                  <w:tcW w:w="562" w:type="dxa"/>
                  <w:vAlign w:val="center"/>
                </w:tcPr>
                <w:p w14:paraId="1585EC5E">
                  <w:pPr>
                    <w:adjustRightInd w:val="0"/>
                    <w:snapToGrid w:val="0"/>
                    <w:spacing w:line="240" w:lineRule="auto"/>
                    <w:jc w:val="center"/>
                    <w:rPr>
                      <w:color w:val="auto"/>
                      <w:szCs w:val="21"/>
                    </w:rPr>
                  </w:pPr>
                  <w:r>
                    <w:rPr>
                      <w:rFonts w:hint="eastAsia"/>
                      <w:color w:val="auto"/>
                      <w:szCs w:val="21"/>
                    </w:rPr>
                    <w:t>1年</w:t>
                  </w:r>
                </w:p>
              </w:tc>
              <w:tc>
                <w:tcPr>
                  <w:tcW w:w="623" w:type="dxa"/>
                  <w:vAlign w:val="center"/>
                </w:tcPr>
                <w:p w14:paraId="78A8FD99">
                  <w:pPr>
                    <w:adjustRightInd w:val="0"/>
                    <w:spacing w:line="240" w:lineRule="auto"/>
                    <w:jc w:val="center"/>
                    <w:rPr>
                      <w:color w:val="auto"/>
                      <w:spacing w:val="-10"/>
                      <w:szCs w:val="21"/>
                    </w:rPr>
                  </w:pPr>
                  <w:r>
                    <w:rPr>
                      <w:color w:val="auto"/>
                      <w:kern w:val="0"/>
                      <w:sz w:val="24"/>
                    </w:rPr>
                    <w:t>T，I</w:t>
                  </w:r>
                </w:p>
              </w:tc>
              <w:tc>
                <w:tcPr>
                  <w:tcW w:w="1164" w:type="dxa"/>
                  <w:vMerge w:val="restart"/>
                  <w:vAlign w:val="center"/>
                </w:tcPr>
                <w:p w14:paraId="6323C57A">
                  <w:pPr>
                    <w:adjustRightInd w:val="0"/>
                    <w:snapToGrid w:val="0"/>
                    <w:spacing w:line="240" w:lineRule="auto"/>
                    <w:jc w:val="center"/>
                    <w:rPr>
                      <w:color w:val="auto"/>
                      <w:spacing w:val="-10"/>
                      <w:szCs w:val="21"/>
                    </w:rPr>
                  </w:pPr>
                  <w:r>
                    <w:rPr>
                      <w:color w:val="auto"/>
                      <w:szCs w:val="21"/>
                    </w:rPr>
                    <w:t>暂存于危险暂存间，定期交由有危险废物资质的单位处置</w:t>
                  </w:r>
                </w:p>
              </w:tc>
            </w:tr>
            <w:tr w14:paraId="7871344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9" w:type="dxa"/>
                  <w:vAlign w:val="center"/>
                </w:tcPr>
                <w:p w14:paraId="208B6BE3">
                  <w:pPr>
                    <w:adjustRightInd w:val="0"/>
                    <w:spacing w:line="240" w:lineRule="auto"/>
                    <w:jc w:val="center"/>
                    <w:rPr>
                      <w:color w:val="auto"/>
                      <w:spacing w:val="-10"/>
                      <w:szCs w:val="21"/>
                    </w:rPr>
                  </w:pPr>
                  <w:r>
                    <w:rPr>
                      <w:rFonts w:hint="eastAsia"/>
                      <w:color w:val="auto"/>
                      <w:spacing w:val="-10"/>
                      <w:szCs w:val="21"/>
                    </w:rPr>
                    <w:t>2</w:t>
                  </w:r>
                </w:p>
              </w:tc>
              <w:tc>
                <w:tcPr>
                  <w:tcW w:w="697" w:type="dxa"/>
                  <w:vAlign w:val="center"/>
                </w:tcPr>
                <w:p w14:paraId="709AE481">
                  <w:pPr>
                    <w:adjustRightInd w:val="0"/>
                    <w:snapToGrid w:val="0"/>
                    <w:spacing w:line="240" w:lineRule="auto"/>
                    <w:jc w:val="center"/>
                    <w:rPr>
                      <w:color w:val="auto"/>
                      <w:szCs w:val="21"/>
                    </w:rPr>
                  </w:pPr>
                  <w:r>
                    <w:rPr>
                      <w:rFonts w:hint="eastAsia"/>
                      <w:color w:val="auto"/>
                      <w:szCs w:val="21"/>
                    </w:rPr>
                    <w:t>废液压油</w:t>
                  </w:r>
                </w:p>
              </w:tc>
              <w:tc>
                <w:tcPr>
                  <w:tcW w:w="720" w:type="dxa"/>
                  <w:shd w:val="clear" w:color="auto" w:fill="auto"/>
                  <w:vAlign w:val="center"/>
                </w:tcPr>
                <w:p w14:paraId="6103409D">
                  <w:pPr>
                    <w:adjustRightInd w:val="0"/>
                    <w:spacing w:line="240" w:lineRule="auto"/>
                    <w:jc w:val="center"/>
                    <w:rPr>
                      <w:rFonts w:ascii="Times New Roman" w:hAnsi="Times New Roman" w:eastAsia="宋体" w:cs="Times New Roman"/>
                      <w:color w:val="auto"/>
                      <w:spacing w:val="-10"/>
                      <w:kern w:val="2"/>
                      <w:sz w:val="21"/>
                      <w:szCs w:val="21"/>
                      <w:lang w:val="en-US" w:eastAsia="zh-CN" w:bidi="ar-SA"/>
                    </w:rPr>
                  </w:pPr>
                  <w:r>
                    <w:rPr>
                      <w:rFonts w:hint="eastAsia"/>
                      <w:color w:val="auto"/>
                      <w:spacing w:val="-10"/>
                      <w:szCs w:val="21"/>
                    </w:rPr>
                    <w:t>7.0</w:t>
                  </w:r>
                </w:p>
              </w:tc>
              <w:tc>
                <w:tcPr>
                  <w:tcW w:w="802" w:type="dxa"/>
                  <w:vAlign w:val="center"/>
                </w:tcPr>
                <w:p w14:paraId="0833D8EA">
                  <w:pPr>
                    <w:adjustRightInd w:val="0"/>
                    <w:spacing w:line="240" w:lineRule="auto"/>
                    <w:jc w:val="center"/>
                    <w:rPr>
                      <w:rFonts w:hint="default" w:eastAsia="宋体"/>
                      <w:color w:val="auto"/>
                      <w:spacing w:val="-10"/>
                      <w:szCs w:val="21"/>
                      <w:lang w:val="en-US" w:eastAsia="zh-CN"/>
                    </w:rPr>
                  </w:pPr>
                  <w:r>
                    <w:rPr>
                      <w:rFonts w:hint="eastAsia"/>
                      <w:color w:val="auto"/>
                      <w:spacing w:val="-10"/>
                      <w:szCs w:val="21"/>
                    </w:rPr>
                    <w:t>0</w:t>
                  </w:r>
                  <w:r>
                    <w:rPr>
                      <w:rFonts w:hint="eastAsia"/>
                      <w:color w:val="auto"/>
                      <w:spacing w:val="-10"/>
                      <w:szCs w:val="21"/>
                      <w:lang w:val="en-US" w:eastAsia="zh-CN"/>
                    </w:rPr>
                    <w:t>.7</w:t>
                  </w:r>
                </w:p>
              </w:tc>
              <w:tc>
                <w:tcPr>
                  <w:tcW w:w="930" w:type="dxa"/>
                  <w:vAlign w:val="center"/>
                </w:tcPr>
                <w:p w14:paraId="36344A98">
                  <w:pPr>
                    <w:adjustRightInd w:val="0"/>
                    <w:spacing w:line="240" w:lineRule="auto"/>
                    <w:jc w:val="center"/>
                    <w:rPr>
                      <w:rFonts w:hint="eastAsia" w:eastAsia="宋体"/>
                      <w:color w:val="auto"/>
                      <w:spacing w:val="-10"/>
                      <w:szCs w:val="21"/>
                      <w:lang w:eastAsia="zh-CN"/>
                    </w:rPr>
                  </w:pPr>
                  <w:r>
                    <w:rPr>
                      <w:rFonts w:hint="eastAsia"/>
                      <w:color w:val="auto"/>
                      <w:spacing w:val="-10"/>
                      <w:szCs w:val="21"/>
                    </w:rPr>
                    <w:t>7.</w:t>
                  </w:r>
                  <w:r>
                    <w:rPr>
                      <w:rFonts w:hint="eastAsia"/>
                      <w:color w:val="auto"/>
                      <w:spacing w:val="-10"/>
                      <w:szCs w:val="21"/>
                      <w:lang w:val="en-US" w:eastAsia="zh-CN"/>
                    </w:rPr>
                    <w:t>7</w:t>
                  </w:r>
                </w:p>
              </w:tc>
              <w:tc>
                <w:tcPr>
                  <w:tcW w:w="1122" w:type="dxa"/>
                  <w:vAlign w:val="center"/>
                </w:tcPr>
                <w:p w14:paraId="0797FE79">
                  <w:pPr>
                    <w:adjustRightInd w:val="0"/>
                    <w:spacing w:line="240" w:lineRule="auto"/>
                    <w:jc w:val="center"/>
                    <w:rPr>
                      <w:color w:val="auto"/>
                      <w:spacing w:val="-10"/>
                      <w:szCs w:val="21"/>
                    </w:rPr>
                  </w:pPr>
                  <w:r>
                    <w:rPr>
                      <w:color w:val="auto"/>
                      <w:spacing w:val="-10"/>
                      <w:szCs w:val="21"/>
                    </w:rPr>
                    <w:t>HW</w:t>
                  </w:r>
                  <w:r>
                    <w:rPr>
                      <w:rFonts w:hint="eastAsia"/>
                      <w:color w:val="auto"/>
                      <w:spacing w:val="-10"/>
                      <w:szCs w:val="21"/>
                    </w:rPr>
                    <w:t>08</w:t>
                  </w:r>
                </w:p>
                <w:p w14:paraId="754C8232">
                  <w:pPr>
                    <w:adjustRightInd w:val="0"/>
                    <w:spacing w:line="240" w:lineRule="auto"/>
                    <w:jc w:val="center"/>
                    <w:rPr>
                      <w:color w:val="auto"/>
                      <w:spacing w:val="-10"/>
                      <w:szCs w:val="21"/>
                    </w:rPr>
                  </w:pPr>
                  <w:r>
                    <w:rPr>
                      <w:color w:val="auto"/>
                      <w:spacing w:val="-10"/>
                      <w:szCs w:val="21"/>
                    </w:rPr>
                    <w:t>900-218-08</w:t>
                  </w:r>
                </w:p>
              </w:tc>
              <w:tc>
                <w:tcPr>
                  <w:tcW w:w="956" w:type="dxa"/>
                  <w:vAlign w:val="center"/>
                </w:tcPr>
                <w:p w14:paraId="41096312">
                  <w:pPr>
                    <w:adjustRightInd w:val="0"/>
                    <w:snapToGrid w:val="0"/>
                    <w:spacing w:line="240" w:lineRule="auto"/>
                    <w:jc w:val="center"/>
                    <w:rPr>
                      <w:color w:val="auto"/>
                      <w:szCs w:val="21"/>
                    </w:rPr>
                  </w:pPr>
                  <w:r>
                    <w:rPr>
                      <w:color w:val="auto"/>
                      <w:szCs w:val="21"/>
                    </w:rPr>
                    <w:t>设备</w:t>
                  </w:r>
                </w:p>
                <w:p w14:paraId="7A39A38C">
                  <w:pPr>
                    <w:adjustRightInd w:val="0"/>
                    <w:snapToGrid w:val="0"/>
                    <w:spacing w:line="240" w:lineRule="auto"/>
                    <w:jc w:val="center"/>
                    <w:rPr>
                      <w:color w:val="auto"/>
                      <w:szCs w:val="21"/>
                    </w:rPr>
                  </w:pPr>
                  <w:r>
                    <w:rPr>
                      <w:color w:val="auto"/>
                      <w:szCs w:val="21"/>
                    </w:rPr>
                    <w:t>维</w:t>
                  </w:r>
                  <w:r>
                    <w:rPr>
                      <w:rFonts w:hint="eastAsia"/>
                      <w:color w:val="auto"/>
                      <w:szCs w:val="21"/>
                    </w:rPr>
                    <w:t>护保养</w:t>
                  </w:r>
                </w:p>
              </w:tc>
              <w:tc>
                <w:tcPr>
                  <w:tcW w:w="562" w:type="dxa"/>
                  <w:vAlign w:val="center"/>
                </w:tcPr>
                <w:p w14:paraId="3E353C6F">
                  <w:pPr>
                    <w:adjustRightInd w:val="0"/>
                    <w:snapToGrid w:val="0"/>
                    <w:spacing w:line="240" w:lineRule="auto"/>
                    <w:jc w:val="center"/>
                    <w:rPr>
                      <w:color w:val="auto"/>
                      <w:szCs w:val="21"/>
                    </w:rPr>
                  </w:pPr>
                  <w:r>
                    <w:rPr>
                      <w:rFonts w:hint="eastAsia"/>
                      <w:color w:val="auto"/>
                      <w:szCs w:val="21"/>
                    </w:rPr>
                    <w:t>1年</w:t>
                  </w:r>
                </w:p>
              </w:tc>
              <w:tc>
                <w:tcPr>
                  <w:tcW w:w="623" w:type="dxa"/>
                  <w:vAlign w:val="center"/>
                </w:tcPr>
                <w:p w14:paraId="2A30B7F0">
                  <w:pPr>
                    <w:adjustRightInd w:val="0"/>
                    <w:spacing w:line="240" w:lineRule="auto"/>
                    <w:jc w:val="center"/>
                    <w:rPr>
                      <w:color w:val="auto"/>
                      <w:spacing w:val="-10"/>
                      <w:szCs w:val="21"/>
                    </w:rPr>
                  </w:pPr>
                  <w:r>
                    <w:rPr>
                      <w:color w:val="auto"/>
                      <w:kern w:val="0"/>
                      <w:sz w:val="24"/>
                    </w:rPr>
                    <w:t>T，I</w:t>
                  </w:r>
                </w:p>
              </w:tc>
              <w:tc>
                <w:tcPr>
                  <w:tcW w:w="1164" w:type="dxa"/>
                  <w:vMerge w:val="continue"/>
                  <w:vAlign w:val="center"/>
                </w:tcPr>
                <w:p w14:paraId="7E29C8E4">
                  <w:pPr>
                    <w:widowControl/>
                    <w:spacing w:line="240" w:lineRule="auto"/>
                    <w:jc w:val="center"/>
                    <w:rPr>
                      <w:color w:val="auto"/>
                      <w:spacing w:val="-10"/>
                      <w:szCs w:val="21"/>
                    </w:rPr>
                  </w:pPr>
                </w:p>
              </w:tc>
            </w:tr>
            <w:tr w14:paraId="2E2791B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9" w:type="dxa"/>
                  <w:vAlign w:val="center"/>
                </w:tcPr>
                <w:p w14:paraId="011260C3">
                  <w:pPr>
                    <w:adjustRightInd w:val="0"/>
                    <w:spacing w:line="240" w:lineRule="auto"/>
                    <w:jc w:val="center"/>
                    <w:rPr>
                      <w:color w:val="auto"/>
                      <w:spacing w:val="-10"/>
                      <w:szCs w:val="21"/>
                    </w:rPr>
                  </w:pPr>
                  <w:r>
                    <w:rPr>
                      <w:rFonts w:hint="eastAsia"/>
                      <w:color w:val="auto"/>
                      <w:spacing w:val="-10"/>
                      <w:szCs w:val="21"/>
                    </w:rPr>
                    <w:t>3</w:t>
                  </w:r>
                </w:p>
              </w:tc>
              <w:tc>
                <w:tcPr>
                  <w:tcW w:w="697" w:type="dxa"/>
                  <w:vAlign w:val="center"/>
                </w:tcPr>
                <w:p w14:paraId="10829585">
                  <w:pPr>
                    <w:adjustRightInd w:val="0"/>
                    <w:snapToGrid w:val="0"/>
                    <w:spacing w:line="240" w:lineRule="auto"/>
                    <w:jc w:val="center"/>
                    <w:rPr>
                      <w:color w:val="auto"/>
                      <w:szCs w:val="21"/>
                    </w:rPr>
                  </w:pPr>
                  <w:r>
                    <w:rPr>
                      <w:rFonts w:hint="eastAsia"/>
                      <w:color w:val="auto"/>
                      <w:szCs w:val="21"/>
                    </w:rPr>
                    <w:t>废油桶</w:t>
                  </w:r>
                </w:p>
              </w:tc>
              <w:tc>
                <w:tcPr>
                  <w:tcW w:w="720" w:type="dxa"/>
                  <w:shd w:val="clear" w:color="auto" w:fill="auto"/>
                  <w:vAlign w:val="center"/>
                </w:tcPr>
                <w:p w14:paraId="530687C5">
                  <w:pPr>
                    <w:adjustRightInd w:val="0"/>
                    <w:spacing w:line="240" w:lineRule="auto"/>
                    <w:jc w:val="center"/>
                    <w:rPr>
                      <w:rFonts w:ascii="Times New Roman" w:hAnsi="Times New Roman" w:eastAsia="宋体" w:cs="Times New Roman"/>
                      <w:color w:val="auto"/>
                      <w:spacing w:val="-10"/>
                      <w:kern w:val="2"/>
                      <w:sz w:val="21"/>
                      <w:szCs w:val="21"/>
                      <w:lang w:val="en-US" w:eastAsia="zh-CN" w:bidi="ar-SA"/>
                    </w:rPr>
                  </w:pPr>
                  <w:r>
                    <w:rPr>
                      <w:rFonts w:hint="eastAsia"/>
                      <w:color w:val="auto"/>
                      <w:spacing w:val="-10"/>
                      <w:szCs w:val="21"/>
                    </w:rPr>
                    <w:t>1.03</w:t>
                  </w:r>
                </w:p>
              </w:tc>
              <w:tc>
                <w:tcPr>
                  <w:tcW w:w="802" w:type="dxa"/>
                  <w:vAlign w:val="center"/>
                </w:tcPr>
                <w:p w14:paraId="2AA99197">
                  <w:pPr>
                    <w:adjustRightInd w:val="0"/>
                    <w:spacing w:line="240" w:lineRule="auto"/>
                    <w:jc w:val="center"/>
                    <w:rPr>
                      <w:rFonts w:hint="default" w:eastAsia="宋体"/>
                      <w:color w:val="auto"/>
                      <w:spacing w:val="-10"/>
                      <w:szCs w:val="21"/>
                      <w:lang w:val="en-US" w:eastAsia="zh-CN"/>
                    </w:rPr>
                  </w:pPr>
                  <w:r>
                    <w:rPr>
                      <w:rFonts w:hint="eastAsia"/>
                      <w:color w:val="auto"/>
                      <w:spacing w:val="-10"/>
                      <w:szCs w:val="21"/>
                    </w:rPr>
                    <w:t>0.</w:t>
                  </w:r>
                  <w:r>
                    <w:rPr>
                      <w:rFonts w:hint="eastAsia"/>
                      <w:color w:val="auto"/>
                      <w:spacing w:val="-10"/>
                      <w:szCs w:val="21"/>
                      <w:lang w:val="en-US" w:eastAsia="zh-CN"/>
                    </w:rPr>
                    <w:t>12</w:t>
                  </w:r>
                </w:p>
              </w:tc>
              <w:tc>
                <w:tcPr>
                  <w:tcW w:w="930" w:type="dxa"/>
                  <w:vAlign w:val="center"/>
                </w:tcPr>
                <w:p w14:paraId="3CEA7460">
                  <w:pPr>
                    <w:adjustRightInd w:val="0"/>
                    <w:spacing w:line="240" w:lineRule="auto"/>
                    <w:jc w:val="center"/>
                    <w:rPr>
                      <w:rFonts w:hint="default" w:eastAsia="宋体"/>
                      <w:color w:val="auto"/>
                      <w:spacing w:val="-10"/>
                      <w:szCs w:val="21"/>
                      <w:lang w:val="en-US" w:eastAsia="zh-CN"/>
                    </w:rPr>
                  </w:pPr>
                  <w:r>
                    <w:rPr>
                      <w:rFonts w:hint="eastAsia"/>
                      <w:color w:val="auto"/>
                      <w:spacing w:val="-10"/>
                      <w:szCs w:val="21"/>
                    </w:rPr>
                    <w:t>1.</w:t>
                  </w:r>
                  <w:r>
                    <w:rPr>
                      <w:rFonts w:hint="eastAsia"/>
                      <w:color w:val="auto"/>
                      <w:spacing w:val="-10"/>
                      <w:szCs w:val="21"/>
                      <w:lang w:val="en-US" w:eastAsia="zh-CN"/>
                    </w:rPr>
                    <w:t>15</w:t>
                  </w:r>
                </w:p>
              </w:tc>
              <w:tc>
                <w:tcPr>
                  <w:tcW w:w="1122" w:type="dxa"/>
                  <w:vAlign w:val="center"/>
                </w:tcPr>
                <w:p w14:paraId="2E493E4E">
                  <w:pPr>
                    <w:adjustRightInd w:val="0"/>
                    <w:spacing w:line="240" w:lineRule="auto"/>
                    <w:jc w:val="center"/>
                    <w:rPr>
                      <w:color w:val="auto"/>
                      <w:spacing w:val="-10"/>
                      <w:szCs w:val="21"/>
                    </w:rPr>
                  </w:pPr>
                  <w:r>
                    <w:rPr>
                      <w:color w:val="auto"/>
                      <w:spacing w:val="-10"/>
                      <w:szCs w:val="21"/>
                    </w:rPr>
                    <w:t>HW</w:t>
                  </w:r>
                  <w:r>
                    <w:rPr>
                      <w:rFonts w:hint="eastAsia"/>
                      <w:color w:val="auto"/>
                      <w:spacing w:val="-10"/>
                      <w:szCs w:val="21"/>
                    </w:rPr>
                    <w:t>08</w:t>
                  </w:r>
                </w:p>
                <w:p w14:paraId="141E3FAD">
                  <w:pPr>
                    <w:adjustRightInd w:val="0"/>
                    <w:spacing w:line="240" w:lineRule="auto"/>
                    <w:jc w:val="center"/>
                    <w:rPr>
                      <w:color w:val="auto"/>
                      <w:spacing w:val="-10"/>
                      <w:szCs w:val="21"/>
                    </w:rPr>
                  </w:pPr>
                  <w:r>
                    <w:rPr>
                      <w:color w:val="auto"/>
                      <w:spacing w:val="-10"/>
                      <w:szCs w:val="21"/>
                    </w:rPr>
                    <w:t>900-2</w:t>
                  </w:r>
                  <w:r>
                    <w:rPr>
                      <w:rFonts w:hint="eastAsia"/>
                      <w:color w:val="auto"/>
                      <w:spacing w:val="-10"/>
                      <w:szCs w:val="21"/>
                    </w:rPr>
                    <w:t>49-</w:t>
                  </w:r>
                  <w:r>
                    <w:rPr>
                      <w:color w:val="auto"/>
                      <w:spacing w:val="-10"/>
                      <w:szCs w:val="21"/>
                    </w:rPr>
                    <w:t>08</w:t>
                  </w:r>
                </w:p>
              </w:tc>
              <w:tc>
                <w:tcPr>
                  <w:tcW w:w="956" w:type="dxa"/>
                  <w:vAlign w:val="center"/>
                </w:tcPr>
                <w:p w14:paraId="5E152AC0">
                  <w:pPr>
                    <w:adjustRightInd w:val="0"/>
                    <w:snapToGrid w:val="0"/>
                    <w:spacing w:line="240" w:lineRule="auto"/>
                    <w:jc w:val="center"/>
                    <w:rPr>
                      <w:color w:val="auto"/>
                      <w:szCs w:val="21"/>
                    </w:rPr>
                  </w:pPr>
                  <w:r>
                    <w:rPr>
                      <w:color w:val="auto"/>
                      <w:szCs w:val="21"/>
                    </w:rPr>
                    <w:t>原辅料使用</w:t>
                  </w:r>
                </w:p>
              </w:tc>
              <w:tc>
                <w:tcPr>
                  <w:tcW w:w="562" w:type="dxa"/>
                  <w:vAlign w:val="center"/>
                </w:tcPr>
                <w:p w14:paraId="24EB5618">
                  <w:pPr>
                    <w:adjustRightInd w:val="0"/>
                    <w:snapToGrid w:val="0"/>
                    <w:spacing w:line="240" w:lineRule="auto"/>
                    <w:jc w:val="center"/>
                    <w:rPr>
                      <w:color w:val="auto"/>
                      <w:szCs w:val="21"/>
                    </w:rPr>
                  </w:pPr>
                  <w:r>
                    <w:rPr>
                      <w:rFonts w:hint="eastAsia"/>
                      <w:color w:val="auto"/>
                      <w:szCs w:val="21"/>
                    </w:rPr>
                    <w:t>1年</w:t>
                  </w:r>
                </w:p>
              </w:tc>
              <w:tc>
                <w:tcPr>
                  <w:tcW w:w="623" w:type="dxa"/>
                  <w:vAlign w:val="center"/>
                </w:tcPr>
                <w:p w14:paraId="4EDF340C">
                  <w:pPr>
                    <w:adjustRightInd w:val="0"/>
                    <w:spacing w:line="240" w:lineRule="auto"/>
                    <w:jc w:val="center"/>
                    <w:rPr>
                      <w:color w:val="auto"/>
                      <w:spacing w:val="-10"/>
                      <w:szCs w:val="21"/>
                    </w:rPr>
                  </w:pPr>
                  <w:r>
                    <w:rPr>
                      <w:color w:val="auto"/>
                      <w:kern w:val="0"/>
                      <w:sz w:val="24"/>
                    </w:rPr>
                    <w:t>T，I</w:t>
                  </w:r>
                </w:p>
              </w:tc>
              <w:tc>
                <w:tcPr>
                  <w:tcW w:w="1164" w:type="dxa"/>
                  <w:vMerge w:val="continue"/>
                  <w:vAlign w:val="center"/>
                </w:tcPr>
                <w:p w14:paraId="16A9B454">
                  <w:pPr>
                    <w:widowControl/>
                    <w:spacing w:line="240" w:lineRule="auto"/>
                    <w:jc w:val="center"/>
                    <w:rPr>
                      <w:color w:val="auto"/>
                      <w:spacing w:val="-10"/>
                      <w:szCs w:val="21"/>
                    </w:rPr>
                  </w:pPr>
                </w:p>
              </w:tc>
            </w:tr>
            <w:tr w14:paraId="1F96ED7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9" w:type="dxa"/>
                  <w:vAlign w:val="center"/>
                </w:tcPr>
                <w:p w14:paraId="6E79B5F9">
                  <w:pPr>
                    <w:adjustRightInd w:val="0"/>
                    <w:spacing w:line="240" w:lineRule="auto"/>
                    <w:jc w:val="center"/>
                    <w:rPr>
                      <w:color w:val="auto"/>
                      <w:spacing w:val="-10"/>
                      <w:szCs w:val="21"/>
                    </w:rPr>
                  </w:pPr>
                  <w:r>
                    <w:rPr>
                      <w:rFonts w:hint="eastAsia"/>
                      <w:color w:val="auto"/>
                      <w:spacing w:val="-10"/>
                      <w:szCs w:val="21"/>
                    </w:rPr>
                    <w:t>4</w:t>
                  </w:r>
                </w:p>
              </w:tc>
              <w:tc>
                <w:tcPr>
                  <w:tcW w:w="697" w:type="dxa"/>
                  <w:vAlign w:val="center"/>
                </w:tcPr>
                <w:p w14:paraId="0757CC07">
                  <w:pPr>
                    <w:adjustRightInd w:val="0"/>
                    <w:snapToGrid w:val="0"/>
                    <w:spacing w:line="240" w:lineRule="auto"/>
                    <w:jc w:val="center"/>
                    <w:rPr>
                      <w:color w:val="auto"/>
                      <w:szCs w:val="21"/>
                    </w:rPr>
                  </w:pPr>
                  <w:r>
                    <w:rPr>
                      <w:color w:val="auto"/>
                      <w:szCs w:val="21"/>
                    </w:rPr>
                    <w:t>废乳化液</w:t>
                  </w:r>
                </w:p>
              </w:tc>
              <w:tc>
                <w:tcPr>
                  <w:tcW w:w="720" w:type="dxa"/>
                  <w:vAlign w:val="center"/>
                </w:tcPr>
                <w:p w14:paraId="42D8E2C2">
                  <w:pPr>
                    <w:adjustRightInd w:val="0"/>
                    <w:spacing w:line="240" w:lineRule="auto"/>
                    <w:jc w:val="center"/>
                    <w:rPr>
                      <w:color w:val="auto"/>
                      <w:spacing w:val="-10"/>
                      <w:szCs w:val="21"/>
                    </w:rPr>
                  </w:pPr>
                  <w:r>
                    <w:rPr>
                      <w:rFonts w:hint="eastAsia"/>
                      <w:color w:val="auto"/>
                      <w:spacing w:val="-10"/>
                      <w:szCs w:val="21"/>
                    </w:rPr>
                    <w:t>0.7</w:t>
                  </w:r>
                </w:p>
              </w:tc>
              <w:tc>
                <w:tcPr>
                  <w:tcW w:w="802" w:type="dxa"/>
                  <w:vAlign w:val="center"/>
                </w:tcPr>
                <w:p w14:paraId="40C011AC">
                  <w:pPr>
                    <w:adjustRightInd w:val="0"/>
                    <w:spacing w:line="240" w:lineRule="auto"/>
                    <w:jc w:val="center"/>
                    <w:rPr>
                      <w:color w:val="auto"/>
                      <w:spacing w:val="-10"/>
                      <w:szCs w:val="21"/>
                    </w:rPr>
                  </w:pPr>
                  <w:r>
                    <w:rPr>
                      <w:rFonts w:hint="eastAsia"/>
                      <w:color w:val="auto"/>
                      <w:spacing w:val="-10"/>
                      <w:szCs w:val="21"/>
                    </w:rPr>
                    <w:t>0</w:t>
                  </w:r>
                </w:p>
              </w:tc>
              <w:tc>
                <w:tcPr>
                  <w:tcW w:w="930" w:type="dxa"/>
                  <w:vAlign w:val="center"/>
                </w:tcPr>
                <w:p w14:paraId="37132144">
                  <w:pPr>
                    <w:adjustRightInd w:val="0"/>
                    <w:spacing w:line="240" w:lineRule="auto"/>
                    <w:jc w:val="center"/>
                    <w:rPr>
                      <w:color w:val="auto"/>
                      <w:spacing w:val="-10"/>
                      <w:szCs w:val="21"/>
                    </w:rPr>
                  </w:pPr>
                  <w:r>
                    <w:rPr>
                      <w:rFonts w:hint="eastAsia"/>
                      <w:color w:val="auto"/>
                      <w:spacing w:val="-10"/>
                      <w:szCs w:val="21"/>
                    </w:rPr>
                    <w:t>0.7</w:t>
                  </w:r>
                </w:p>
              </w:tc>
              <w:tc>
                <w:tcPr>
                  <w:tcW w:w="1122" w:type="dxa"/>
                  <w:vAlign w:val="center"/>
                </w:tcPr>
                <w:p w14:paraId="08798D61">
                  <w:pPr>
                    <w:adjustRightInd w:val="0"/>
                    <w:spacing w:line="240" w:lineRule="auto"/>
                    <w:jc w:val="center"/>
                    <w:rPr>
                      <w:color w:val="auto"/>
                      <w:spacing w:val="-10"/>
                      <w:szCs w:val="21"/>
                    </w:rPr>
                  </w:pPr>
                  <w:r>
                    <w:rPr>
                      <w:color w:val="auto"/>
                      <w:spacing w:val="-10"/>
                      <w:szCs w:val="21"/>
                    </w:rPr>
                    <w:t>HW09</w:t>
                  </w:r>
                </w:p>
                <w:p w14:paraId="5D4ABFB8">
                  <w:pPr>
                    <w:adjustRightInd w:val="0"/>
                    <w:spacing w:line="240" w:lineRule="auto"/>
                    <w:jc w:val="center"/>
                    <w:rPr>
                      <w:color w:val="auto"/>
                      <w:spacing w:val="-10"/>
                      <w:szCs w:val="21"/>
                    </w:rPr>
                  </w:pPr>
                  <w:r>
                    <w:rPr>
                      <w:color w:val="auto"/>
                      <w:spacing w:val="-10"/>
                      <w:szCs w:val="21"/>
                    </w:rPr>
                    <w:t>900-006-09</w:t>
                  </w:r>
                </w:p>
              </w:tc>
              <w:tc>
                <w:tcPr>
                  <w:tcW w:w="956" w:type="dxa"/>
                  <w:vAlign w:val="center"/>
                </w:tcPr>
                <w:p w14:paraId="75109CA1">
                  <w:pPr>
                    <w:adjustRightInd w:val="0"/>
                    <w:snapToGrid w:val="0"/>
                    <w:spacing w:line="240" w:lineRule="auto"/>
                    <w:jc w:val="center"/>
                    <w:rPr>
                      <w:color w:val="auto"/>
                      <w:szCs w:val="21"/>
                    </w:rPr>
                  </w:pPr>
                  <w:r>
                    <w:rPr>
                      <w:color w:val="auto"/>
                      <w:szCs w:val="21"/>
                    </w:rPr>
                    <w:t>机加工</w:t>
                  </w:r>
                </w:p>
              </w:tc>
              <w:tc>
                <w:tcPr>
                  <w:tcW w:w="562" w:type="dxa"/>
                  <w:vAlign w:val="center"/>
                </w:tcPr>
                <w:p w14:paraId="774BC84B">
                  <w:pPr>
                    <w:adjustRightInd w:val="0"/>
                    <w:spacing w:line="240" w:lineRule="auto"/>
                    <w:jc w:val="center"/>
                    <w:rPr>
                      <w:color w:val="auto"/>
                      <w:spacing w:val="-10"/>
                      <w:szCs w:val="21"/>
                      <w:highlight w:val="yellow"/>
                    </w:rPr>
                  </w:pPr>
                  <w:r>
                    <w:rPr>
                      <w:rFonts w:hint="eastAsia"/>
                      <w:color w:val="auto"/>
                      <w:szCs w:val="21"/>
                    </w:rPr>
                    <w:t>1年</w:t>
                  </w:r>
                </w:p>
              </w:tc>
              <w:tc>
                <w:tcPr>
                  <w:tcW w:w="623" w:type="dxa"/>
                  <w:vAlign w:val="center"/>
                </w:tcPr>
                <w:p w14:paraId="4FBC10D5">
                  <w:pPr>
                    <w:adjustRightInd w:val="0"/>
                    <w:spacing w:line="240" w:lineRule="auto"/>
                    <w:jc w:val="center"/>
                    <w:rPr>
                      <w:color w:val="auto"/>
                      <w:spacing w:val="-10"/>
                      <w:szCs w:val="21"/>
                    </w:rPr>
                  </w:pPr>
                  <w:r>
                    <w:rPr>
                      <w:color w:val="auto"/>
                      <w:kern w:val="0"/>
                      <w:sz w:val="24"/>
                    </w:rPr>
                    <w:t>T</w:t>
                  </w:r>
                </w:p>
              </w:tc>
              <w:tc>
                <w:tcPr>
                  <w:tcW w:w="1164" w:type="dxa"/>
                  <w:vMerge w:val="continue"/>
                  <w:vAlign w:val="center"/>
                </w:tcPr>
                <w:p w14:paraId="56E6C549">
                  <w:pPr>
                    <w:widowControl/>
                    <w:spacing w:line="240" w:lineRule="auto"/>
                    <w:jc w:val="center"/>
                    <w:rPr>
                      <w:color w:val="auto"/>
                      <w:spacing w:val="-10"/>
                      <w:szCs w:val="21"/>
                    </w:rPr>
                  </w:pPr>
                </w:p>
              </w:tc>
            </w:tr>
            <w:tr w14:paraId="43785CB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9" w:type="dxa"/>
                  <w:vAlign w:val="center"/>
                </w:tcPr>
                <w:p w14:paraId="56978E55">
                  <w:pPr>
                    <w:adjustRightInd w:val="0"/>
                    <w:spacing w:line="240" w:lineRule="auto"/>
                    <w:jc w:val="center"/>
                    <w:rPr>
                      <w:color w:val="auto"/>
                      <w:spacing w:val="-10"/>
                      <w:szCs w:val="21"/>
                    </w:rPr>
                  </w:pPr>
                  <w:r>
                    <w:rPr>
                      <w:rFonts w:hint="eastAsia"/>
                      <w:color w:val="auto"/>
                      <w:spacing w:val="-10"/>
                      <w:szCs w:val="21"/>
                    </w:rPr>
                    <w:t>5</w:t>
                  </w:r>
                </w:p>
              </w:tc>
              <w:tc>
                <w:tcPr>
                  <w:tcW w:w="697" w:type="dxa"/>
                  <w:vAlign w:val="center"/>
                </w:tcPr>
                <w:p w14:paraId="6863B159">
                  <w:pPr>
                    <w:adjustRightInd w:val="0"/>
                    <w:snapToGrid w:val="0"/>
                    <w:spacing w:line="240" w:lineRule="auto"/>
                    <w:jc w:val="center"/>
                    <w:rPr>
                      <w:color w:val="auto"/>
                      <w:szCs w:val="21"/>
                    </w:rPr>
                  </w:pPr>
                  <w:r>
                    <w:rPr>
                      <w:color w:val="auto"/>
                      <w:szCs w:val="21"/>
                    </w:rPr>
                    <w:t>废油毡</w:t>
                  </w:r>
                </w:p>
              </w:tc>
              <w:tc>
                <w:tcPr>
                  <w:tcW w:w="720" w:type="dxa"/>
                  <w:vAlign w:val="center"/>
                </w:tcPr>
                <w:p w14:paraId="7DA1BDF1">
                  <w:pPr>
                    <w:adjustRightInd w:val="0"/>
                    <w:spacing w:line="240" w:lineRule="auto"/>
                    <w:jc w:val="center"/>
                    <w:rPr>
                      <w:color w:val="auto"/>
                      <w:spacing w:val="-10"/>
                      <w:szCs w:val="21"/>
                    </w:rPr>
                  </w:pPr>
                  <w:r>
                    <w:rPr>
                      <w:rFonts w:hint="eastAsia"/>
                      <w:color w:val="auto"/>
                      <w:spacing w:val="-10"/>
                      <w:szCs w:val="21"/>
                    </w:rPr>
                    <w:t>0.2</w:t>
                  </w:r>
                </w:p>
              </w:tc>
              <w:tc>
                <w:tcPr>
                  <w:tcW w:w="802" w:type="dxa"/>
                  <w:vAlign w:val="center"/>
                </w:tcPr>
                <w:p w14:paraId="6ED78946">
                  <w:pPr>
                    <w:adjustRightInd w:val="0"/>
                    <w:spacing w:line="240" w:lineRule="auto"/>
                    <w:jc w:val="center"/>
                    <w:rPr>
                      <w:color w:val="auto"/>
                      <w:spacing w:val="-10"/>
                      <w:szCs w:val="21"/>
                    </w:rPr>
                  </w:pPr>
                  <w:r>
                    <w:rPr>
                      <w:rFonts w:hint="eastAsia"/>
                      <w:color w:val="auto"/>
                      <w:spacing w:val="-10"/>
                      <w:szCs w:val="21"/>
                    </w:rPr>
                    <w:t>0</w:t>
                  </w:r>
                </w:p>
              </w:tc>
              <w:tc>
                <w:tcPr>
                  <w:tcW w:w="930" w:type="dxa"/>
                  <w:vAlign w:val="center"/>
                </w:tcPr>
                <w:p w14:paraId="1142368B">
                  <w:pPr>
                    <w:adjustRightInd w:val="0"/>
                    <w:spacing w:line="240" w:lineRule="auto"/>
                    <w:jc w:val="center"/>
                    <w:rPr>
                      <w:color w:val="auto"/>
                      <w:spacing w:val="-10"/>
                      <w:szCs w:val="21"/>
                    </w:rPr>
                  </w:pPr>
                  <w:r>
                    <w:rPr>
                      <w:rFonts w:hint="eastAsia"/>
                      <w:color w:val="auto"/>
                      <w:spacing w:val="-10"/>
                      <w:szCs w:val="21"/>
                    </w:rPr>
                    <w:t>0.2</w:t>
                  </w:r>
                </w:p>
              </w:tc>
              <w:tc>
                <w:tcPr>
                  <w:tcW w:w="1122" w:type="dxa"/>
                  <w:vAlign w:val="center"/>
                </w:tcPr>
                <w:p w14:paraId="18E0C2B5">
                  <w:pPr>
                    <w:adjustRightInd w:val="0"/>
                    <w:spacing w:line="240" w:lineRule="auto"/>
                    <w:jc w:val="center"/>
                    <w:rPr>
                      <w:color w:val="auto"/>
                      <w:spacing w:val="-10"/>
                      <w:szCs w:val="21"/>
                    </w:rPr>
                  </w:pPr>
                  <w:r>
                    <w:rPr>
                      <w:color w:val="auto"/>
                      <w:spacing w:val="-10"/>
                      <w:szCs w:val="21"/>
                    </w:rPr>
                    <w:t>HW</w:t>
                  </w:r>
                  <w:r>
                    <w:rPr>
                      <w:rFonts w:hint="eastAsia"/>
                      <w:color w:val="auto"/>
                      <w:spacing w:val="-10"/>
                      <w:szCs w:val="21"/>
                    </w:rPr>
                    <w:t>08</w:t>
                  </w:r>
                </w:p>
                <w:p w14:paraId="0030231A">
                  <w:pPr>
                    <w:adjustRightInd w:val="0"/>
                    <w:spacing w:line="240" w:lineRule="auto"/>
                    <w:jc w:val="center"/>
                    <w:rPr>
                      <w:color w:val="auto"/>
                      <w:spacing w:val="-10"/>
                      <w:szCs w:val="21"/>
                    </w:rPr>
                  </w:pPr>
                  <w:r>
                    <w:rPr>
                      <w:color w:val="auto"/>
                      <w:spacing w:val="-10"/>
                      <w:szCs w:val="21"/>
                    </w:rPr>
                    <w:t>900-</w:t>
                  </w:r>
                  <w:r>
                    <w:rPr>
                      <w:rFonts w:hint="eastAsia"/>
                      <w:color w:val="auto"/>
                      <w:spacing w:val="-10"/>
                      <w:szCs w:val="21"/>
                    </w:rPr>
                    <w:t>041-49</w:t>
                  </w:r>
                </w:p>
              </w:tc>
              <w:tc>
                <w:tcPr>
                  <w:tcW w:w="956" w:type="dxa"/>
                  <w:vAlign w:val="center"/>
                </w:tcPr>
                <w:p w14:paraId="3898C953">
                  <w:pPr>
                    <w:adjustRightInd w:val="0"/>
                    <w:snapToGrid w:val="0"/>
                    <w:spacing w:line="240" w:lineRule="auto"/>
                    <w:jc w:val="center"/>
                    <w:rPr>
                      <w:color w:val="auto"/>
                      <w:szCs w:val="21"/>
                    </w:rPr>
                  </w:pPr>
                  <w:r>
                    <w:rPr>
                      <w:color w:val="auto"/>
                      <w:szCs w:val="21"/>
                    </w:rPr>
                    <w:t>机加工</w:t>
                  </w:r>
                </w:p>
              </w:tc>
              <w:tc>
                <w:tcPr>
                  <w:tcW w:w="562" w:type="dxa"/>
                  <w:vAlign w:val="center"/>
                </w:tcPr>
                <w:p w14:paraId="3D857670">
                  <w:pPr>
                    <w:adjustRightInd w:val="0"/>
                    <w:snapToGrid w:val="0"/>
                    <w:spacing w:line="240" w:lineRule="auto"/>
                    <w:jc w:val="center"/>
                    <w:rPr>
                      <w:color w:val="auto"/>
                      <w:szCs w:val="21"/>
                    </w:rPr>
                  </w:pPr>
                  <w:r>
                    <w:rPr>
                      <w:rFonts w:hint="eastAsia"/>
                      <w:color w:val="auto"/>
                      <w:szCs w:val="21"/>
                    </w:rPr>
                    <w:t>1年</w:t>
                  </w:r>
                </w:p>
              </w:tc>
              <w:tc>
                <w:tcPr>
                  <w:tcW w:w="623" w:type="dxa"/>
                  <w:vAlign w:val="center"/>
                </w:tcPr>
                <w:p w14:paraId="731DC7AD">
                  <w:pPr>
                    <w:adjustRightInd w:val="0"/>
                    <w:spacing w:line="240" w:lineRule="auto"/>
                    <w:jc w:val="center"/>
                    <w:rPr>
                      <w:color w:val="auto"/>
                      <w:spacing w:val="-10"/>
                      <w:szCs w:val="21"/>
                    </w:rPr>
                  </w:pPr>
                  <w:r>
                    <w:rPr>
                      <w:color w:val="auto"/>
                      <w:kern w:val="0"/>
                      <w:sz w:val="24"/>
                    </w:rPr>
                    <w:t>T，I</w:t>
                  </w:r>
                </w:p>
              </w:tc>
              <w:tc>
                <w:tcPr>
                  <w:tcW w:w="1164" w:type="dxa"/>
                  <w:vMerge w:val="continue"/>
                  <w:vAlign w:val="center"/>
                </w:tcPr>
                <w:p w14:paraId="3458B70E">
                  <w:pPr>
                    <w:widowControl/>
                    <w:spacing w:line="240" w:lineRule="auto"/>
                    <w:jc w:val="center"/>
                    <w:rPr>
                      <w:color w:val="auto"/>
                      <w:spacing w:val="-10"/>
                      <w:szCs w:val="21"/>
                    </w:rPr>
                  </w:pPr>
                </w:p>
              </w:tc>
            </w:tr>
            <w:tr w14:paraId="356FE97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9" w:type="dxa"/>
                  <w:vAlign w:val="center"/>
                </w:tcPr>
                <w:p w14:paraId="50BD9CED">
                  <w:pPr>
                    <w:adjustRightInd w:val="0"/>
                    <w:spacing w:line="240" w:lineRule="auto"/>
                    <w:jc w:val="center"/>
                    <w:rPr>
                      <w:color w:val="auto"/>
                      <w:spacing w:val="-10"/>
                      <w:szCs w:val="21"/>
                    </w:rPr>
                  </w:pPr>
                  <w:r>
                    <w:rPr>
                      <w:rFonts w:hint="eastAsia"/>
                      <w:color w:val="auto"/>
                      <w:spacing w:val="-10"/>
                      <w:szCs w:val="21"/>
                    </w:rPr>
                    <w:t>6</w:t>
                  </w:r>
                </w:p>
              </w:tc>
              <w:tc>
                <w:tcPr>
                  <w:tcW w:w="697" w:type="dxa"/>
                  <w:vAlign w:val="center"/>
                </w:tcPr>
                <w:p w14:paraId="707E43B0">
                  <w:pPr>
                    <w:adjustRightInd w:val="0"/>
                    <w:snapToGrid w:val="0"/>
                    <w:spacing w:line="240" w:lineRule="auto"/>
                    <w:jc w:val="center"/>
                    <w:rPr>
                      <w:color w:val="auto"/>
                      <w:szCs w:val="21"/>
                    </w:rPr>
                  </w:pPr>
                  <w:r>
                    <w:rPr>
                      <w:color w:val="auto"/>
                      <w:szCs w:val="21"/>
                    </w:rPr>
                    <w:t>废含油抹布</w:t>
                  </w:r>
                </w:p>
              </w:tc>
              <w:tc>
                <w:tcPr>
                  <w:tcW w:w="720" w:type="dxa"/>
                  <w:vAlign w:val="center"/>
                </w:tcPr>
                <w:p w14:paraId="2604A9F4">
                  <w:pPr>
                    <w:adjustRightInd w:val="0"/>
                    <w:spacing w:line="240" w:lineRule="auto"/>
                    <w:jc w:val="center"/>
                    <w:rPr>
                      <w:color w:val="auto"/>
                      <w:spacing w:val="-10"/>
                      <w:szCs w:val="21"/>
                    </w:rPr>
                  </w:pPr>
                  <w:r>
                    <w:rPr>
                      <w:rFonts w:hint="eastAsia"/>
                      <w:color w:val="auto"/>
                      <w:spacing w:val="-10"/>
                      <w:szCs w:val="21"/>
                    </w:rPr>
                    <w:t>0.05</w:t>
                  </w:r>
                </w:p>
              </w:tc>
              <w:tc>
                <w:tcPr>
                  <w:tcW w:w="802" w:type="dxa"/>
                  <w:vAlign w:val="center"/>
                </w:tcPr>
                <w:p w14:paraId="7719284E">
                  <w:pPr>
                    <w:adjustRightInd w:val="0"/>
                    <w:spacing w:line="240" w:lineRule="auto"/>
                    <w:jc w:val="center"/>
                    <w:rPr>
                      <w:rFonts w:hint="default" w:eastAsia="宋体"/>
                      <w:color w:val="auto"/>
                      <w:spacing w:val="-10"/>
                      <w:szCs w:val="21"/>
                      <w:lang w:val="en-US" w:eastAsia="zh-CN"/>
                    </w:rPr>
                  </w:pPr>
                  <w:r>
                    <w:rPr>
                      <w:rFonts w:hint="eastAsia"/>
                      <w:color w:val="auto"/>
                      <w:spacing w:val="-10"/>
                      <w:szCs w:val="21"/>
                    </w:rPr>
                    <w:t>0</w:t>
                  </w:r>
                  <w:r>
                    <w:rPr>
                      <w:rFonts w:hint="eastAsia"/>
                      <w:color w:val="auto"/>
                      <w:spacing w:val="-10"/>
                      <w:szCs w:val="21"/>
                      <w:lang w:val="en-US" w:eastAsia="zh-CN"/>
                    </w:rPr>
                    <w:t>.05</w:t>
                  </w:r>
                </w:p>
              </w:tc>
              <w:tc>
                <w:tcPr>
                  <w:tcW w:w="930" w:type="dxa"/>
                  <w:vAlign w:val="center"/>
                </w:tcPr>
                <w:p w14:paraId="37DC1C64">
                  <w:pPr>
                    <w:adjustRightInd w:val="0"/>
                    <w:spacing w:line="240" w:lineRule="auto"/>
                    <w:jc w:val="center"/>
                    <w:rPr>
                      <w:rFonts w:hint="default" w:eastAsia="宋体"/>
                      <w:color w:val="auto"/>
                      <w:spacing w:val="-10"/>
                      <w:szCs w:val="21"/>
                      <w:lang w:val="en-US" w:eastAsia="zh-CN"/>
                    </w:rPr>
                  </w:pPr>
                  <w:r>
                    <w:rPr>
                      <w:rFonts w:hint="eastAsia"/>
                      <w:color w:val="auto"/>
                      <w:spacing w:val="-10"/>
                      <w:szCs w:val="21"/>
                    </w:rPr>
                    <w:t>0.</w:t>
                  </w:r>
                  <w:r>
                    <w:rPr>
                      <w:rFonts w:hint="eastAsia"/>
                      <w:color w:val="auto"/>
                      <w:spacing w:val="-10"/>
                      <w:szCs w:val="21"/>
                      <w:lang w:val="en-US" w:eastAsia="zh-CN"/>
                    </w:rPr>
                    <w:t>10</w:t>
                  </w:r>
                </w:p>
              </w:tc>
              <w:tc>
                <w:tcPr>
                  <w:tcW w:w="1122" w:type="dxa"/>
                  <w:vAlign w:val="center"/>
                </w:tcPr>
                <w:p w14:paraId="5E832F2C">
                  <w:pPr>
                    <w:adjustRightInd w:val="0"/>
                    <w:spacing w:line="240" w:lineRule="auto"/>
                    <w:jc w:val="center"/>
                    <w:rPr>
                      <w:color w:val="auto"/>
                      <w:spacing w:val="-10"/>
                      <w:szCs w:val="21"/>
                    </w:rPr>
                  </w:pPr>
                  <w:r>
                    <w:rPr>
                      <w:color w:val="auto"/>
                      <w:spacing w:val="-10"/>
                      <w:szCs w:val="21"/>
                    </w:rPr>
                    <w:t>HW</w:t>
                  </w:r>
                  <w:r>
                    <w:rPr>
                      <w:rFonts w:hint="eastAsia"/>
                      <w:color w:val="auto"/>
                      <w:spacing w:val="-10"/>
                      <w:szCs w:val="21"/>
                    </w:rPr>
                    <w:t>08</w:t>
                  </w:r>
                </w:p>
                <w:p w14:paraId="12F288DC">
                  <w:pPr>
                    <w:adjustRightInd w:val="0"/>
                    <w:spacing w:line="240" w:lineRule="auto"/>
                    <w:jc w:val="center"/>
                    <w:rPr>
                      <w:color w:val="auto"/>
                      <w:spacing w:val="-10"/>
                      <w:szCs w:val="21"/>
                    </w:rPr>
                  </w:pPr>
                  <w:r>
                    <w:rPr>
                      <w:color w:val="auto"/>
                      <w:spacing w:val="-10"/>
                      <w:szCs w:val="21"/>
                    </w:rPr>
                    <w:t>900-</w:t>
                  </w:r>
                  <w:r>
                    <w:rPr>
                      <w:rFonts w:hint="eastAsia"/>
                      <w:color w:val="auto"/>
                      <w:spacing w:val="-10"/>
                      <w:szCs w:val="21"/>
                    </w:rPr>
                    <w:t>041-49</w:t>
                  </w:r>
                </w:p>
              </w:tc>
              <w:tc>
                <w:tcPr>
                  <w:tcW w:w="956" w:type="dxa"/>
                  <w:vAlign w:val="center"/>
                </w:tcPr>
                <w:p w14:paraId="2FFEE885">
                  <w:pPr>
                    <w:adjustRightInd w:val="0"/>
                    <w:snapToGrid w:val="0"/>
                    <w:spacing w:line="240" w:lineRule="auto"/>
                    <w:jc w:val="center"/>
                    <w:rPr>
                      <w:color w:val="auto"/>
                      <w:szCs w:val="21"/>
                    </w:rPr>
                  </w:pPr>
                  <w:r>
                    <w:rPr>
                      <w:color w:val="auto"/>
                      <w:szCs w:val="21"/>
                    </w:rPr>
                    <w:t>机加工</w:t>
                  </w:r>
                </w:p>
              </w:tc>
              <w:tc>
                <w:tcPr>
                  <w:tcW w:w="562" w:type="dxa"/>
                  <w:vAlign w:val="center"/>
                </w:tcPr>
                <w:p w14:paraId="22DC0176">
                  <w:pPr>
                    <w:adjustRightInd w:val="0"/>
                    <w:snapToGrid w:val="0"/>
                    <w:spacing w:line="240" w:lineRule="auto"/>
                    <w:jc w:val="center"/>
                    <w:rPr>
                      <w:color w:val="auto"/>
                      <w:szCs w:val="21"/>
                    </w:rPr>
                  </w:pPr>
                  <w:r>
                    <w:rPr>
                      <w:rFonts w:hint="eastAsia"/>
                      <w:color w:val="auto"/>
                      <w:szCs w:val="21"/>
                    </w:rPr>
                    <w:t>1年</w:t>
                  </w:r>
                </w:p>
              </w:tc>
              <w:tc>
                <w:tcPr>
                  <w:tcW w:w="623" w:type="dxa"/>
                  <w:vAlign w:val="center"/>
                </w:tcPr>
                <w:p w14:paraId="473D32E7">
                  <w:pPr>
                    <w:adjustRightInd w:val="0"/>
                    <w:spacing w:line="240" w:lineRule="auto"/>
                    <w:jc w:val="center"/>
                    <w:rPr>
                      <w:color w:val="auto"/>
                      <w:spacing w:val="-10"/>
                      <w:szCs w:val="21"/>
                    </w:rPr>
                  </w:pPr>
                  <w:r>
                    <w:rPr>
                      <w:color w:val="auto"/>
                      <w:kern w:val="0"/>
                      <w:sz w:val="24"/>
                    </w:rPr>
                    <w:t>T，I</w:t>
                  </w:r>
                </w:p>
              </w:tc>
              <w:tc>
                <w:tcPr>
                  <w:tcW w:w="1164" w:type="dxa"/>
                  <w:vMerge w:val="continue"/>
                  <w:vAlign w:val="center"/>
                </w:tcPr>
                <w:p w14:paraId="799EC6F5">
                  <w:pPr>
                    <w:widowControl/>
                    <w:spacing w:line="240" w:lineRule="auto"/>
                    <w:jc w:val="center"/>
                    <w:rPr>
                      <w:color w:val="auto"/>
                      <w:spacing w:val="-10"/>
                      <w:szCs w:val="21"/>
                    </w:rPr>
                  </w:pPr>
                </w:p>
              </w:tc>
            </w:tr>
            <w:tr w14:paraId="53E02B8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9" w:type="dxa"/>
                  <w:vAlign w:val="center"/>
                </w:tcPr>
                <w:p w14:paraId="094EC7D9">
                  <w:pPr>
                    <w:adjustRightInd w:val="0"/>
                    <w:spacing w:line="240" w:lineRule="auto"/>
                    <w:jc w:val="center"/>
                    <w:rPr>
                      <w:color w:val="auto"/>
                      <w:spacing w:val="-10"/>
                      <w:szCs w:val="21"/>
                    </w:rPr>
                  </w:pPr>
                  <w:r>
                    <w:rPr>
                      <w:rFonts w:hint="eastAsia"/>
                      <w:color w:val="auto"/>
                      <w:spacing w:val="-10"/>
                      <w:szCs w:val="21"/>
                    </w:rPr>
                    <w:t>7</w:t>
                  </w:r>
                </w:p>
              </w:tc>
              <w:tc>
                <w:tcPr>
                  <w:tcW w:w="697" w:type="dxa"/>
                  <w:vAlign w:val="center"/>
                </w:tcPr>
                <w:p w14:paraId="20BC4851">
                  <w:pPr>
                    <w:adjustRightInd w:val="0"/>
                    <w:snapToGrid w:val="0"/>
                    <w:spacing w:line="240" w:lineRule="auto"/>
                    <w:jc w:val="center"/>
                    <w:rPr>
                      <w:color w:val="auto"/>
                      <w:szCs w:val="21"/>
                    </w:rPr>
                  </w:pPr>
                  <w:r>
                    <w:rPr>
                      <w:rFonts w:hint="eastAsia"/>
                      <w:color w:val="auto"/>
                      <w:szCs w:val="21"/>
                    </w:rPr>
                    <w:t>废滤芯</w:t>
                  </w:r>
                </w:p>
              </w:tc>
              <w:tc>
                <w:tcPr>
                  <w:tcW w:w="720" w:type="dxa"/>
                  <w:vAlign w:val="center"/>
                </w:tcPr>
                <w:p w14:paraId="25979008">
                  <w:pPr>
                    <w:adjustRightInd w:val="0"/>
                    <w:spacing w:line="240" w:lineRule="auto"/>
                    <w:jc w:val="center"/>
                    <w:rPr>
                      <w:color w:val="auto"/>
                      <w:spacing w:val="-10"/>
                      <w:szCs w:val="21"/>
                    </w:rPr>
                  </w:pPr>
                  <w:r>
                    <w:rPr>
                      <w:rFonts w:hint="eastAsia"/>
                      <w:color w:val="auto"/>
                      <w:spacing w:val="-10"/>
                      <w:szCs w:val="21"/>
                    </w:rPr>
                    <w:t>0.01</w:t>
                  </w:r>
                </w:p>
              </w:tc>
              <w:tc>
                <w:tcPr>
                  <w:tcW w:w="802" w:type="dxa"/>
                  <w:vAlign w:val="center"/>
                </w:tcPr>
                <w:p w14:paraId="486075C1">
                  <w:pPr>
                    <w:adjustRightInd w:val="0"/>
                    <w:spacing w:line="240" w:lineRule="auto"/>
                    <w:jc w:val="center"/>
                    <w:rPr>
                      <w:color w:val="auto"/>
                      <w:spacing w:val="-10"/>
                      <w:szCs w:val="21"/>
                    </w:rPr>
                  </w:pPr>
                  <w:r>
                    <w:rPr>
                      <w:rFonts w:hint="eastAsia"/>
                      <w:color w:val="auto"/>
                      <w:spacing w:val="-10"/>
                      <w:szCs w:val="21"/>
                    </w:rPr>
                    <w:t>0</w:t>
                  </w:r>
                </w:p>
              </w:tc>
              <w:tc>
                <w:tcPr>
                  <w:tcW w:w="930" w:type="dxa"/>
                  <w:vAlign w:val="center"/>
                </w:tcPr>
                <w:p w14:paraId="4A8A64B4">
                  <w:pPr>
                    <w:adjustRightInd w:val="0"/>
                    <w:spacing w:line="240" w:lineRule="auto"/>
                    <w:jc w:val="center"/>
                    <w:rPr>
                      <w:color w:val="auto"/>
                      <w:spacing w:val="-10"/>
                      <w:szCs w:val="21"/>
                    </w:rPr>
                  </w:pPr>
                  <w:r>
                    <w:rPr>
                      <w:rFonts w:hint="eastAsia"/>
                      <w:color w:val="auto"/>
                      <w:spacing w:val="-10"/>
                      <w:szCs w:val="21"/>
                    </w:rPr>
                    <w:t>0.01</w:t>
                  </w:r>
                </w:p>
              </w:tc>
              <w:tc>
                <w:tcPr>
                  <w:tcW w:w="1122" w:type="dxa"/>
                  <w:vAlign w:val="center"/>
                </w:tcPr>
                <w:p w14:paraId="2F39CDEE">
                  <w:pPr>
                    <w:adjustRightInd w:val="0"/>
                    <w:spacing w:line="240" w:lineRule="auto"/>
                    <w:jc w:val="center"/>
                    <w:rPr>
                      <w:color w:val="auto"/>
                      <w:spacing w:val="-10"/>
                      <w:szCs w:val="21"/>
                    </w:rPr>
                  </w:pPr>
                  <w:r>
                    <w:rPr>
                      <w:color w:val="auto"/>
                      <w:spacing w:val="-10"/>
                      <w:szCs w:val="21"/>
                    </w:rPr>
                    <w:t>HW49</w:t>
                  </w:r>
                </w:p>
                <w:p w14:paraId="0B83C6FA">
                  <w:pPr>
                    <w:adjustRightInd w:val="0"/>
                    <w:spacing w:line="240" w:lineRule="auto"/>
                    <w:jc w:val="center"/>
                    <w:rPr>
                      <w:color w:val="auto"/>
                      <w:spacing w:val="-10"/>
                      <w:szCs w:val="21"/>
                    </w:rPr>
                  </w:pPr>
                  <w:r>
                    <w:rPr>
                      <w:bCs/>
                      <w:color w:val="auto"/>
                      <w:spacing w:val="-10"/>
                      <w:szCs w:val="21"/>
                    </w:rPr>
                    <w:t>900-041-49</w:t>
                  </w:r>
                </w:p>
              </w:tc>
              <w:tc>
                <w:tcPr>
                  <w:tcW w:w="956" w:type="dxa"/>
                  <w:vMerge w:val="restart"/>
                  <w:vAlign w:val="center"/>
                </w:tcPr>
                <w:p w14:paraId="2AB1D9C3">
                  <w:pPr>
                    <w:adjustRightInd w:val="0"/>
                    <w:snapToGrid w:val="0"/>
                    <w:spacing w:line="240" w:lineRule="auto"/>
                    <w:jc w:val="center"/>
                    <w:rPr>
                      <w:color w:val="auto"/>
                      <w:szCs w:val="21"/>
                    </w:rPr>
                  </w:pPr>
                  <w:r>
                    <w:rPr>
                      <w:rFonts w:hint="eastAsia"/>
                      <w:color w:val="auto"/>
                      <w:szCs w:val="21"/>
                    </w:rPr>
                    <w:t>干式过滤+活性炭吸附装置</w:t>
                  </w:r>
                </w:p>
              </w:tc>
              <w:tc>
                <w:tcPr>
                  <w:tcW w:w="562" w:type="dxa"/>
                  <w:vAlign w:val="center"/>
                </w:tcPr>
                <w:p w14:paraId="20AB1090">
                  <w:pPr>
                    <w:adjustRightInd w:val="0"/>
                    <w:spacing w:line="240" w:lineRule="auto"/>
                    <w:jc w:val="center"/>
                    <w:rPr>
                      <w:color w:val="auto"/>
                      <w:spacing w:val="-10"/>
                      <w:szCs w:val="21"/>
                      <w:highlight w:val="yellow"/>
                    </w:rPr>
                  </w:pPr>
                  <w:r>
                    <w:rPr>
                      <w:rFonts w:hint="eastAsia"/>
                      <w:color w:val="auto"/>
                      <w:szCs w:val="21"/>
                    </w:rPr>
                    <w:t>1年</w:t>
                  </w:r>
                </w:p>
              </w:tc>
              <w:tc>
                <w:tcPr>
                  <w:tcW w:w="623" w:type="dxa"/>
                  <w:vAlign w:val="center"/>
                </w:tcPr>
                <w:p w14:paraId="0D0236FA">
                  <w:pPr>
                    <w:adjustRightInd w:val="0"/>
                    <w:spacing w:line="240" w:lineRule="auto"/>
                    <w:jc w:val="center"/>
                    <w:rPr>
                      <w:color w:val="auto"/>
                      <w:spacing w:val="-10"/>
                      <w:szCs w:val="21"/>
                    </w:rPr>
                  </w:pPr>
                  <w:r>
                    <w:rPr>
                      <w:color w:val="auto"/>
                      <w:kern w:val="0"/>
                      <w:sz w:val="24"/>
                    </w:rPr>
                    <w:t>T</w:t>
                  </w:r>
                </w:p>
              </w:tc>
              <w:tc>
                <w:tcPr>
                  <w:tcW w:w="1164" w:type="dxa"/>
                  <w:vMerge w:val="continue"/>
                  <w:vAlign w:val="center"/>
                </w:tcPr>
                <w:p w14:paraId="00E500A4">
                  <w:pPr>
                    <w:widowControl/>
                    <w:spacing w:line="240" w:lineRule="auto"/>
                    <w:jc w:val="center"/>
                    <w:rPr>
                      <w:color w:val="auto"/>
                      <w:spacing w:val="-10"/>
                      <w:szCs w:val="21"/>
                    </w:rPr>
                  </w:pPr>
                </w:p>
              </w:tc>
            </w:tr>
            <w:tr w14:paraId="2459957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9" w:type="dxa"/>
                  <w:vAlign w:val="center"/>
                </w:tcPr>
                <w:p w14:paraId="4D2041E3">
                  <w:pPr>
                    <w:adjustRightInd w:val="0"/>
                    <w:spacing w:line="240" w:lineRule="auto"/>
                    <w:jc w:val="center"/>
                    <w:rPr>
                      <w:color w:val="auto"/>
                      <w:spacing w:val="-10"/>
                      <w:szCs w:val="21"/>
                    </w:rPr>
                  </w:pPr>
                  <w:r>
                    <w:rPr>
                      <w:rFonts w:hint="eastAsia"/>
                      <w:color w:val="auto"/>
                      <w:spacing w:val="-10"/>
                      <w:szCs w:val="21"/>
                    </w:rPr>
                    <w:t>8</w:t>
                  </w:r>
                </w:p>
              </w:tc>
              <w:tc>
                <w:tcPr>
                  <w:tcW w:w="697" w:type="dxa"/>
                  <w:vAlign w:val="center"/>
                </w:tcPr>
                <w:p w14:paraId="098CB874">
                  <w:pPr>
                    <w:adjustRightInd w:val="0"/>
                    <w:snapToGrid w:val="0"/>
                    <w:spacing w:line="240" w:lineRule="auto"/>
                    <w:jc w:val="center"/>
                    <w:rPr>
                      <w:color w:val="auto"/>
                      <w:szCs w:val="21"/>
                    </w:rPr>
                  </w:pPr>
                  <w:r>
                    <w:rPr>
                      <w:color w:val="auto"/>
                      <w:szCs w:val="21"/>
                    </w:rPr>
                    <w:t>废活性炭</w:t>
                  </w:r>
                </w:p>
              </w:tc>
              <w:tc>
                <w:tcPr>
                  <w:tcW w:w="720" w:type="dxa"/>
                  <w:vAlign w:val="center"/>
                </w:tcPr>
                <w:p w14:paraId="59466DD6">
                  <w:pPr>
                    <w:adjustRightInd w:val="0"/>
                    <w:spacing w:line="240" w:lineRule="auto"/>
                    <w:jc w:val="center"/>
                    <w:rPr>
                      <w:color w:val="auto"/>
                      <w:spacing w:val="-10"/>
                      <w:szCs w:val="21"/>
                    </w:rPr>
                  </w:pPr>
                  <w:r>
                    <w:rPr>
                      <w:rFonts w:hint="eastAsia"/>
                      <w:color w:val="auto"/>
                      <w:spacing w:val="-10"/>
                      <w:szCs w:val="21"/>
                    </w:rPr>
                    <w:t>0.5</w:t>
                  </w:r>
                </w:p>
              </w:tc>
              <w:tc>
                <w:tcPr>
                  <w:tcW w:w="802" w:type="dxa"/>
                  <w:vAlign w:val="center"/>
                </w:tcPr>
                <w:p w14:paraId="5894BA0E">
                  <w:pPr>
                    <w:adjustRightInd w:val="0"/>
                    <w:spacing w:line="240" w:lineRule="auto"/>
                    <w:jc w:val="center"/>
                    <w:rPr>
                      <w:color w:val="auto"/>
                      <w:spacing w:val="-10"/>
                      <w:szCs w:val="21"/>
                    </w:rPr>
                  </w:pPr>
                  <w:r>
                    <w:rPr>
                      <w:rFonts w:hint="eastAsia"/>
                      <w:color w:val="auto"/>
                      <w:spacing w:val="-10"/>
                      <w:szCs w:val="21"/>
                    </w:rPr>
                    <w:t>0</w:t>
                  </w:r>
                </w:p>
              </w:tc>
              <w:tc>
                <w:tcPr>
                  <w:tcW w:w="930" w:type="dxa"/>
                  <w:vAlign w:val="center"/>
                </w:tcPr>
                <w:p w14:paraId="01990788">
                  <w:pPr>
                    <w:adjustRightInd w:val="0"/>
                    <w:spacing w:line="240" w:lineRule="auto"/>
                    <w:jc w:val="center"/>
                    <w:rPr>
                      <w:color w:val="auto"/>
                      <w:spacing w:val="-10"/>
                      <w:szCs w:val="21"/>
                    </w:rPr>
                  </w:pPr>
                  <w:r>
                    <w:rPr>
                      <w:rFonts w:hint="eastAsia"/>
                      <w:color w:val="auto"/>
                      <w:spacing w:val="-10"/>
                      <w:szCs w:val="21"/>
                    </w:rPr>
                    <w:t>0.5</w:t>
                  </w:r>
                </w:p>
              </w:tc>
              <w:tc>
                <w:tcPr>
                  <w:tcW w:w="1122" w:type="dxa"/>
                  <w:vAlign w:val="center"/>
                </w:tcPr>
                <w:p w14:paraId="6CEDEA5A">
                  <w:pPr>
                    <w:adjustRightInd w:val="0"/>
                    <w:spacing w:line="240" w:lineRule="auto"/>
                    <w:jc w:val="center"/>
                    <w:rPr>
                      <w:color w:val="auto"/>
                      <w:spacing w:val="-10"/>
                      <w:szCs w:val="21"/>
                    </w:rPr>
                  </w:pPr>
                  <w:r>
                    <w:rPr>
                      <w:color w:val="auto"/>
                      <w:spacing w:val="-10"/>
                      <w:szCs w:val="21"/>
                    </w:rPr>
                    <w:t>HW49</w:t>
                  </w:r>
                </w:p>
                <w:p w14:paraId="4F7A4E53">
                  <w:pPr>
                    <w:adjustRightInd w:val="0"/>
                    <w:spacing w:line="240" w:lineRule="auto"/>
                    <w:jc w:val="center"/>
                    <w:rPr>
                      <w:color w:val="auto"/>
                      <w:spacing w:val="-10"/>
                      <w:szCs w:val="21"/>
                    </w:rPr>
                  </w:pPr>
                  <w:r>
                    <w:rPr>
                      <w:color w:val="auto"/>
                      <w:spacing w:val="-10"/>
                      <w:szCs w:val="21"/>
                    </w:rPr>
                    <w:t>900-039-49</w:t>
                  </w:r>
                </w:p>
              </w:tc>
              <w:tc>
                <w:tcPr>
                  <w:tcW w:w="956" w:type="dxa"/>
                  <w:vMerge w:val="continue"/>
                  <w:vAlign w:val="center"/>
                </w:tcPr>
                <w:p w14:paraId="033F12CB">
                  <w:pPr>
                    <w:adjustRightInd w:val="0"/>
                    <w:snapToGrid w:val="0"/>
                    <w:spacing w:line="240" w:lineRule="auto"/>
                    <w:jc w:val="center"/>
                    <w:rPr>
                      <w:color w:val="auto"/>
                      <w:szCs w:val="21"/>
                    </w:rPr>
                  </w:pPr>
                </w:p>
              </w:tc>
              <w:tc>
                <w:tcPr>
                  <w:tcW w:w="562" w:type="dxa"/>
                  <w:vAlign w:val="center"/>
                </w:tcPr>
                <w:p w14:paraId="7DB54229">
                  <w:pPr>
                    <w:adjustRightInd w:val="0"/>
                    <w:spacing w:line="240" w:lineRule="auto"/>
                    <w:jc w:val="center"/>
                    <w:rPr>
                      <w:color w:val="auto"/>
                      <w:spacing w:val="-10"/>
                      <w:szCs w:val="21"/>
                      <w:highlight w:val="yellow"/>
                    </w:rPr>
                  </w:pPr>
                  <w:r>
                    <w:rPr>
                      <w:rFonts w:hint="eastAsia"/>
                      <w:color w:val="auto"/>
                      <w:szCs w:val="21"/>
                    </w:rPr>
                    <w:t>1年</w:t>
                  </w:r>
                </w:p>
              </w:tc>
              <w:tc>
                <w:tcPr>
                  <w:tcW w:w="623" w:type="dxa"/>
                  <w:vAlign w:val="center"/>
                </w:tcPr>
                <w:p w14:paraId="3AACEDC2">
                  <w:pPr>
                    <w:adjustRightInd w:val="0"/>
                    <w:spacing w:line="240" w:lineRule="auto"/>
                    <w:jc w:val="center"/>
                    <w:rPr>
                      <w:color w:val="auto"/>
                      <w:spacing w:val="-10"/>
                      <w:szCs w:val="21"/>
                    </w:rPr>
                  </w:pPr>
                  <w:r>
                    <w:rPr>
                      <w:color w:val="auto"/>
                      <w:kern w:val="0"/>
                      <w:sz w:val="24"/>
                    </w:rPr>
                    <w:t>T</w:t>
                  </w:r>
                </w:p>
              </w:tc>
              <w:tc>
                <w:tcPr>
                  <w:tcW w:w="1164" w:type="dxa"/>
                  <w:vMerge w:val="continue"/>
                  <w:vAlign w:val="center"/>
                </w:tcPr>
                <w:p w14:paraId="2716DE59">
                  <w:pPr>
                    <w:adjustRightInd w:val="0"/>
                    <w:spacing w:line="240" w:lineRule="auto"/>
                    <w:jc w:val="center"/>
                    <w:rPr>
                      <w:color w:val="auto"/>
                      <w:spacing w:val="-10"/>
                      <w:szCs w:val="21"/>
                    </w:rPr>
                  </w:pPr>
                </w:p>
              </w:tc>
            </w:tr>
            <w:tr w14:paraId="0A57AB6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9" w:type="dxa"/>
                  <w:vAlign w:val="center"/>
                </w:tcPr>
                <w:p w14:paraId="0CF76FBC">
                  <w:pPr>
                    <w:adjustRightInd w:val="0"/>
                    <w:spacing w:line="240" w:lineRule="auto"/>
                    <w:jc w:val="center"/>
                    <w:rPr>
                      <w:color w:val="auto"/>
                      <w:spacing w:val="-10"/>
                      <w:szCs w:val="21"/>
                    </w:rPr>
                  </w:pPr>
                  <w:r>
                    <w:rPr>
                      <w:rFonts w:hint="eastAsia"/>
                      <w:color w:val="auto"/>
                      <w:spacing w:val="-10"/>
                      <w:szCs w:val="21"/>
                    </w:rPr>
                    <w:t>9</w:t>
                  </w:r>
                </w:p>
              </w:tc>
              <w:tc>
                <w:tcPr>
                  <w:tcW w:w="697" w:type="dxa"/>
                  <w:vAlign w:val="center"/>
                </w:tcPr>
                <w:p w14:paraId="2F6646B8">
                  <w:pPr>
                    <w:adjustRightInd w:val="0"/>
                    <w:snapToGrid w:val="0"/>
                    <w:spacing w:line="240" w:lineRule="auto"/>
                    <w:jc w:val="center"/>
                    <w:rPr>
                      <w:color w:val="auto"/>
                      <w:szCs w:val="21"/>
                    </w:rPr>
                  </w:pPr>
                  <w:r>
                    <w:rPr>
                      <w:rFonts w:hint="eastAsia"/>
                      <w:color w:val="auto"/>
                      <w:szCs w:val="21"/>
                    </w:rPr>
                    <w:t>含油金属屑</w:t>
                  </w:r>
                </w:p>
              </w:tc>
              <w:tc>
                <w:tcPr>
                  <w:tcW w:w="720" w:type="dxa"/>
                  <w:vAlign w:val="center"/>
                </w:tcPr>
                <w:p w14:paraId="292B4191">
                  <w:pPr>
                    <w:adjustRightInd w:val="0"/>
                    <w:spacing w:line="240" w:lineRule="auto"/>
                    <w:jc w:val="center"/>
                    <w:rPr>
                      <w:color w:val="auto"/>
                      <w:spacing w:val="-10"/>
                      <w:szCs w:val="21"/>
                    </w:rPr>
                  </w:pPr>
                  <w:r>
                    <w:rPr>
                      <w:rFonts w:hint="eastAsia"/>
                      <w:color w:val="auto"/>
                      <w:spacing w:val="-10"/>
                      <w:szCs w:val="21"/>
                    </w:rPr>
                    <w:t>10</w:t>
                  </w:r>
                </w:p>
              </w:tc>
              <w:tc>
                <w:tcPr>
                  <w:tcW w:w="802" w:type="dxa"/>
                  <w:vAlign w:val="center"/>
                </w:tcPr>
                <w:p w14:paraId="0725D4DC">
                  <w:pPr>
                    <w:adjustRightInd w:val="0"/>
                    <w:spacing w:line="240" w:lineRule="auto"/>
                    <w:jc w:val="center"/>
                    <w:rPr>
                      <w:color w:val="auto"/>
                      <w:spacing w:val="-10"/>
                      <w:szCs w:val="21"/>
                    </w:rPr>
                  </w:pPr>
                  <w:r>
                    <w:rPr>
                      <w:rFonts w:hint="eastAsia"/>
                      <w:color w:val="auto"/>
                      <w:spacing w:val="-10"/>
                      <w:szCs w:val="21"/>
                    </w:rPr>
                    <w:t>0</w:t>
                  </w:r>
                </w:p>
              </w:tc>
              <w:tc>
                <w:tcPr>
                  <w:tcW w:w="930" w:type="dxa"/>
                  <w:vAlign w:val="center"/>
                </w:tcPr>
                <w:p w14:paraId="2A050FC2">
                  <w:pPr>
                    <w:adjustRightInd w:val="0"/>
                    <w:spacing w:line="240" w:lineRule="auto"/>
                    <w:jc w:val="center"/>
                    <w:rPr>
                      <w:color w:val="auto"/>
                      <w:spacing w:val="-10"/>
                      <w:szCs w:val="21"/>
                    </w:rPr>
                  </w:pPr>
                  <w:r>
                    <w:rPr>
                      <w:rFonts w:hint="eastAsia"/>
                      <w:color w:val="auto"/>
                      <w:spacing w:val="-10"/>
                      <w:szCs w:val="21"/>
                    </w:rPr>
                    <w:t>10</w:t>
                  </w:r>
                </w:p>
              </w:tc>
              <w:tc>
                <w:tcPr>
                  <w:tcW w:w="1122" w:type="dxa"/>
                  <w:vAlign w:val="center"/>
                </w:tcPr>
                <w:p w14:paraId="2658EAB1">
                  <w:pPr>
                    <w:adjustRightInd w:val="0"/>
                    <w:spacing w:line="240" w:lineRule="auto"/>
                    <w:jc w:val="center"/>
                    <w:rPr>
                      <w:color w:val="auto"/>
                      <w:spacing w:val="-10"/>
                      <w:szCs w:val="21"/>
                    </w:rPr>
                  </w:pPr>
                  <w:r>
                    <w:rPr>
                      <w:color w:val="auto"/>
                      <w:spacing w:val="-10"/>
                      <w:szCs w:val="21"/>
                    </w:rPr>
                    <w:t>HW09</w:t>
                  </w:r>
                </w:p>
                <w:p w14:paraId="05459B3C">
                  <w:pPr>
                    <w:adjustRightInd w:val="0"/>
                    <w:spacing w:line="240" w:lineRule="auto"/>
                    <w:jc w:val="center"/>
                    <w:rPr>
                      <w:color w:val="auto"/>
                      <w:spacing w:val="-10"/>
                      <w:szCs w:val="21"/>
                    </w:rPr>
                  </w:pPr>
                  <w:r>
                    <w:rPr>
                      <w:color w:val="auto"/>
                      <w:spacing w:val="-10"/>
                      <w:szCs w:val="21"/>
                    </w:rPr>
                    <w:t>900-006-09</w:t>
                  </w:r>
                </w:p>
              </w:tc>
              <w:tc>
                <w:tcPr>
                  <w:tcW w:w="956" w:type="dxa"/>
                  <w:vAlign w:val="center"/>
                </w:tcPr>
                <w:p w14:paraId="3D4E1B4F">
                  <w:pPr>
                    <w:adjustRightInd w:val="0"/>
                    <w:snapToGrid w:val="0"/>
                    <w:spacing w:line="240" w:lineRule="auto"/>
                    <w:jc w:val="center"/>
                    <w:rPr>
                      <w:color w:val="auto"/>
                      <w:szCs w:val="21"/>
                    </w:rPr>
                  </w:pPr>
                  <w:r>
                    <w:rPr>
                      <w:color w:val="auto"/>
                      <w:szCs w:val="21"/>
                    </w:rPr>
                    <w:t>机加工</w:t>
                  </w:r>
                </w:p>
              </w:tc>
              <w:tc>
                <w:tcPr>
                  <w:tcW w:w="562" w:type="dxa"/>
                  <w:vAlign w:val="center"/>
                </w:tcPr>
                <w:p w14:paraId="303D2500">
                  <w:pPr>
                    <w:adjustRightInd w:val="0"/>
                    <w:spacing w:line="240" w:lineRule="auto"/>
                    <w:jc w:val="center"/>
                    <w:rPr>
                      <w:color w:val="auto"/>
                      <w:spacing w:val="-10"/>
                      <w:szCs w:val="21"/>
                      <w:highlight w:val="yellow"/>
                    </w:rPr>
                  </w:pPr>
                  <w:r>
                    <w:rPr>
                      <w:rFonts w:hint="eastAsia"/>
                      <w:color w:val="auto"/>
                      <w:szCs w:val="21"/>
                    </w:rPr>
                    <w:t>1年</w:t>
                  </w:r>
                </w:p>
              </w:tc>
              <w:tc>
                <w:tcPr>
                  <w:tcW w:w="623" w:type="dxa"/>
                  <w:vAlign w:val="center"/>
                </w:tcPr>
                <w:p w14:paraId="1B1237CA">
                  <w:pPr>
                    <w:adjustRightInd w:val="0"/>
                    <w:spacing w:line="240" w:lineRule="auto"/>
                    <w:jc w:val="center"/>
                    <w:rPr>
                      <w:color w:val="auto"/>
                      <w:spacing w:val="-10"/>
                      <w:szCs w:val="21"/>
                    </w:rPr>
                  </w:pPr>
                  <w:r>
                    <w:rPr>
                      <w:color w:val="auto"/>
                      <w:kern w:val="0"/>
                      <w:sz w:val="24"/>
                    </w:rPr>
                    <w:t>T</w:t>
                  </w:r>
                </w:p>
              </w:tc>
              <w:tc>
                <w:tcPr>
                  <w:tcW w:w="1164" w:type="dxa"/>
                  <w:vAlign w:val="center"/>
                </w:tcPr>
                <w:p w14:paraId="0ECEE59F">
                  <w:pPr>
                    <w:adjustRightInd w:val="0"/>
                    <w:spacing w:line="240" w:lineRule="auto"/>
                    <w:jc w:val="center"/>
                    <w:rPr>
                      <w:color w:val="auto"/>
                      <w:spacing w:val="-10"/>
                      <w:szCs w:val="21"/>
                    </w:rPr>
                  </w:pPr>
                  <w:r>
                    <w:rPr>
                      <w:rFonts w:hint="eastAsia"/>
                      <w:color w:val="auto"/>
                      <w:spacing w:val="-10"/>
                      <w:szCs w:val="21"/>
                    </w:rPr>
                    <w:t>经压榨、压滤、过滤除油达到静置无滴漏后打包压块用于金属冶炼。</w:t>
                  </w:r>
                </w:p>
              </w:tc>
            </w:tr>
          </w:tbl>
          <w:p w14:paraId="7C558CC5">
            <w:pPr>
              <w:pStyle w:val="116"/>
              <w:ind w:firstLine="420"/>
              <w:rPr>
                <w:color w:val="auto"/>
              </w:rPr>
            </w:pPr>
            <w:r>
              <w:rPr>
                <w:rFonts w:hint="eastAsia" w:ascii="宋体" w:cs="宋体"/>
                <w:color w:val="auto"/>
              </w:rPr>
              <w:t>③</w:t>
            </w:r>
            <w:r>
              <w:rPr>
                <w:rFonts w:hint="eastAsia"/>
                <w:color w:val="auto"/>
              </w:rPr>
              <w:t>危险废物暂存间的设置可行性分析</w:t>
            </w:r>
          </w:p>
          <w:p w14:paraId="349FDFAF">
            <w:pPr>
              <w:pStyle w:val="116"/>
              <w:ind w:firstLine="420"/>
              <w:rPr>
                <w:color w:val="auto"/>
              </w:rPr>
            </w:pPr>
            <w:r>
              <w:rPr>
                <w:rFonts w:hint="eastAsia"/>
                <w:color w:val="auto"/>
              </w:rPr>
              <w:t>现有工程危废间设置于重型车间内部西南角，根据项目所在区域自然环境情况可知，所处区域不属于溶洞区或易遭受严重自然灾害，如洪水、滑坡、泥石流、潮汐等影响的地区，危废暂存间周边无易燃、易爆等危险品仓库、高压输电线路，符合《危险废物贮存污染控制标准》(GB18597-2023)中关于危险废物贮存设施的选址原则。因此，危废间的选址合理。</w:t>
            </w:r>
          </w:p>
          <w:p w14:paraId="4D3FE284">
            <w:pPr>
              <w:pStyle w:val="116"/>
              <w:ind w:firstLine="420"/>
              <w:rPr>
                <w:rFonts w:cs="宋体"/>
                <w:color w:val="auto"/>
              </w:rPr>
            </w:pPr>
            <w:r>
              <w:rPr>
                <w:rFonts w:hint="eastAsia"/>
                <w:color w:val="auto"/>
              </w:rPr>
              <w:t>企业现有工程危废间25m</w:t>
            </w:r>
            <w:r>
              <w:rPr>
                <w:rFonts w:hint="eastAsia"/>
                <w:color w:val="auto"/>
                <w:vertAlign w:val="superscript"/>
              </w:rPr>
              <w:t>2</w:t>
            </w:r>
            <w:r>
              <w:rPr>
                <w:rFonts w:hint="eastAsia"/>
                <w:color w:val="auto"/>
              </w:rPr>
              <w:t>，全厂危险废物贮存情况如下</w:t>
            </w:r>
            <w:r>
              <w:rPr>
                <w:rFonts w:hint="eastAsia" w:cs="宋体"/>
                <w:color w:val="auto"/>
              </w:rPr>
              <w:t>。</w:t>
            </w:r>
          </w:p>
          <w:p w14:paraId="516F1B41">
            <w:pPr>
              <w:pStyle w:val="10"/>
              <w:rPr>
                <w:color w:val="auto"/>
              </w:rPr>
            </w:pPr>
            <w:r>
              <w:rPr>
                <w:rFonts w:hint="eastAsia"/>
                <w:color w:val="auto"/>
              </w:rPr>
              <w:t>表4</w:t>
            </w:r>
            <w:r>
              <w:rPr>
                <w:rFonts w:hint="eastAsia"/>
                <w:color w:val="auto"/>
                <w:lang w:eastAsia="zh-CN"/>
              </w:rPr>
              <w:t>-</w:t>
            </w:r>
            <w:r>
              <w:rPr>
                <w:color w:val="auto"/>
              </w:rPr>
              <w:fldChar w:fldCharType="begin"/>
            </w:r>
            <w:r>
              <w:rPr>
                <w:color w:val="auto"/>
              </w:rPr>
              <w:instrText xml:space="preserve"> </w:instrText>
            </w:r>
            <w:r>
              <w:rPr>
                <w:rFonts w:hint="eastAsia"/>
                <w:color w:val="auto"/>
              </w:rPr>
              <w:instrText xml:space="preserve">SEQ 表4- \* ARABIC</w:instrText>
            </w:r>
            <w:r>
              <w:rPr>
                <w:color w:val="auto"/>
              </w:rPr>
              <w:instrText xml:space="preserve"> </w:instrText>
            </w:r>
            <w:r>
              <w:rPr>
                <w:color w:val="auto"/>
              </w:rPr>
              <w:fldChar w:fldCharType="separate"/>
            </w:r>
            <w:r>
              <w:rPr>
                <w:color w:val="auto"/>
              </w:rPr>
              <w:t>1</w:t>
            </w:r>
            <w:r>
              <w:rPr>
                <w:rFonts w:hint="eastAsia"/>
                <w:color w:val="auto"/>
                <w:lang w:val="en-US" w:eastAsia="zh-CN"/>
              </w:rPr>
              <w:t>9</w:t>
            </w:r>
            <w:r>
              <w:rPr>
                <w:color w:val="auto"/>
              </w:rPr>
              <w:fldChar w:fldCharType="end"/>
            </w:r>
            <w:r>
              <w:rPr>
                <w:rFonts w:hint="eastAsia"/>
                <w:color w:val="auto"/>
              </w:rPr>
              <w:t xml:space="preserve"> </w:t>
            </w:r>
            <w:r>
              <w:rPr>
                <w:rFonts w:hint="eastAsia" w:cs="宋体"/>
                <w:color w:val="auto"/>
              </w:rPr>
              <w:t>全厂危险废物贮存情况一览表</w:t>
            </w:r>
          </w:p>
          <w:tbl>
            <w:tblPr>
              <w:tblStyle w:val="3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340"/>
              <w:gridCol w:w="1063"/>
              <w:gridCol w:w="830"/>
              <w:gridCol w:w="1191"/>
              <w:gridCol w:w="1204"/>
              <w:gridCol w:w="906"/>
              <w:gridCol w:w="900"/>
              <w:gridCol w:w="1594"/>
            </w:tblGrid>
            <w:tr w14:paraId="15F07E8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21" w:hRule="atLeast"/>
                <w:jc w:val="center"/>
              </w:trPr>
              <w:tc>
                <w:tcPr>
                  <w:tcW w:w="211" w:type="pct"/>
                  <w:vAlign w:val="center"/>
                </w:tcPr>
                <w:p w14:paraId="71593DE7">
                  <w:pPr>
                    <w:adjustRightInd w:val="0"/>
                    <w:spacing w:line="240" w:lineRule="auto"/>
                    <w:jc w:val="center"/>
                    <w:rPr>
                      <w:color w:val="auto"/>
                      <w:szCs w:val="21"/>
                    </w:rPr>
                  </w:pPr>
                  <w:r>
                    <w:rPr>
                      <w:color w:val="auto"/>
                      <w:szCs w:val="21"/>
                    </w:rPr>
                    <w:t>序号</w:t>
                  </w:r>
                </w:p>
              </w:tc>
              <w:tc>
                <w:tcPr>
                  <w:tcW w:w="662" w:type="pct"/>
                  <w:vAlign w:val="center"/>
                </w:tcPr>
                <w:p w14:paraId="07DB822F">
                  <w:pPr>
                    <w:adjustRightInd w:val="0"/>
                    <w:spacing w:line="240" w:lineRule="auto"/>
                    <w:jc w:val="center"/>
                    <w:rPr>
                      <w:color w:val="auto"/>
                      <w:szCs w:val="21"/>
                    </w:rPr>
                  </w:pPr>
                  <w:r>
                    <w:rPr>
                      <w:color w:val="auto"/>
                      <w:szCs w:val="21"/>
                    </w:rPr>
                    <w:t>危险废物名称</w:t>
                  </w:r>
                </w:p>
              </w:tc>
              <w:tc>
                <w:tcPr>
                  <w:tcW w:w="516" w:type="pct"/>
                  <w:vAlign w:val="center"/>
                </w:tcPr>
                <w:p w14:paraId="14AECB74">
                  <w:pPr>
                    <w:adjustRightInd w:val="0"/>
                    <w:spacing w:line="240" w:lineRule="auto"/>
                    <w:jc w:val="center"/>
                    <w:rPr>
                      <w:color w:val="auto"/>
                      <w:szCs w:val="21"/>
                    </w:rPr>
                  </w:pPr>
                  <w:r>
                    <w:rPr>
                      <w:color w:val="auto"/>
                      <w:szCs w:val="21"/>
                    </w:rPr>
                    <w:t>危险废物类别</w:t>
                  </w:r>
                </w:p>
              </w:tc>
              <w:tc>
                <w:tcPr>
                  <w:tcW w:w="741" w:type="pct"/>
                  <w:vAlign w:val="center"/>
                </w:tcPr>
                <w:p w14:paraId="54FEEA65">
                  <w:pPr>
                    <w:adjustRightInd w:val="0"/>
                    <w:spacing w:line="240" w:lineRule="auto"/>
                    <w:jc w:val="center"/>
                    <w:rPr>
                      <w:color w:val="auto"/>
                      <w:szCs w:val="21"/>
                    </w:rPr>
                  </w:pPr>
                  <w:r>
                    <w:rPr>
                      <w:color w:val="auto"/>
                      <w:szCs w:val="21"/>
                    </w:rPr>
                    <w:t>危险废物</w:t>
                  </w:r>
                </w:p>
                <w:p w14:paraId="73CE700E">
                  <w:pPr>
                    <w:adjustRightInd w:val="0"/>
                    <w:spacing w:line="240" w:lineRule="auto"/>
                    <w:jc w:val="center"/>
                    <w:rPr>
                      <w:color w:val="auto"/>
                      <w:szCs w:val="21"/>
                    </w:rPr>
                  </w:pPr>
                  <w:r>
                    <w:rPr>
                      <w:color w:val="auto"/>
                      <w:szCs w:val="21"/>
                    </w:rPr>
                    <w:t>代码</w:t>
                  </w:r>
                </w:p>
              </w:tc>
              <w:tc>
                <w:tcPr>
                  <w:tcW w:w="749" w:type="pct"/>
                  <w:vAlign w:val="center"/>
                </w:tcPr>
                <w:p w14:paraId="507ED17C">
                  <w:pPr>
                    <w:adjustRightInd w:val="0"/>
                    <w:spacing w:line="240" w:lineRule="auto"/>
                    <w:jc w:val="center"/>
                    <w:rPr>
                      <w:color w:val="auto"/>
                      <w:spacing w:val="-10"/>
                      <w:szCs w:val="21"/>
                    </w:rPr>
                  </w:pPr>
                  <w:r>
                    <w:rPr>
                      <w:rFonts w:hint="eastAsia"/>
                      <w:color w:val="auto"/>
                      <w:spacing w:val="-10"/>
                      <w:szCs w:val="21"/>
                      <w:lang w:val="en-US" w:eastAsia="zh-CN"/>
                    </w:rPr>
                    <w:t>扩建</w:t>
                  </w:r>
                  <w:r>
                    <w:rPr>
                      <w:rFonts w:hint="eastAsia"/>
                      <w:color w:val="auto"/>
                      <w:spacing w:val="-10"/>
                      <w:szCs w:val="21"/>
                    </w:rPr>
                    <w:t>后全厂年度产生量</w:t>
                  </w:r>
                  <w:r>
                    <w:rPr>
                      <w:color w:val="auto"/>
                      <w:szCs w:val="21"/>
                    </w:rPr>
                    <w:t>(t/a)</w:t>
                  </w:r>
                </w:p>
              </w:tc>
              <w:tc>
                <w:tcPr>
                  <w:tcW w:w="564" w:type="pct"/>
                  <w:vAlign w:val="center"/>
                </w:tcPr>
                <w:p w14:paraId="66C8E3A0">
                  <w:pPr>
                    <w:adjustRightInd w:val="0"/>
                    <w:spacing w:line="240" w:lineRule="auto"/>
                    <w:jc w:val="center"/>
                    <w:rPr>
                      <w:color w:val="auto"/>
                      <w:szCs w:val="21"/>
                    </w:rPr>
                  </w:pPr>
                  <w:r>
                    <w:rPr>
                      <w:color w:val="auto"/>
                      <w:szCs w:val="21"/>
                    </w:rPr>
                    <w:t>最长贮存</w:t>
                  </w:r>
                </w:p>
                <w:p w14:paraId="3D40AE9A">
                  <w:pPr>
                    <w:adjustRightInd w:val="0"/>
                    <w:spacing w:line="240" w:lineRule="auto"/>
                    <w:jc w:val="center"/>
                    <w:rPr>
                      <w:color w:val="auto"/>
                      <w:szCs w:val="21"/>
                    </w:rPr>
                  </w:pPr>
                  <w:r>
                    <w:rPr>
                      <w:color w:val="auto"/>
                      <w:szCs w:val="21"/>
                    </w:rPr>
                    <w:t>周期</w:t>
                  </w:r>
                </w:p>
              </w:tc>
              <w:tc>
                <w:tcPr>
                  <w:tcW w:w="560" w:type="pct"/>
                  <w:vAlign w:val="center"/>
                </w:tcPr>
                <w:p w14:paraId="0BCE7019">
                  <w:pPr>
                    <w:adjustRightInd w:val="0"/>
                    <w:spacing w:line="240" w:lineRule="auto"/>
                    <w:jc w:val="center"/>
                    <w:rPr>
                      <w:color w:val="auto"/>
                      <w:spacing w:val="-10"/>
                      <w:szCs w:val="21"/>
                    </w:rPr>
                  </w:pPr>
                  <w:r>
                    <w:rPr>
                      <w:rFonts w:hint="eastAsia"/>
                      <w:color w:val="auto"/>
                      <w:szCs w:val="21"/>
                    </w:rPr>
                    <w:t>预估</w:t>
                  </w:r>
                  <w:r>
                    <w:rPr>
                      <w:color w:val="auto"/>
                      <w:szCs w:val="21"/>
                    </w:rPr>
                    <w:t>占用面积</w:t>
                  </w:r>
                  <w:r>
                    <w:rPr>
                      <w:rFonts w:hint="eastAsia"/>
                      <w:color w:val="auto"/>
                      <w:szCs w:val="21"/>
                    </w:rPr>
                    <w:t>/m</w:t>
                  </w:r>
                  <w:r>
                    <w:rPr>
                      <w:rFonts w:hint="eastAsia"/>
                      <w:color w:val="auto"/>
                      <w:szCs w:val="21"/>
                      <w:vertAlign w:val="superscript"/>
                    </w:rPr>
                    <w:t>2</w:t>
                  </w:r>
                </w:p>
              </w:tc>
              <w:tc>
                <w:tcPr>
                  <w:tcW w:w="992" w:type="pct"/>
                  <w:vAlign w:val="center"/>
                </w:tcPr>
                <w:p w14:paraId="7E60A0D1">
                  <w:pPr>
                    <w:adjustRightInd w:val="0"/>
                    <w:spacing w:line="240" w:lineRule="auto"/>
                    <w:jc w:val="center"/>
                    <w:rPr>
                      <w:color w:val="auto"/>
                      <w:szCs w:val="21"/>
                    </w:rPr>
                  </w:pPr>
                  <w:r>
                    <w:rPr>
                      <w:color w:val="auto"/>
                      <w:szCs w:val="21"/>
                    </w:rPr>
                    <w:t>临时贮存</w:t>
                  </w:r>
                </w:p>
              </w:tc>
            </w:tr>
            <w:tr w14:paraId="3772D6E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211" w:type="pct"/>
                  <w:vAlign w:val="center"/>
                </w:tcPr>
                <w:p w14:paraId="76AB5471">
                  <w:pPr>
                    <w:adjustRightInd w:val="0"/>
                    <w:spacing w:line="240" w:lineRule="auto"/>
                    <w:jc w:val="center"/>
                    <w:rPr>
                      <w:color w:val="auto"/>
                      <w:spacing w:val="-10"/>
                      <w:szCs w:val="21"/>
                    </w:rPr>
                  </w:pPr>
                  <w:r>
                    <w:rPr>
                      <w:rFonts w:hint="eastAsia"/>
                      <w:color w:val="auto"/>
                      <w:spacing w:val="-10"/>
                      <w:szCs w:val="21"/>
                    </w:rPr>
                    <w:t>1</w:t>
                  </w:r>
                </w:p>
              </w:tc>
              <w:tc>
                <w:tcPr>
                  <w:tcW w:w="662" w:type="pct"/>
                  <w:vAlign w:val="center"/>
                </w:tcPr>
                <w:p w14:paraId="0216591C">
                  <w:pPr>
                    <w:adjustRightInd w:val="0"/>
                    <w:snapToGrid w:val="0"/>
                    <w:spacing w:line="240" w:lineRule="auto"/>
                    <w:jc w:val="center"/>
                    <w:rPr>
                      <w:color w:val="auto"/>
                      <w:szCs w:val="21"/>
                    </w:rPr>
                  </w:pPr>
                  <w:r>
                    <w:rPr>
                      <w:rFonts w:hint="eastAsia"/>
                      <w:color w:val="auto"/>
                      <w:szCs w:val="21"/>
                    </w:rPr>
                    <w:t>废润滑油</w:t>
                  </w:r>
                </w:p>
              </w:tc>
              <w:tc>
                <w:tcPr>
                  <w:tcW w:w="516" w:type="pct"/>
                  <w:vAlign w:val="center"/>
                </w:tcPr>
                <w:p w14:paraId="1AD4D352">
                  <w:pPr>
                    <w:adjustRightInd w:val="0"/>
                    <w:spacing w:line="240" w:lineRule="auto"/>
                    <w:jc w:val="center"/>
                    <w:rPr>
                      <w:color w:val="auto"/>
                      <w:spacing w:val="-10"/>
                      <w:szCs w:val="21"/>
                    </w:rPr>
                  </w:pPr>
                  <w:r>
                    <w:rPr>
                      <w:color w:val="auto"/>
                      <w:spacing w:val="-10"/>
                      <w:szCs w:val="21"/>
                    </w:rPr>
                    <w:t>HW</w:t>
                  </w:r>
                  <w:r>
                    <w:rPr>
                      <w:rFonts w:hint="eastAsia"/>
                      <w:color w:val="auto"/>
                      <w:spacing w:val="-10"/>
                      <w:szCs w:val="21"/>
                    </w:rPr>
                    <w:t>08</w:t>
                  </w:r>
                </w:p>
              </w:tc>
              <w:tc>
                <w:tcPr>
                  <w:tcW w:w="741" w:type="pct"/>
                  <w:vAlign w:val="center"/>
                </w:tcPr>
                <w:p w14:paraId="50A26DD8">
                  <w:pPr>
                    <w:adjustRightInd w:val="0"/>
                    <w:spacing w:line="240" w:lineRule="auto"/>
                    <w:jc w:val="center"/>
                    <w:rPr>
                      <w:color w:val="auto"/>
                      <w:spacing w:val="-10"/>
                      <w:szCs w:val="21"/>
                    </w:rPr>
                  </w:pPr>
                  <w:r>
                    <w:rPr>
                      <w:color w:val="auto"/>
                      <w:spacing w:val="-10"/>
                      <w:szCs w:val="21"/>
                    </w:rPr>
                    <w:t>900-2</w:t>
                  </w:r>
                  <w:r>
                    <w:rPr>
                      <w:rFonts w:hint="eastAsia"/>
                      <w:color w:val="auto"/>
                      <w:spacing w:val="-10"/>
                      <w:szCs w:val="21"/>
                    </w:rPr>
                    <w:t>14</w:t>
                  </w:r>
                  <w:r>
                    <w:rPr>
                      <w:color w:val="auto"/>
                      <w:spacing w:val="-10"/>
                      <w:szCs w:val="21"/>
                    </w:rPr>
                    <w:t>-08</w:t>
                  </w:r>
                </w:p>
              </w:tc>
              <w:tc>
                <w:tcPr>
                  <w:tcW w:w="749" w:type="pct"/>
                  <w:shd w:val="clear" w:color="auto" w:fill="auto"/>
                  <w:vAlign w:val="center"/>
                </w:tcPr>
                <w:p w14:paraId="40D60499">
                  <w:pPr>
                    <w:adjustRightInd w:val="0"/>
                    <w:spacing w:line="240" w:lineRule="auto"/>
                    <w:jc w:val="center"/>
                    <w:rPr>
                      <w:rFonts w:hint="eastAsia" w:ascii="Times New Roman" w:hAnsi="Times New Roman" w:eastAsia="宋体" w:cs="Times New Roman"/>
                      <w:color w:val="auto"/>
                      <w:spacing w:val="-10"/>
                      <w:kern w:val="2"/>
                      <w:sz w:val="21"/>
                      <w:szCs w:val="21"/>
                      <w:lang w:val="en-US" w:eastAsia="zh-CN" w:bidi="ar-SA"/>
                    </w:rPr>
                  </w:pPr>
                  <w:r>
                    <w:rPr>
                      <w:rFonts w:hint="eastAsia"/>
                      <w:color w:val="auto"/>
                      <w:spacing w:val="-10"/>
                      <w:szCs w:val="21"/>
                    </w:rPr>
                    <w:t>4.</w:t>
                  </w:r>
                  <w:r>
                    <w:rPr>
                      <w:rFonts w:hint="eastAsia"/>
                      <w:color w:val="auto"/>
                      <w:spacing w:val="-10"/>
                      <w:szCs w:val="21"/>
                      <w:lang w:val="en-US" w:eastAsia="zh-CN"/>
                    </w:rPr>
                    <w:t>8</w:t>
                  </w:r>
                </w:p>
              </w:tc>
              <w:tc>
                <w:tcPr>
                  <w:tcW w:w="564" w:type="pct"/>
                  <w:vAlign w:val="center"/>
                </w:tcPr>
                <w:p w14:paraId="7E9AB4F8">
                  <w:pPr>
                    <w:adjustRightInd w:val="0"/>
                    <w:snapToGrid w:val="0"/>
                    <w:spacing w:line="240" w:lineRule="auto"/>
                    <w:jc w:val="center"/>
                    <w:rPr>
                      <w:color w:val="auto"/>
                      <w:spacing w:val="-10"/>
                      <w:szCs w:val="21"/>
                    </w:rPr>
                  </w:pPr>
                  <w:r>
                    <w:rPr>
                      <w:rFonts w:hint="eastAsia"/>
                      <w:color w:val="auto"/>
                      <w:spacing w:val="-10"/>
                      <w:szCs w:val="21"/>
                    </w:rPr>
                    <w:t>一年</w:t>
                  </w:r>
                </w:p>
              </w:tc>
              <w:tc>
                <w:tcPr>
                  <w:tcW w:w="560" w:type="pct"/>
                  <w:vAlign w:val="center"/>
                </w:tcPr>
                <w:p w14:paraId="6E3DD01E">
                  <w:pPr>
                    <w:adjustRightInd w:val="0"/>
                    <w:snapToGrid w:val="0"/>
                    <w:spacing w:line="240" w:lineRule="auto"/>
                    <w:jc w:val="center"/>
                    <w:rPr>
                      <w:color w:val="auto"/>
                      <w:spacing w:val="-10"/>
                      <w:szCs w:val="21"/>
                    </w:rPr>
                  </w:pPr>
                  <w:r>
                    <w:rPr>
                      <w:rFonts w:hint="eastAsia"/>
                      <w:color w:val="auto"/>
                      <w:spacing w:val="-10"/>
                      <w:szCs w:val="21"/>
                    </w:rPr>
                    <w:t>2</w:t>
                  </w:r>
                </w:p>
              </w:tc>
              <w:tc>
                <w:tcPr>
                  <w:tcW w:w="992" w:type="pct"/>
                  <w:vMerge w:val="restart"/>
                  <w:vAlign w:val="center"/>
                </w:tcPr>
                <w:p w14:paraId="2F807DCF">
                  <w:pPr>
                    <w:adjustRightInd w:val="0"/>
                    <w:snapToGrid w:val="0"/>
                    <w:spacing w:line="240" w:lineRule="auto"/>
                    <w:jc w:val="center"/>
                    <w:rPr>
                      <w:color w:val="auto"/>
                      <w:szCs w:val="21"/>
                    </w:rPr>
                  </w:pPr>
                  <w:r>
                    <w:rPr>
                      <w:color w:val="auto"/>
                      <w:szCs w:val="21"/>
                    </w:rPr>
                    <w:t>采用专用容器收集，暂存于危废间，定期交由有资质单位处置</w:t>
                  </w:r>
                </w:p>
              </w:tc>
            </w:tr>
            <w:tr w14:paraId="5389A8F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211" w:type="pct"/>
                  <w:vAlign w:val="center"/>
                </w:tcPr>
                <w:p w14:paraId="5934B07C">
                  <w:pPr>
                    <w:adjustRightInd w:val="0"/>
                    <w:spacing w:line="240" w:lineRule="auto"/>
                    <w:jc w:val="center"/>
                    <w:rPr>
                      <w:color w:val="auto"/>
                      <w:spacing w:val="-10"/>
                      <w:szCs w:val="21"/>
                    </w:rPr>
                  </w:pPr>
                  <w:r>
                    <w:rPr>
                      <w:rFonts w:hint="eastAsia"/>
                      <w:color w:val="auto"/>
                      <w:spacing w:val="-10"/>
                      <w:szCs w:val="21"/>
                    </w:rPr>
                    <w:t>2</w:t>
                  </w:r>
                </w:p>
              </w:tc>
              <w:tc>
                <w:tcPr>
                  <w:tcW w:w="662" w:type="pct"/>
                  <w:vAlign w:val="center"/>
                </w:tcPr>
                <w:p w14:paraId="6B7E54B0">
                  <w:pPr>
                    <w:adjustRightInd w:val="0"/>
                    <w:snapToGrid w:val="0"/>
                    <w:spacing w:line="240" w:lineRule="auto"/>
                    <w:jc w:val="center"/>
                    <w:rPr>
                      <w:color w:val="auto"/>
                      <w:szCs w:val="21"/>
                    </w:rPr>
                  </w:pPr>
                  <w:r>
                    <w:rPr>
                      <w:rFonts w:hint="eastAsia"/>
                      <w:color w:val="auto"/>
                      <w:szCs w:val="21"/>
                    </w:rPr>
                    <w:t>废液压油</w:t>
                  </w:r>
                </w:p>
              </w:tc>
              <w:tc>
                <w:tcPr>
                  <w:tcW w:w="516" w:type="pct"/>
                  <w:vAlign w:val="center"/>
                </w:tcPr>
                <w:p w14:paraId="065E0F72">
                  <w:pPr>
                    <w:adjustRightInd w:val="0"/>
                    <w:spacing w:line="240" w:lineRule="auto"/>
                    <w:jc w:val="center"/>
                    <w:rPr>
                      <w:color w:val="auto"/>
                      <w:spacing w:val="-10"/>
                      <w:szCs w:val="21"/>
                    </w:rPr>
                  </w:pPr>
                  <w:r>
                    <w:rPr>
                      <w:rFonts w:hint="eastAsia"/>
                      <w:color w:val="auto"/>
                      <w:spacing w:val="-10"/>
                      <w:szCs w:val="21"/>
                    </w:rPr>
                    <w:t>HW</w:t>
                  </w:r>
                  <w:r>
                    <w:rPr>
                      <w:color w:val="auto"/>
                      <w:spacing w:val="-10"/>
                      <w:szCs w:val="21"/>
                    </w:rPr>
                    <w:t>08</w:t>
                  </w:r>
                </w:p>
              </w:tc>
              <w:tc>
                <w:tcPr>
                  <w:tcW w:w="741" w:type="pct"/>
                  <w:vAlign w:val="center"/>
                </w:tcPr>
                <w:p w14:paraId="56BDFDFE">
                  <w:pPr>
                    <w:adjustRightInd w:val="0"/>
                    <w:spacing w:line="240" w:lineRule="auto"/>
                    <w:jc w:val="center"/>
                    <w:rPr>
                      <w:color w:val="auto"/>
                      <w:spacing w:val="-10"/>
                      <w:szCs w:val="21"/>
                    </w:rPr>
                  </w:pPr>
                  <w:r>
                    <w:rPr>
                      <w:color w:val="auto"/>
                      <w:spacing w:val="-10"/>
                      <w:szCs w:val="21"/>
                    </w:rPr>
                    <w:t>900-2</w:t>
                  </w:r>
                  <w:r>
                    <w:rPr>
                      <w:rFonts w:hint="eastAsia"/>
                      <w:color w:val="auto"/>
                      <w:spacing w:val="-10"/>
                      <w:szCs w:val="21"/>
                    </w:rPr>
                    <w:t>18</w:t>
                  </w:r>
                  <w:r>
                    <w:rPr>
                      <w:color w:val="auto"/>
                      <w:spacing w:val="-10"/>
                      <w:szCs w:val="21"/>
                    </w:rPr>
                    <w:t>-08</w:t>
                  </w:r>
                </w:p>
              </w:tc>
              <w:tc>
                <w:tcPr>
                  <w:tcW w:w="749" w:type="pct"/>
                  <w:shd w:val="clear" w:color="auto" w:fill="auto"/>
                  <w:vAlign w:val="center"/>
                </w:tcPr>
                <w:p w14:paraId="6E9F5E76">
                  <w:pPr>
                    <w:adjustRightInd w:val="0"/>
                    <w:spacing w:line="240" w:lineRule="auto"/>
                    <w:jc w:val="center"/>
                    <w:rPr>
                      <w:rFonts w:hint="eastAsia" w:ascii="Times New Roman" w:hAnsi="Times New Roman" w:eastAsia="宋体" w:cs="Times New Roman"/>
                      <w:color w:val="auto"/>
                      <w:spacing w:val="-10"/>
                      <w:kern w:val="2"/>
                      <w:sz w:val="21"/>
                      <w:szCs w:val="21"/>
                      <w:lang w:val="en-US" w:eastAsia="zh-CN" w:bidi="ar-SA"/>
                    </w:rPr>
                  </w:pPr>
                  <w:r>
                    <w:rPr>
                      <w:rFonts w:hint="eastAsia"/>
                      <w:color w:val="auto"/>
                      <w:spacing w:val="-10"/>
                      <w:szCs w:val="21"/>
                    </w:rPr>
                    <w:t>7.</w:t>
                  </w:r>
                  <w:r>
                    <w:rPr>
                      <w:rFonts w:hint="eastAsia"/>
                      <w:color w:val="auto"/>
                      <w:spacing w:val="-10"/>
                      <w:szCs w:val="21"/>
                      <w:lang w:val="en-US" w:eastAsia="zh-CN"/>
                    </w:rPr>
                    <w:t>7</w:t>
                  </w:r>
                </w:p>
              </w:tc>
              <w:tc>
                <w:tcPr>
                  <w:tcW w:w="564" w:type="pct"/>
                  <w:vAlign w:val="center"/>
                </w:tcPr>
                <w:p w14:paraId="263925A7">
                  <w:pPr>
                    <w:adjustRightInd w:val="0"/>
                    <w:snapToGrid w:val="0"/>
                    <w:spacing w:line="240" w:lineRule="auto"/>
                    <w:jc w:val="center"/>
                    <w:rPr>
                      <w:color w:val="auto"/>
                      <w:spacing w:val="-10"/>
                      <w:szCs w:val="21"/>
                    </w:rPr>
                  </w:pPr>
                  <w:r>
                    <w:rPr>
                      <w:rFonts w:hint="eastAsia"/>
                      <w:color w:val="auto"/>
                      <w:spacing w:val="-10"/>
                      <w:szCs w:val="21"/>
                    </w:rPr>
                    <w:t>一年</w:t>
                  </w:r>
                </w:p>
              </w:tc>
              <w:tc>
                <w:tcPr>
                  <w:tcW w:w="560" w:type="pct"/>
                  <w:vAlign w:val="center"/>
                </w:tcPr>
                <w:p w14:paraId="37BEAFDE">
                  <w:pPr>
                    <w:adjustRightInd w:val="0"/>
                    <w:snapToGrid w:val="0"/>
                    <w:spacing w:line="240" w:lineRule="auto"/>
                    <w:jc w:val="center"/>
                    <w:rPr>
                      <w:color w:val="auto"/>
                      <w:spacing w:val="-10"/>
                      <w:szCs w:val="21"/>
                    </w:rPr>
                  </w:pPr>
                  <w:r>
                    <w:rPr>
                      <w:rFonts w:hint="eastAsia"/>
                      <w:color w:val="auto"/>
                      <w:spacing w:val="-10"/>
                      <w:szCs w:val="21"/>
                    </w:rPr>
                    <w:t>2</w:t>
                  </w:r>
                </w:p>
              </w:tc>
              <w:tc>
                <w:tcPr>
                  <w:tcW w:w="992" w:type="pct"/>
                  <w:vMerge w:val="continue"/>
                  <w:vAlign w:val="center"/>
                </w:tcPr>
                <w:p w14:paraId="28D345FA">
                  <w:pPr>
                    <w:adjustRightInd w:val="0"/>
                    <w:snapToGrid w:val="0"/>
                    <w:spacing w:line="240" w:lineRule="auto"/>
                    <w:jc w:val="center"/>
                    <w:rPr>
                      <w:color w:val="auto"/>
                      <w:szCs w:val="21"/>
                    </w:rPr>
                  </w:pPr>
                </w:p>
              </w:tc>
            </w:tr>
            <w:tr w14:paraId="0ADFD97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27" w:hRule="atLeast"/>
                <w:jc w:val="center"/>
              </w:trPr>
              <w:tc>
                <w:tcPr>
                  <w:tcW w:w="211" w:type="pct"/>
                  <w:vAlign w:val="center"/>
                </w:tcPr>
                <w:p w14:paraId="7DBFE580">
                  <w:pPr>
                    <w:adjustRightInd w:val="0"/>
                    <w:spacing w:line="240" w:lineRule="auto"/>
                    <w:jc w:val="center"/>
                    <w:rPr>
                      <w:color w:val="auto"/>
                      <w:spacing w:val="-10"/>
                      <w:szCs w:val="21"/>
                    </w:rPr>
                  </w:pPr>
                  <w:r>
                    <w:rPr>
                      <w:rFonts w:hint="eastAsia"/>
                      <w:color w:val="auto"/>
                      <w:spacing w:val="-10"/>
                      <w:szCs w:val="21"/>
                    </w:rPr>
                    <w:t>3</w:t>
                  </w:r>
                </w:p>
              </w:tc>
              <w:tc>
                <w:tcPr>
                  <w:tcW w:w="662" w:type="pct"/>
                  <w:vAlign w:val="center"/>
                </w:tcPr>
                <w:p w14:paraId="1E3AC9DD">
                  <w:pPr>
                    <w:adjustRightInd w:val="0"/>
                    <w:snapToGrid w:val="0"/>
                    <w:spacing w:line="240" w:lineRule="auto"/>
                    <w:jc w:val="center"/>
                    <w:rPr>
                      <w:rFonts w:cs="宋体"/>
                      <w:bCs/>
                      <w:color w:val="auto"/>
                      <w:spacing w:val="-10"/>
                      <w:szCs w:val="21"/>
                    </w:rPr>
                  </w:pPr>
                  <w:r>
                    <w:rPr>
                      <w:rFonts w:hint="eastAsia" w:cs="宋体"/>
                      <w:bCs/>
                      <w:color w:val="auto"/>
                      <w:spacing w:val="-10"/>
                      <w:szCs w:val="21"/>
                    </w:rPr>
                    <w:t>废油桶</w:t>
                  </w:r>
                </w:p>
              </w:tc>
              <w:tc>
                <w:tcPr>
                  <w:tcW w:w="516" w:type="pct"/>
                  <w:vAlign w:val="center"/>
                </w:tcPr>
                <w:p w14:paraId="15F86D26">
                  <w:pPr>
                    <w:adjustRightInd w:val="0"/>
                    <w:spacing w:line="240" w:lineRule="auto"/>
                    <w:jc w:val="center"/>
                    <w:rPr>
                      <w:color w:val="auto"/>
                      <w:spacing w:val="-10"/>
                      <w:szCs w:val="21"/>
                    </w:rPr>
                  </w:pPr>
                  <w:r>
                    <w:rPr>
                      <w:color w:val="auto"/>
                      <w:spacing w:val="-10"/>
                      <w:szCs w:val="21"/>
                    </w:rPr>
                    <w:t>HW</w:t>
                  </w:r>
                  <w:r>
                    <w:rPr>
                      <w:rFonts w:hint="eastAsia"/>
                      <w:color w:val="auto"/>
                      <w:spacing w:val="-10"/>
                      <w:szCs w:val="21"/>
                    </w:rPr>
                    <w:t>08</w:t>
                  </w:r>
                </w:p>
              </w:tc>
              <w:tc>
                <w:tcPr>
                  <w:tcW w:w="741" w:type="pct"/>
                  <w:vAlign w:val="center"/>
                </w:tcPr>
                <w:p w14:paraId="24F5779C">
                  <w:pPr>
                    <w:adjustRightInd w:val="0"/>
                    <w:snapToGrid w:val="0"/>
                    <w:spacing w:line="240" w:lineRule="auto"/>
                    <w:jc w:val="center"/>
                    <w:rPr>
                      <w:rFonts w:cs="宋体"/>
                      <w:bCs/>
                      <w:color w:val="auto"/>
                      <w:spacing w:val="-10"/>
                      <w:szCs w:val="21"/>
                    </w:rPr>
                  </w:pPr>
                  <w:r>
                    <w:rPr>
                      <w:color w:val="auto"/>
                      <w:spacing w:val="-10"/>
                      <w:szCs w:val="21"/>
                    </w:rPr>
                    <w:t>900-2</w:t>
                  </w:r>
                  <w:r>
                    <w:rPr>
                      <w:rFonts w:hint="eastAsia"/>
                      <w:color w:val="auto"/>
                      <w:spacing w:val="-10"/>
                      <w:szCs w:val="21"/>
                    </w:rPr>
                    <w:t>49-</w:t>
                  </w:r>
                  <w:r>
                    <w:rPr>
                      <w:color w:val="auto"/>
                      <w:spacing w:val="-10"/>
                      <w:szCs w:val="21"/>
                    </w:rPr>
                    <w:t>08</w:t>
                  </w:r>
                </w:p>
              </w:tc>
              <w:tc>
                <w:tcPr>
                  <w:tcW w:w="749" w:type="pct"/>
                  <w:shd w:val="clear" w:color="auto" w:fill="auto"/>
                  <w:vAlign w:val="center"/>
                </w:tcPr>
                <w:p w14:paraId="0E329DA4">
                  <w:pPr>
                    <w:adjustRightInd w:val="0"/>
                    <w:spacing w:line="240" w:lineRule="auto"/>
                    <w:jc w:val="center"/>
                    <w:rPr>
                      <w:rFonts w:hint="eastAsia" w:ascii="Times New Roman" w:hAnsi="Times New Roman" w:eastAsia="宋体" w:cs="Times New Roman"/>
                      <w:color w:val="auto"/>
                      <w:spacing w:val="-10"/>
                      <w:kern w:val="2"/>
                      <w:sz w:val="21"/>
                      <w:szCs w:val="21"/>
                      <w:lang w:val="en-US" w:eastAsia="zh-CN" w:bidi="ar-SA"/>
                    </w:rPr>
                  </w:pPr>
                  <w:r>
                    <w:rPr>
                      <w:rFonts w:hint="eastAsia"/>
                      <w:color w:val="auto"/>
                      <w:spacing w:val="-10"/>
                      <w:szCs w:val="21"/>
                    </w:rPr>
                    <w:t>1.</w:t>
                  </w:r>
                  <w:r>
                    <w:rPr>
                      <w:rFonts w:hint="eastAsia"/>
                      <w:color w:val="auto"/>
                      <w:spacing w:val="-10"/>
                      <w:szCs w:val="21"/>
                      <w:lang w:val="en-US" w:eastAsia="zh-CN"/>
                    </w:rPr>
                    <w:t>15</w:t>
                  </w:r>
                </w:p>
              </w:tc>
              <w:tc>
                <w:tcPr>
                  <w:tcW w:w="564" w:type="pct"/>
                  <w:vAlign w:val="center"/>
                </w:tcPr>
                <w:p w14:paraId="34F1A47B">
                  <w:pPr>
                    <w:adjustRightInd w:val="0"/>
                    <w:snapToGrid w:val="0"/>
                    <w:spacing w:line="240" w:lineRule="auto"/>
                    <w:jc w:val="center"/>
                    <w:rPr>
                      <w:color w:val="auto"/>
                      <w:szCs w:val="21"/>
                    </w:rPr>
                  </w:pPr>
                  <w:r>
                    <w:rPr>
                      <w:rFonts w:hint="eastAsia"/>
                      <w:color w:val="auto"/>
                      <w:spacing w:val="-10"/>
                      <w:szCs w:val="21"/>
                    </w:rPr>
                    <w:t>一年</w:t>
                  </w:r>
                </w:p>
              </w:tc>
              <w:tc>
                <w:tcPr>
                  <w:tcW w:w="560" w:type="pct"/>
                  <w:vAlign w:val="center"/>
                </w:tcPr>
                <w:p w14:paraId="3EBD7AF1">
                  <w:pPr>
                    <w:adjustRightInd w:val="0"/>
                    <w:snapToGrid w:val="0"/>
                    <w:spacing w:line="240" w:lineRule="auto"/>
                    <w:jc w:val="center"/>
                    <w:rPr>
                      <w:color w:val="auto"/>
                      <w:szCs w:val="21"/>
                    </w:rPr>
                  </w:pPr>
                  <w:r>
                    <w:rPr>
                      <w:rFonts w:hint="eastAsia"/>
                      <w:color w:val="auto"/>
                      <w:szCs w:val="21"/>
                    </w:rPr>
                    <w:t>2</w:t>
                  </w:r>
                </w:p>
              </w:tc>
              <w:tc>
                <w:tcPr>
                  <w:tcW w:w="992" w:type="pct"/>
                  <w:vMerge w:val="continue"/>
                  <w:vAlign w:val="center"/>
                </w:tcPr>
                <w:p w14:paraId="36E04667">
                  <w:pPr>
                    <w:adjustRightInd w:val="0"/>
                    <w:snapToGrid w:val="0"/>
                    <w:spacing w:line="240" w:lineRule="auto"/>
                    <w:jc w:val="center"/>
                    <w:rPr>
                      <w:color w:val="auto"/>
                      <w:szCs w:val="21"/>
                    </w:rPr>
                  </w:pPr>
                </w:p>
              </w:tc>
            </w:tr>
            <w:tr w14:paraId="1F3C140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52" w:hRule="atLeast"/>
                <w:jc w:val="center"/>
              </w:trPr>
              <w:tc>
                <w:tcPr>
                  <w:tcW w:w="211" w:type="pct"/>
                  <w:vAlign w:val="center"/>
                </w:tcPr>
                <w:p w14:paraId="46375828">
                  <w:pPr>
                    <w:adjustRightInd w:val="0"/>
                    <w:spacing w:line="240" w:lineRule="auto"/>
                    <w:jc w:val="center"/>
                    <w:rPr>
                      <w:color w:val="auto"/>
                      <w:spacing w:val="-10"/>
                      <w:szCs w:val="21"/>
                    </w:rPr>
                  </w:pPr>
                  <w:r>
                    <w:rPr>
                      <w:rFonts w:hint="eastAsia"/>
                      <w:color w:val="auto"/>
                      <w:spacing w:val="-10"/>
                      <w:szCs w:val="21"/>
                    </w:rPr>
                    <w:t>4</w:t>
                  </w:r>
                </w:p>
              </w:tc>
              <w:tc>
                <w:tcPr>
                  <w:tcW w:w="662" w:type="pct"/>
                  <w:vAlign w:val="center"/>
                </w:tcPr>
                <w:p w14:paraId="514D1779">
                  <w:pPr>
                    <w:adjustRightInd w:val="0"/>
                    <w:snapToGrid w:val="0"/>
                    <w:spacing w:line="240" w:lineRule="auto"/>
                    <w:jc w:val="center"/>
                    <w:rPr>
                      <w:rFonts w:cs="宋体"/>
                      <w:bCs/>
                      <w:color w:val="auto"/>
                      <w:spacing w:val="-10"/>
                      <w:szCs w:val="21"/>
                    </w:rPr>
                  </w:pPr>
                  <w:r>
                    <w:rPr>
                      <w:rFonts w:hint="eastAsia" w:cs="宋体"/>
                      <w:bCs/>
                      <w:color w:val="auto"/>
                      <w:spacing w:val="-10"/>
                      <w:szCs w:val="21"/>
                    </w:rPr>
                    <w:t>废乳化液</w:t>
                  </w:r>
                </w:p>
              </w:tc>
              <w:tc>
                <w:tcPr>
                  <w:tcW w:w="516" w:type="pct"/>
                  <w:vAlign w:val="center"/>
                </w:tcPr>
                <w:p w14:paraId="4B9A69DF">
                  <w:pPr>
                    <w:adjustRightInd w:val="0"/>
                    <w:spacing w:line="240" w:lineRule="auto"/>
                    <w:jc w:val="center"/>
                    <w:rPr>
                      <w:color w:val="auto"/>
                      <w:spacing w:val="-10"/>
                      <w:szCs w:val="21"/>
                    </w:rPr>
                  </w:pPr>
                  <w:r>
                    <w:rPr>
                      <w:color w:val="auto"/>
                      <w:spacing w:val="-10"/>
                      <w:szCs w:val="21"/>
                    </w:rPr>
                    <w:t>HW</w:t>
                  </w:r>
                  <w:r>
                    <w:rPr>
                      <w:rFonts w:hint="eastAsia"/>
                      <w:color w:val="auto"/>
                      <w:spacing w:val="-10"/>
                      <w:szCs w:val="21"/>
                    </w:rPr>
                    <w:t>09</w:t>
                  </w:r>
                </w:p>
              </w:tc>
              <w:tc>
                <w:tcPr>
                  <w:tcW w:w="741" w:type="pct"/>
                  <w:vAlign w:val="center"/>
                </w:tcPr>
                <w:p w14:paraId="2F37AD84">
                  <w:pPr>
                    <w:adjustRightInd w:val="0"/>
                    <w:snapToGrid w:val="0"/>
                    <w:spacing w:line="240" w:lineRule="auto"/>
                    <w:jc w:val="center"/>
                    <w:rPr>
                      <w:rFonts w:cs="宋体"/>
                      <w:bCs/>
                      <w:color w:val="auto"/>
                      <w:spacing w:val="-10"/>
                      <w:szCs w:val="21"/>
                    </w:rPr>
                  </w:pPr>
                  <w:r>
                    <w:rPr>
                      <w:color w:val="auto"/>
                      <w:spacing w:val="-10"/>
                      <w:szCs w:val="21"/>
                    </w:rPr>
                    <w:t>900-006-09</w:t>
                  </w:r>
                </w:p>
              </w:tc>
              <w:tc>
                <w:tcPr>
                  <w:tcW w:w="749" w:type="pct"/>
                  <w:shd w:val="clear" w:color="auto" w:fill="auto"/>
                  <w:vAlign w:val="center"/>
                </w:tcPr>
                <w:p w14:paraId="6D023491">
                  <w:pPr>
                    <w:adjustRightInd w:val="0"/>
                    <w:spacing w:line="240" w:lineRule="auto"/>
                    <w:jc w:val="center"/>
                    <w:rPr>
                      <w:rFonts w:ascii="Times New Roman" w:hAnsi="Times New Roman" w:eastAsia="宋体" w:cs="Times New Roman"/>
                      <w:color w:val="auto"/>
                      <w:spacing w:val="-10"/>
                      <w:kern w:val="2"/>
                      <w:sz w:val="21"/>
                      <w:szCs w:val="21"/>
                      <w:lang w:val="en-US" w:eastAsia="zh-CN" w:bidi="ar-SA"/>
                    </w:rPr>
                  </w:pPr>
                  <w:r>
                    <w:rPr>
                      <w:rFonts w:hint="eastAsia"/>
                      <w:color w:val="auto"/>
                      <w:spacing w:val="-10"/>
                      <w:szCs w:val="21"/>
                    </w:rPr>
                    <w:t>0.7</w:t>
                  </w:r>
                </w:p>
              </w:tc>
              <w:tc>
                <w:tcPr>
                  <w:tcW w:w="564" w:type="pct"/>
                  <w:vAlign w:val="center"/>
                </w:tcPr>
                <w:p w14:paraId="5B2CB4B6">
                  <w:pPr>
                    <w:adjustRightInd w:val="0"/>
                    <w:snapToGrid w:val="0"/>
                    <w:spacing w:line="240" w:lineRule="auto"/>
                    <w:jc w:val="center"/>
                    <w:rPr>
                      <w:color w:val="auto"/>
                      <w:szCs w:val="21"/>
                    </w:rPr>
                  </w:pPr>
                  <w:r>
                    <w:rPr>
                      <w:rFonts w:hint="eastAsia"/>
                      <w:color w:val="auto"/>
                      <w:spacing w:val="-10"/>
                      <w:szCs w:val="21"/>
                    </w:rPr>
                    <w:t>一年</w:t>
                  </w:r>
                </w:p>
              </w:tc>
              <w:tc>
                <w:tcPr>
                  <w:tcW w:w="560" w:type="pct"/>
                  <w:vAlign w:val="center"/>
                </w:tcPr>
                <w:p w14:paraId="46B3C76F">
                  <w:pPr>
                    <w:adjustRightInd w:val="0"/>
                    <w:snapToGrid w:val="0"/>
                    <w:spacing w:line="240" w:lineRule="auto"/>
                    <w:jc w:val="center"/>
                    <w:rPr>
                      <w:color w:val="auto"/>
                      <w:szCs w:val="21"/>
                    </w:rPr>
                  </w:pPr>
                  <w:r>
                    <w:rPr>
                      <w:rFonts w:hint="eastAsia"/>
                      <w:color w:val="auto"/>
                      <w:szCs w:val="21"/>
                    </w:rPr>
                    <w:t>1</w:t>
                  </w:r>
                </w:p>
              </w:tc>
              <w:tc>
                <w:tcPr>
                  <w:tcW w:w="992" w:type="pct"/>
                  <w:vMerge w:val="continue"/>
                  <w:vAlign w:val="center"/>
                </w:tcPr>
                <w:p w14:paraId="5CB05A39">
                  <w:pPr>
                    <w:adjustRightInd w:val="0"/>
                    <w:snapToGrid w:val="0"/>
                    <w:spacing w:line="240" w:lineRule="auto"/>
                    <w:jc w:val="center"/>
                    <w:rPr>
                      <w:color w:val="auto"/>
                      <w:szCs w:val="21"/>
                    </w:rPr>
                  </w:pPr>
                </w:p>
              </w:tc>
            </w:tr>
            <w:tr w14:paraId="637F52B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211" w:type="pct"/>
                  <w:vAlign w:val="center"/>
                </w:tcPr>
                <w:p w14:paraId="5B926192">
                  <w:pPr>
                    <w:adjustRightInd w:val="0"/>
                    <w:spacing w:line="240" w:lineRule="auto"/>
                    <w:jc w:val="center"/>
                    <w:rPr>
                      <w:color w:val="auto"/>
                      <w:spacing w:val="-10"/>
                      <w:szCs w:val="21"/>
                    </w:rPr>
                  </w:pPr>
                  <w:r>
                    <w:rPr>
                      <w:rFonts w:hint="eastAsia"/>
                      <w:color w:val="auto"/>
                      <w:spacing w:val="-10"/>
                      <w:szCs w:val="21"/>
                    </w:rPr>
                    <w:t>5</w:t>
                  </w:r>
                </w:p>
              </w:tc>
              <w:tc>
                <w:tcPr>
                  <w:tcW w:w="662" w:type="pct"/>
                  <w:vAlign w:val="center"/>
                </w:tcPr>
                <w:p w14:paraId="4E2050E9">
                  <w:pPr>
                    <w:adjustRightInd w:val="0"/>
                    <w:snapToGrid w:val="0"/>
                    <w:spacing w:line="240" w:lineRule="auto"/>
                    <w:jc w:val="center"/>
                    <w:rPr>
                      <w:rFonts w:cs="宋体"/>
                      <w:bCs/>
                      <w:color w:val="auto"/>
                      <w:spacing w:val="-10"/>
                      <w:szCs w:val="21"/>
                    </w:rPr>
                  </w:pPr>
                  <w:r>
                    <w:rPr>
                      <w:rFonts w:hint="eastAsia" w:cs="宋体"/>
                      <w:bCs/>
                      <w:color w:val="auto"/>
                      <w:spacing w:val="-10"/>
                      <w:szCs w:val="21"/>
                    </w:rPr>
                    <w:t>废油毡</w:t>
                  </w:r>
                </w:p>
              </w:tc>
              <w:tc>
                <w:tcPr>
                  <w:tcW w:w="516" w:type="pct"/>
                  <w:vAlign w:val="center"/>
                </w:tcPr>
                <w:p w14:paraId="351CF3A1">
                  <w:pPr>
                    <w:adjustRightInd w:val="0"/>
                    <w:spacing w:line="240" w:lineRule="auto"/>
                    <w:jc w:val="center"/>
                    <w:rPr>
                      <w:color w:val="auto"/>
                      <w:spacing w:val="-10"/>
                      <w:szCs w:val="21"/>
                    </w:rPr>
                  </w:pPr>
                  <w:r>
                    <w:rPr>
                      <w:color w:val="auto"/>
                      <w:spacing w:val="-10"/>
                      <w:szCs w:val="21"/>
                    </w:rPr>
                    <w:t>HW</w:t>
                  </w:r>
                  <w:r>
                    <w:rPr>
                      <w:rFonts w:hint="eastAsia"/>
                      <w:color w:val="auto"/>
                      <w:spacing w:val="-10"/>
                      <w:szCs w:val="21"/>
                    </w:rPr>
                    <w:t>49</w:t>
                  </w:r>
                </w:p>
              </w:tc>
              <w:tc>
                <w:tcPr>
                  <w:tcW w:w="741" w:type="pct"/>
                  <w:vAlign w:val="center"/>
                </w:tcPr>
                <w:p w14:paraId="68C6079B">
                  <w:pPr>
                    <w:adjustRightInd w:val="0"/>
                    <w:snapToGrid w:val="0"/>
                    <w:spacing w:line="240" w:lineRule="auto"/>
                    <w:jc w:val="center"/>
                    <w:rPr>
                      <w:rFonts w:cs="宋体"/>
                      <w:bCs/>
                      <w:color w:val="auto"/>
                      <w:spacing w:val="-10"/>
                      <w:szCs w:val="21"/>
                    </w:rPr>
                  </w:pPr>
                  <w:r>
                    <w:rPr>
                      <w:color w:val="auto"/>
                      <w:spacing w:val="-10"/>
                      <w:szCs w:val="21"/>
                    </w:rPr>
                    <w:t>900-</w:t>
                  </w:r>
                  <w:r>
                    <w:rPr>
                      <w:rFonts w:hint="eastAsia"/>
                      <w:color w:val="auto"/>
                      <w:spacing w:val="-10"/>
                      <w:szCs w:val="21"/>
                    </w:rPr>
                    <w:t>041-49</w:t>
                  </w:r>
                </w:p>
              </w:tc>
              <w:tc>
                <w:tcPr>
                  <w:tcW w:w="749" w:type="pct"/>
                  <w:shd w:val="clear" w:color="auto" w:fill="auto"/>
                  <w:vAlign w:val="center"/>
                </w:tcPr>
                <w:p w14:paraId="2ED46BED">
                  <w:pPr>
                    <w:adjustRightInd w:val="0"/>
                    <w:spacing w:line="240" w:lineRule="auto"/>
                    <w:jc w:val="center"/>
                    <w:rPr>
                      <w:rFonts w:ascii="Times New Roman" w:hAnsi="Times New Roman" w:eastAsia="宋体" w:cs="Times New Roman"/>
                      <w:color w:val="auto"/>
                      <w:spacing w:val="-10"/>
                      <w:kern w:val="2"/>
                      <w:sz w:val="21"/>
                      <w:szCs w:val="21"/>
                      <w:lang w:val="en-US" w:eastAsia="zh-CN" w:bidi="ar-SA"/>
                    </w:rPr>
                  </w:pPr>
                  <w:r>
                    <w:rPr>
                      <w:rFonts w:hint="eastAsia"/>
                      <w:color w:val="auto"/>
                      <w:spacing w:val="-10"/>
                      <w:szCs w:val="21"/>
                    </w:rPr>
                    <w:t>0.2</w:t>
                  </w:r>
                </w:p>
              </w:tc>
              <w:tc>
                <w:tcPr>
                  <w:tcW w:w="564" w:type="pct"/>
                  <w:vAlign w:val="center"/>
                </w:tcPr>
                <w:p w14:paraId="23BDC1FE">
                  <w:pPr>
                    <w:adjustRightInd w:val="0"/>
                    <w:snapToGrid w:val="0"/>
                    <w:spacing w:line="240" w:lineRule="auto"/>
                    <w:jc w:val="center"/>
                    <w:rPr>
                      <w:color w:val="auto"/>
                      <w:spacing w:val="-10"/>
                      <w:szCs w:val="21"/>
                    </w:rPr>
                  </w:pPr>
                  <w:r>
                    <w:rPr>
                      <w:rFonts w:hint="eastAsia"/>
                      <w:color w:val="auto"/>
                      <w:spacing w:val="-10"/>
                      <w:szCs w:val="21"/>
                    </w:rPr>
                    <w:t>一年</w:t>
                  </w:r>
                </w:p>
              </w:tc>
              <w:tc>
                <w:tcPr>
                  <w:tcW w:w="560" w:type="pct"/>
                  <w:vAlign w:val="center"/>
                </w:tcPr>
                <w:p w14:paraId="727A4697">
                  <w:pPr>
                    <w:adjustRightInd w:val="0"/>
                    <w:snapToGrid w:val="0"/>
                    <w:spacing w:line="240" w:lineRule="auto"/>
                    <w:jc w:val="center"/>
                    <w:rPr>
                      <w:color w:val="auto"/>
                      <w:szCs w:val="21"/>
                    </w:rPr>
                  </w:pPr>
                  <w:r>
                    <w:rPr>
                      <w:rFonts w:hint="eastAsia"/>
                      <w:color w:val="auto"/>
                      <w:szCs w:val="21"/>
                    </w:rPr>
                    <w:t>2</w:t>
                  </w:r>
                </w:p>
              </w:tc>
              <w:tc>
                <w:tcPr>
                  <w:tcW w:w="992" w:type="pct"/>
                  <w:vMerge w:val="continue"/>
                  <w:vAlign w:val="center"/>
                </w:tcPr>
                <w:p w14:paraId="6D9BEDB7">
                  <w:pPr>
                    <w:adjustRightInd w:val="0"/>
                    <w:snapToGrid w:val="0"/>
                    <w:spacing w:line="240" w:lineRule="auto"/>
                    <w:jc w:val="center"/>
                    <w:rPr>
                      <w:color w:val="auto"/>
                      <w:szCs w:val="21"/>
                    </w:rPr>
                  </w:pPr>
                </w:p>
              </w:tc>
            </w:tr>
            <w:tr w14:paraId="4B6959E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2" w:hRule="atLeast"/>
                <w:jc w:val="center"/>
              </w:trPr>
              <w:tc>
                <w:tcPr>
                  <w:tcW w:w="211" w:type="pct"/>
                  <w:vAlign w:val="center"/>
                </w:tcPr>
                <w:p w14:paraId="6E69C84D">
                  <w:pPr>
                    <w:adjustRightInd w:val="0"/>
                    <w:spacing w:line="240" w:lineRule="auto"/>
                    <w:jc w:val="center"/>
                    <w:rPr>
                      <w:color w:val="auto"/>
                      <w:spacing w:val="-10"/>
                      <w:szCs w:val="21"/>
                    </w:rPr>
                  </w:pPr>
                  <w:r>
                    <w:rPr>
                      <w:rFonts w:hint="eastAsia"/>
                      <w:color w:val="auto"/>
                      <w:spacing w:val="-10"/>
                      <w:szCs w:val="21"/>
                    </w:rPr>
                    <w:t>6</w:t>
                  </w:r>
                </w:p>
              </w:tc>
              <w:tc>
                <w:tcPr>
                  <w:tcW w:w="662" w:type="pct"/>
                  <w:vAlign w:val="center"/>
                </w:tcPr>
                <w:p w14:paraId="533B25E2">
                  <w:pPr>
                    <w:adjustRightInd w:val="0"/>
                    <w:snapToGrid w:val="0"/>
                    <w:spacing w:line="240" w:lineRule="auto"/>
                    <w:jc w:val="center"/>
                    <w:rPr>
                      <w:rFonts w:cs="宋体"/>
                      <w:bCs/>
                      <w:color w:val="auto"/>
                      <w:spacing w:val="-10"/>
                      <w:szCs w:val="21"/>
                    </w:rPr>
                  </w:pPr>
                  <w:r>
                    <w:rPr>
                      <w:rFonts w:cs="宋体"/>
                      <w:bCs/>
                      <w:color w:val="auto"/>
                      <w:spacing w:val="-10"/>
                      <w:szCs w:val="21"/>
                    </w:rPr>
                    <w:t>废含油抹布</w:t>
                  </w:r>
                </w:p>
              </w:tc>
              <w:tc>
                <w:tcPr>
                  <w:tcW w:w="516" w:type="pct"/>
                  <w:vAlign w:val="center"/>
                </w:tcPr>
                <w:p w14:paraId="0DE9B622">
                  <w:pPr>
                    <w:adjustRightInd w:val="0"/>
                    <w:spacing w:line="240" w:lineRule="auto"/>
                    <w:jc w:val="center"/>
                    <w:rPr>
                      <w:color w:val="auto"/>
                      <w:spacing w:val="-10"/>
                      <w:szCs w:val="21"/>
                    </w:rPr>
                  </w:pPr>
                  <w:r>
                    <w:rPr>
                      <w:color w:val="auto"/>
                      <w:spacing w:val="-10"/>
                      <w:szCs w:val="21"/>
                    </w:rPr>
                    <w:t>HW</w:t>
                  </w:r>
                  <w:r>
                    <w:rPr>
                      <w:rFonts w:hint="eastAsia"/>
                      <w:color w:val="auto"/>
                      <w:spacing w:val="-10"/>
                      <w:szCs w:val="21"/>
                    </w:rPr>
                    <w:t>49</w:t>
                  </w:r>
                </w:p>
              </w:tc>
              <w:tc>
                <w:tcPr>
                  <w:tcW w:w="741" w:type="pct"/>
                  <w:vAlign w:val="center"/>
                </w:tcPr>
                <w:p w14:paraId="02518BA0">
                  <w:pPr>
                    <w:adjustRightInd w:val="0"/>
                    <w:snapToGrid w:val="0"/>
                    <w:spacing w:line="240" w:lineRule="auto"/>
                    <w:jc w:val="center"/>
                    <w:rPr>
                      <w:rFonts w:cs="宋体"/>
                      <w:bCs/>
                      <w:color w:val="auto"/>
                      <w:spacing w:val="-10"/>
                      <w:szCs w:val="21"/>
                    </w:rPr>
                  </w:pPr>
                  <w:r>
                    <w:rPr>
                      <w:color w:val="auto"/>
                      <w:spacing w:val="-10"/>
                      <w:szCs w:val="21"/>
                    </w:rPr>
                    <w:t>900-</w:t>
                  </w:r>
                  <w:r>
                    <w:rPr>
                      <w:rFonts w:hint="eastAsia"/>
                      <w:color w:val="auto"/>
                      <w:spacing w:val="-10"/>
                      <w:szCs w:val="21"/>
                    </w:rPr>
                    <w:t>041-49</w:t>
                  </w:r>
                </w:p>
              </w:tc>
              <w:tc>
                <w:tcPr>
                  <w:tcW w:w="749" w:type="pct"/>
                  <w:shd w:val="clear" w:color="auto" w:fill="auto"/>
                  <w:vAlign w:val="center"/>
                </w:tcPr>
                <w:p w14:paraId="32EFB1DA">
                  <w:pPr>
                    <w:adjustRightInd w:val="0"/>
                    <w:spacing w:line="240" w:lineRule="auto"/>
                    <w:jc w:val="center"/>
                    <w:rPr>
                      <w:rFonts w:hint="default" w:ascii="Times New Roman" w:hAnsi="Times New Roman" w:eastAsia="宋体" w:cs="Times New Roman"/>
                      <w:color w:val="auto"/>
                      <w:spacing w:val="-10"/>
                      <w:kern w:val="2"/>
                      <w:sz w:val="21"/>
                      <w:szCs w:val="21"/>
                      <w:lang w:val="en-US" w:eastAsia="zh-CN" w:bidi="ar-SA"/>
                    </w:rPr>
                  </w:pPr>
                  <w:r>
                    <w:rPr>
                      <w:rFonts w:hint="eastAsia"/>
                      <w:color w:val="auto"/>
                      <w:spacing w:val="-10"/>
                      <w:szCs w:val="21"/>
                    </w:rPr>
                    <w:t>0.</w:t>
                  </w:r>
                  <w:r>
                    <w:rPr>
                      <w:rFonts w:hint="eastAsia"/>
                      <w:color w:val="auto"/>
                      <w:spacing w:val="-10"/>
                      <w:szCs w:val="21"/>
                      <w:lang w:val="en-US" w:eastAsia="zh-CN"/>
                    </w:rPr>
                    <w:t>10</w:t>
                  </w:r>
                </w:p>
              </w:tc>
              <w:tc>
                <w:tcPr>
                  <w:tcW w:w="564" w:type="pct"/>
                  <w:vAlign w:val="center"/>
                </w:tcPr>
                <w:p w14:paraId="2648105E">
                  <w:pPr>
                    <w:adjustRightInd w:val="0"/>
                    <w:snapToGrid w:val="0"/>
                    <w:spacing w:line="240" w:lineRule="auto"/>
                    <w:jc w:val="center"/>
                    <w:rPr>
                      <w:color w:val="auto"/>
                      <w:szCs w:val="21"/>
                    </w:rPr>
                  </w:pPr>
                  <w:r>
                    <w:rPr>
                      <w:rFonts w:hint="eastAsia"/>
                      <w:color w:val="auto"/>
                      <w:spacing w:val="-10"/>
                      <w:szCs w:val="21"/>
                    </w:rPr>
                    <w:t>一年</w:t>
                  </w:r>
                </w:p>
              </w:tc>
              <w:tc>
                <w:tcPr>
                  <w:tcW w:w="560" w:type="pct"/>
                  <w:vAlign w:val="center"/>
                </w:tcPr>
                <w:p w14:paraId="3CBE26E5">
                  <w:pPr>
                    <w:adjustRightInd w:val="0"/>
                    <w:snapToGrid w:val="0"/>
                    <w:spacing w:line="240" w:lineRule="auto"/>
                    <w:jc w:val="center"/>
                    <w:rPr>
                      <w:color w:val="auto"/>
                      <w:szCs w:val="21"/>
                    </w:rPr>
                  </w:pPr>
                  <w:r>
                    <w:rPr>
                      <w:rFonts w:hint="eastAsia"/>
                      <w:color w:val="auto"/>
                      <w:szCs w:val="21"/>
                    </w:rPr>
                    <w:t>1</w:t>
                  </w:r>
                </w:p>
              </w:tc>
              <w:tc>
                <w:tcPr>
                  <w:tcW w:w="992" w:type="pct"/>
                  <w:vMerge w:val="continue"/>
                  <w:vAlign w:val="center"/>
                </w:tcPr>
                <w:p w14:paraId="2FE56E64">
                  <w:pPr>
                    <w:adjustRightInd w:val="0"/>
                    <w:snapToGrid w:val="0"/>
                    <w:spacing w:line="240" w:lineRule="auto"/>
                    <w:jc w:val="center"/>
                    <w:rPr>
                      <w:color w:val="auto"/>
                      <w:szCs w:val="21"/>
                    </w:rPr>
                  </w:pPr>
                </w:p>
              </w:tc>
            </w:tr>
            <w:tr w14:paraId="364E29B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2" w:hRule="atLeast"/>
                <w:jc w:val="center"/>
              </w:trPr>
              <w:tc>
                <w:tcPr>
                  <w:tcW w:w="211" w:type="pct"/>
                  <w:vAlign w:val="center"/>
                </w:tcPr>
                <w:p w14:paraId="41ADB4F4">
                  <w:pPr>
                    <w:adjustRightInd w:val="0"/>
                    <w:spacing w:line="240" w:lineRule="auto"/>
                    <w:jc w:val="center"/>
                    <w:rPr>
                      <w:color w:val="auto"/>
                      <w:spacing w:val="-10"/>
                      <w:szCs w:val="21"/>
                    </w:rPr>
                  </w:pPr>
                  <w:r>
                    <w:rPr>
                      <w:rFonts w:hint="eastAsia"/>
                      <w:color w:val="auto"/>
                      <w:spacing w:val="-10"/>
                      <w:szCs w:val="21"/>
                    </w:rPr>
                    <w:t>7</w:t>
                  </w:r>
                </w:p>
              </w:tc>
              <w:tc>
                <w:tcPr>
                  <w:tcW w:w="662" w:type="pct"/>
                  <w:vAlign w:val="center"/>
                </w:tcPr>
                <w:p w14:paraId="67E17309">
                  <w:pPr>
                    <w:adjustRightInd w:val="0"/>
                    <w:snapToGrid w:val="0"/>
                    <w:spacing w:line="240" w:lineRule="auto"/>
                    <w:jc w:val="center"/>
                    <w:rPr>
                      <w:rFonts w:cs="宋体"/>
                      <w:bCs/>
                      <w:color w:val="auto"/>
                      <w:spacing w:val="-10"/>
                      <w:szCs w:val="21"/>
                    </w:rPr>
                  </w:pPr>
                  <w:r>
                    <w:rPr>
                      <w:rFonts w:hint="eastAsia" w:cs="宋体"/>
                      <w:bCs/>
                      <w:color w:val="auto"/>
                      <w:spacing w:val="-10"/>
                      <w:szCs w:val="21"/>
                    </w:rPr>
                    <w:t>废滤芯</w:t>
                  </w:r>
                </w:p>
              </w:tc>
              <w:tc>
                <w:tcPr>
                  <w:tcW w:w="516" w:type="pct"/>
                  <w:vAlign w:val="center"/>
                </w:tcPr>
                <w:p w14:paraId="4E2ED2C7">
                  <w:pPr>
                    <w:adjustRightInd w:val="0"/>
                    <w:spacing w:line="240" w:lineRule="auto"/>
                    <w:jc w:val="center"/>
                    <w:rPr>
                      <w:color w:val="auto"/>
                      <w:spacing w:val="-10"/>
                      <w:szCs w:val="21"/>
                    </w:rPr>
                  </w:pPr>
                  <w:r>
                    <w:rPr>
                      <w:color w:val="auto"/>
                      <w:spacing w:val="-10"/>
                      <w:szCs w:val="21"/>
                    </w:rPr>
                    <w:t>HW</w:t>
                  </w:r>
                  <w:r>
                    <w:rPr>
                      <w:rFonts w:hint="eastAsia"/>
                      <w:color w:val="auto"/>
                      <w:spacing w:val="-10"/>
                      <w:szCs w:val="21"/>
                    </w:rPr>
                    <w:t>49</w:t>
                  </w:r>
                </w:p>
              </w:tc>
              <w:tc>
                <w:tcPr>
                  <w:tcW w:w="741" w:type="pct"/>
                  <w:vAlign w:val="center"/>
                </w:tcPr>
                <w:p w14:paraId="5B6241B5">
                  <w:pPr>
                    <w:adjustRightInd w:val="0"/>
                    <w:snapToGrid w:val="0"/>
                    <w:spacing w:line="240" w:lineRule="auto"/>
                    <w:jc w:val="center"/>
                    <w:rPr>
                      <w:rFonts w:cs="宋体"/>
                      <w:bCs/>
                      <w:color w:val="auto"/>
                      <w:spacing w:val="-10"/>
                      <w:szCs w:val="21"/>
                    </w:rPr>
                  </w:pPr>
                  <w:r>
                    <w:rPr>
                      <w:bCs/>
                      <w:color w:val="auto"/>
                      <w:spacing w:val="-10"/>
                      <w:szCs w:val="21"/>
                    </w:rPr>
                    <w:t>900-041-49</w:t>
                  </w:r>
                </w:p>
              </w:tc>
              <w:tc>
                <w:tcPr>
                  <w:tcW w:w="749" w:type="pct"/>
                  <w:vAlign w:val="center"/>
                </w:tcPr>
                <w:p w14:paraId="20606920">
                  <w:pPr>
                    <w:adjustRightInd w:val="0"/>
                    <w:spacing w:line="240" w:lineRule="auto"/>
                    <w:jc w:val="center"/>
                    <w:rPr>
                      <w:color w:val="auto"/>
                      <w:spacing w:val="-10"/>
                      <w:szCs w:val="21"/>
                    </w:rPr>
                  </w:pPr>
                  <w:r>
                    <w:rPr>
                      <w:rFonts w:hint="eastAsia"/>
                      <w:color w:val="auto"/>
                      <w:spacing w:val="-10"/>
                      <w:szCs w:val="21"/>
                    </w:rPr>
                    <w:t>0.01</w:t>
                  </w:r>
                </w:p>
              </w:tc>
              <w:tc>
                <w:tcPr>
                  <w:tcW w:w="564" w:type="pct"/>
                  <w:vAlign w:val="center"/>
                </w:tcPr>
                <w:p w14:paraId="7A513DA0">
                  <w:pPr>
                    <w:adjustRightInd w:val="0"/>
                    <w:snapToGrid w:val="0"/>
                    <w:spacing w:line="240" w:lineRule="auto"/>
                    <w:jc w:val="center"/>
                    <w:rPr>
                      <w:color w:val="auto"/>
                      <w:spacing w:val="-10"/>
                      <w:szCs w:val="21"/>
                    </w:rPr>
                  </w:pPr>
                  <w:r>
                    <w:rPr>
                      <w:rFonts w:hint="eastAsia"/>
                      <w:color w:val="auto"/>
                      <w:spacing w:val="-10"/>
                      <w:szCs w:val="21"/>
                    </w:rPr>
                    <w:t>一年</w:t>
                  </w:r>
                </w:p>
              </w:tc>
              <w:tc>
                <w:tcPr>
                  <w:tcW w:w="560" w:type="pct"/>
                  <w:vAlign w:val="center"/>
                </w:tcPr>
                <w:p w14:paraId="57E872D0">
                  <w:pPr>
                    <w:adjustRightInd w:val="0"/>
                    <w:snapToGrid w:val="0"/>
                    <w:spacing w:line="240" w:lineRule="auto"/>
                    <w:jc w:val="center"/>
                    <w:rPr>
                      <w:color w:val="auto"/>
                      <w:szCs w:val="21"/>
                    </w:rPr>
                  </w:pPr>
                  <w:r>
                    <w:rPr>
                      <w:rFonts w:hint="eastAsia"/>
                      <w:color w:val="auto"/>
                      <w:szCs w:val="21"/>
                    </w:rPr>
                    <w:t>1</w:t>
                  </w:r>
                </w:p>
              </w:tc>
              <w:tc>
                <w:tcPr>
                  <w:tcW w:w="992" w:type="pct"/>
                  <w:vMerge w:val="continue"/>
                  <w:vAlign w:val="center"/>
                </w:tcPr>
                <w:p w14:paraId="67450EF8">
                  <w:pPr>
                    <w:adjustRightInd w:val="0"/>
                    <w:snapToGrid w:val="0"/>
                    <w:spacing w:line="240" w:lineRule="auto"/>
                    <w:jc w:val="center"/>
                    <w:rPr>
                      <w:color w:val="auto"/>
                      <w:szCs w:val="21"/>
                    </w:rPr>
                  </w:pPr>
                </w:p>
              </w:tc>
            </w:tr>
            <w:tr w14:paraId="3A3F600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2" w:hRule="atLeast"/>
                <w:jc w:val="center"/>
              </w:trPr>
              <w:tc>
                <w:tcPr>
                  <w:tcW w:w="211" w:type="pct"/>
                  <w:vAlign w:val="center"/>
                </w:tcPr>
                <w:p w14:paraId="179789D4">
                  <w:pPr>
                    <w:adjustRightInd w:val="0"/>
                    <w:spacing w:line="240" w:lineRule="auto"/>
                    <w:jc w:val="center"/>
                    <w:rPr>
                      <w:color w:val="auto"/>
                      <w:spacing w:val="-10"/>
                      <w:szCs w:val="21"/>
                    </w:rPr>
                  </w:pPr>
                  <w:r>
                    <w:rPr>
                      <w:rFonts w:hint="eastAsia"/>
                      <w:color w:val="auto"/>
                      <w:spacing w:val="-10"/>
                      <w:szCs w:val="21"/>
                    </w:rPr>
                    <w:t>8</w:t>
                  </w:r>
                </w:p>
              </w:tc>
              <w:tc>
                <w:tcPr>
                  <w:tcW w:w="662" w:type="pct"/>
                  <w:vAlign w:val="center"/>
                </w:tcPr>
                <w:p w14:paraId="6B1A211F">
                  <w:pPr>
                    <w:adjustRightInd w:val="0"/>
                    <w:snapToGrid w:val="0"/>
                    <w:spacing w:line="240" w:lineRule="auto"/>
                    <w:jc w:val="center"/>
                    <w:rPr>
                      <w:rFonts w:cs="宋体"/>
                      <w:bCs/>
                      <w:color w:val="auto"/>
                      <w:spacing w:val="-10"/>
                      <w:szCs w:val="21"/>
                    </w:rPr>
                  </w:pPr>
                  <w:r>
                    <w:rPr>
                      <w:rFonts w:hint="eastAsia" w:cs="宋体"/>
                      <w:bCs/>
                      <w:color w:val="auto"/>
                      <w:spacing w:val="-10"/>
                      <w:szCs w:val="21"/>
                      <w:lang w:val="en-US" w:eastAsia="zh-CN"/>
                    </w:rPr>
                    <w:t>废</w:t>
                  </w:r>
                  <w:r>
                    <w:rPr>
                      <w:rFonts w:hint="eastAsia" w:cs="宋体"/>
                      <w:bCs/>
                      <w:color w:val="auto"/>
                      <w:spacing w:val="-10"/>
                      <w:szCs w:val="21"/>
                    </w:rPr>
                    <w:t>活性炭</w:t>
                  </w:r>
                </w:p>
              </w:tc>
              <w:tc>
                <w:tcPr>
                  <w:tcW w:w="516" w:type="pct"/>
                  <w:vAlign w:val="center"/>
                </w:tcPr>
                <w:p w14:paraId="1C1E124E">
                  <w:pPr>
                    <w:adjustRightInd w:val="0"/>
                    <w:spacing w:line="240" w:lineRule="auto"/>
                    <w:jc w:val="center"/>
                    <w:rPr>
                      <w:color w:val="auto"/>
                      <w:spacing w:val="-10"/>
                      <w:szCs w:val="21"/>
                    </w:rPr>
                  </w:pPr>
                  <w:r>
                    <w:rPr>
                      <w:color w:val="auto"/>
                      <w:spacing w:val="-10"/>
                      <w:szCs w:val="21"/>
                    </w:rPr>
                    <w:t>HW</w:t>
                  </w:r>
                  <w:r>
                    <w:rPr>
                      <w:rFonts w:hint="eastAsia"/>
                      <w:color w:val="auto"/>
                      <w:spacing w:val="-10"/>
                      <w:szCs w:val="21"/>
                    </w:rPr>
                    <w:t>49</w:t>
                  </w:r>
                </w:p>
              </w:tc>
              <w:tc>
                <w:tcPr>
                  <w:tcW w:w="741" w:type="pct"/>
                  <w:vAlign w:val="center"/>
                </w:tcPr>
                <w:p w14:paraId="14AC9190">
                  <w:pPr>
                    <w:adjustRightInd w:val="0"/>
                    <w:snapToGrid w:val="0"/>
                    <w:spacing w:line="240" w:lineRule="auto"/>
                    <w:jc w:val="center"/>
                    <w:rPr>
                      <w:rFonts w:cs="宋体"/>
                      <w:bCs/>
                      <w:color w:val="auto"/>
                      <w:spacing w:val="-10"/>
                      <w:szCs w:val="21"/>
                    </w:rPr>
                  </w:pPr>
                  <w:r>
                    <w:rPr>
                      <w:color w:val="auto"/>
                      <w:spacing w:val="-10"/>
                      <w:szCs w:val="21"/>
                    </w:rPr>
                    <w:t>900-039-49</w:t>
                  </w:r>
                </w:p>
              </w:tc>
              <w:tc>
                <w:tcPr>
                  <w:tcW w:w="749" w:type="pct"/>
                  <w:vAlign w:val="center"/>
                </w:tcPr>
                <w:p w14:paraId="77E9A7C3">
                  <w:pPr>
                    <w:adjustRightInd w:val="0"/>
                    <w:spacing w:line="240" w:lineRule="auto"/>
                    <w:jc w:val="center"/>
                    <w:rPr>
                      <w:color w:val="auto"/>
                      <w:spacing w:val="-10"/>
                      <w:szCs w:val="21"/>
                    </w:rPr>
                  </w:pPr>
                  <w:r>
                    <w:rPr>
                      <w:rFonts w:hint="eastAsia"/>
                      <w:color w:val="auto"/>
                      <w:spacing w:val="-10"/>
                      <w:szCs w:val="21"/>
                    </w:rPr>
                    <w:t>0.5</w:t>
                  </w:r>
                </w:p>
              </w:tc>
              <w:tc>
                <w:tcPr>
                  <w:tcW w:w="564" w:type="pct"/>
                  <w:vAlign w:val="center"/>
                </w:tcPr>
                <w:p w14:paraId="5AD50B0A">
                  <w:pPr>
                    <w:adjustRightInd w:val="0"/>
                    <w:snapToGrid w:val="0"/>
                    <w:spacing w:line="240" w:lineRule="auto"/>
                    <w:jc w:val="center"/>
                    <w:rPr>
                      <w:color w:val="auto"/>
                      <w:szCs w:val="21"/>
                    </w:rPr>
                  </w:pPr>
                  <w:r>
                    <w:rPr>
                      <w:rFonts w:hint="eastAsia"/>
                      <w:color w:val="auto"/>
                      <w:spacing w:val="-10"/>
                      <w:szCs w:val="21"/>
                    </w:rPr>
                    <w:t>一年</w:t>
                  </w:r>
                </w:p>
              </w:tc>
              <w:tc>
                <w:tcPr>
                  <w:tcW w:w="560" w:type="pct"/>
                  <w:vAlign w:val="center"/>
                </w:tcPr>
                <w:p w14:paraId="34786BFA">
                  <w:pPr>
                    <w:adjustRightInd w:val="0"/>
                    <w:snapToGrid w:val="0"/>
                    <w:spacing w:line="240" w:lineRule="auto"/>
                    <w:jc w:val="center"/>
                    <w:rPr>
                      <w:color w:val="auto"/>
                      <w:szCs w:val="21"/>
                    </w:rPr>
                  </w:pPr>
                  <w:r>
                    <w:rPr>
                      <w:rFonts w:hint="eastAsia"/>
                      <w:color w:val="auto"/>
                      <w:szCs w:val="21"/>
                    </w:rPr>
                    <w:t>2</w:t>
                  </w:r>
                </w:p>
              </w:tc>
              <w:tc>
                <w:tcPr>
                  <w:tcW w:w="992" w:type="pct"/>
                  <w:vMerge w:val="continue"/>
                  <w:vAlign w:val="center"/>
                </w:tcPr>
                <w:p w14:paraId="2BA1143B">
                  <w:pPr>
                    <w:adjustRightInd w:val="0"/>
                    <w:snapToGrid w:val="0"/>
                    <w:spacing w:line="240" w:lineRule="auto"/>
                    <w:jc w:val="center"/>
                    <w:rPr>
                      <w:color w:val="auto"/>
                      <w:szCs w:val="21"/>
                    </w:rPr>
                  </w:pPr>
                </w:p>
              </w:tc>
            </w:tr>
            <w:tr w14:paraId="2495868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11" w:type="pct"/>
                  <w:vAlign w:val="center"/>
                </w:tcPr>
                <w:p w14:paraId="661725B8">
                  <w:pPr>
                    <w:adjustRightInd w:val="0"/>
                    <w:spacing w:line="240" w:lineRule="auto"/>
                    <w:jc w:val="center"/>
                    <w:rPr>
                      <w:color w:val="auto"/>
                      <w:spacing w:val="-10"/>
                      <w:szCs w:val="21"/>
                    </w:rPr>
                  </w:pPr>
                  <w:r>
                    <w:rPr>
                      <w:rFonts w:hint="eastAsia"/>
                      <w:color w:val="auto"/>
                      <w:spacing w:val="-10"/>
                      <w:szCs w:val="21"/>
                    </w:rPr>
                    <w:t>9</w:t>
                  </w:r>
                </w:p>
              </w:tc>
              <w:tc>
                <w:tcPr>
                  <w:tcW w:w="662" w:type="pct"/>
                  <w:vAlign w:val="center"/>
                </w:tcPr>
                <w:p w14:paraId="0E9B5935">
                  <w:pPr>
                    <w:adjustRightInd w:val="0"/>
                    <w:snapToGrid w:val="0"/>
                    <w:spacing w:line="240" w:lineRule="auto"/>
                    <w:jc w:val="center"/>
                    <w:rPr>
                      <w:rFonts w:cs="宋体"/>
                      <w:bCs/>
                      <w:color w:val="auto"/>
                      <w:spacing w:val="-10"/>
                      <w:szCs w:val="21"/>
                    </w:rPr>
                  </w:pPr>
                  <w:r>
                    <w:rPr>
                      <w:rFonts w:hint="eastAsia" w:cs="宋体"/>
                      <w:bCs/>
                      <w:color w:val="auto"/>
                      <w:spacing w:val="-10"/>
                      <w:szCs w:val="21"/>
                    </w:rPr>
                    <w:t>含油金属屑（压块后）</w:t>
                  </w:r>
                </w:p>
              </w:tc>
              <w:tc>
                <w:tcPr>
                  <w:tcW w:w="516" w:type="pct"/>
                  <w:vAlign w:val="center"/>
                </w:tcPr>
                <w:p w14:paraId="1450E002">
                  <w:pPr>
                    <w:adjustRightInd w:val="0"/>
                    <w:spacing w:line="240" w:lineRule="auto"/>
                    <w:jc w:val="center"/>
                    <w:rPr>
                      <w:color w:val="auto"/>
                      <w:spacing w:val="-10"/>
                      <w:szCs w:val="21"/>
                    </w:rPr>
                  </w:pPr>
                  <w:r>
                    <w:rPr>
                      <w:color w:val="auto"/>
                      <w:spacing w:val="-10"/>
                      <w:szCs w:val="21"/>
                    </w:rPr>
                    <w:t>HW</w:t>
                  </w:r>
                  <w:r>
                    <w:rPr>
                      <w:rFonts w:hint="eastAsia"/>
                      <w:color w:val="auto"/>
                      <w:spacing w:val="-10"/>
                      <w:szCs w:val="21"/>
                    </w:rPr>
                    <w:t>09</w:t>
                  </w:r>
                </w:p>
              </w:tc>
              <w:tc>
                <w:tcPr>
                  <w:tcW w:w="741" w:type="pct"/>
                  <w:vAlign w:val="center"/>
                </w:tcPr>
                <w:p w14:paraId="70E59714">
                  <w:pPr>
                    <w:adjustRightInd w:val="0"/>
                    <w:snapToGrid w:val="0"/>
                    <w:spacing w:line="240" w:lineRule="auto"/>
                    <w:jc w:val="center"/>
                    <w:rPr>
                      <w:rFonts w:cs="宋体"/>
                      <w:bCs/>
                      <w:color w:val="auto"/>
                      <w:spacing w:val="-10"/>
                      <w:szCs w:val="21"/>
                    </w:rPr>
                  </w:pPr>
                  <w:r>
                    <w:rPr>
                      <w:color w:val="auto"/>
                      <w:spacing w:val="-10"/>
                      <w:szCs w:val="21"/>
                    </w:rPr>
                    <w:t>900-006-09</w:t>
                  </w:r>
                </w:p>
              </w:tc>
              <w:tc>
                <w:tcPr>
                  <w:tcW w:w="749" w:type="pct"/>
                  <w:vAlign w:val="center"/>
                </w:tcPr>
                <w:p w14:paraId="07B958EC">
                  <w:pPr>
                    <w:adjustRightInd w:val="0"/>
                    <w:spacing w:line="240" w:lineRule="auto"/>
                    <w:jc w:val="center"/>
                    <w:rPr>
                      <w:color w:val="auto"/>
                      <w:spacing w:val="-10"/>
                      <w:szCs w:val="21"/>
                    </w:rPr>
                  </w:pPr>
                  <w:r>
                    <w:rPr>
                      <w:rFonts w:hint="eastAsia"/>
                      <w:color w:val="auto"/>
                      <w:spacing w:val="-10"/>
                      <w:szCs w:val="21"/>
                    </w:rPr>
                    <w:t>10</w:t>
                  </w:r>
                </w:p>
              </w:tc>
              <w:tc>
                <w:tcPr>
                  <w:tcW w:w="564" w:type="pct"/>
                  <w:vAlign w:val="center"/>
                </w:tcPr>
                <w:p w14:paraId="154C2968">
                  <w:pPr>
                    <w:adjustRightInd w:val="0"/>
                    <w:snapToGrid w:val="0"/>
                    <w:spacing w:line="240" w:lineRule="auto"/>
                    <w:jc w:val="center"/>
                    <w:rPr>
                      <w:color w:val="auto"/>
                      <w:spacing w:val="-10"/>
                      <w:szCs w:val="21"/>
                    </w:rPr>
                  </w:pPr>
                  <w:r>
                    <w:rPr>
                      <w:rFonts w:hint="eastAsia"/>
                      <w:color w:val="auto"/>
                      <w:spacing w:val="-10"/>
                      <w:szCs w:val="21"/>
                    </w:rPr>
                    <w:t>一年</w:t>
                  </w:r>
                </w:p>
              </w:tc>
              <w:tc>
                <w:tcPr>
                  <w:tcW w:w="560" w:type="pct"/>
                  <w:vAlign w:val="center"/>
                </w:tcPr>
                <w:p w14:paraId="1182DE65">
                  <w:pPr>
                    <w:adjustRightInd w:val="0"/>
                    <w:snapToGrid w:val="0"/>
                    <w:spacing w:line="240" w:lineRule="auto"/>
                    <w:jc w:val="center"/>
                    <w:rPr>
                      <w:color w:val="auto"/>
                      <w:szCs w:val="21"/>
                    </w:rPr>
                  </w:pPr>
                  <w:r>
                    <w:rPr>
                      <w:rFonts w:hint="eastAsia"/>
                      <w:color w:val="auto"/>
                      <w:szCs w:val="21"/>
                    </w:rPr>
                    <w:t>3</w:t>
                  </w:r>
                </w:p>
              </w:tc>
              <w:tc>
                <w:tcPr>
                  <w:tcW w:w="992" w:type="pct"/>
                  <w:vAlign w:val="center"/>
                </w:tcPr>
                <w:p w14:paraId="721948EB">
                  <w:pPr>
                    <w:adjustRightInd w:val="0"/>
                    <w:snapToGrid w:val="0"/>
                    <w:spacing w:line="240" w:lineRule="auto"/>
                    <w:jc w:val="center"/>
                    <w:rPr>
                      <w:color w:val="auto"/>
                      <w:szCs w:val="21"/>
                    </w:rPr>
                  </w:pPr>
                  <w:r>
                    <w:rPr>
                      <w:rFonts w:hint="eastAsia"/>
                      <w:color w:val="auto"/>
                    </w:rPr>
                    <w:t>经过滤除油达到静置无滴漏后打包压块，暂存于危废间</w:t>
                  </w:r>
                </w:p>
              </w:tc>
            </w:tr>
            <w:tr w14:paraId="2507EE7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77" w:hRule="atLeast"/>
                <w:jc w:val="center"/>
              </w:trPr>
              <w:tc>
                <w:tcPr>
                  <w:tcW w:w="3446" w:type="pct"/>
                  <w:gridSpan w:val="6"/>
                  <w:vAlign w:val="center"/>
                </w:tcPr>
                <w:p w14:paraId="1E28CFF8">
                  <w:pPr>
                    <w:adjustRightInd w:val="0"/>
                    <w:snapToGrid w:val="0"/>
                    <w:spacing w:line="240" w:lineRule="auto"/>
                    <w:jc w:val="right"/>
                    <w:rPr>
                      <w:color w:val="auto"/>
                      <w:szCs w:val="21"/>
                    </w:rPr>
                  </w:pPr>
                  <w:r>
                    <w:rPr>
                      <w:rFonts w:hint="eastAsia"/>
                      <w:color w:val="auto"/>
                      <w:szCs w:val="21"/>
                    </w:rPr>
                    <w:t>合计</w:t>
                  </w:r>
                </w:p>
              </w:tc>
              <w:tc>
                <w:tcPr>
                  <w:tcW w:w="560" w:type="pct"/>
                  <w:vAlign w:val="center"/>
                </w:tcPr>
                <w:p w14:paraId="43A1BFEF">
                  <w:pPr>
                    <w:adjustRightInd w:val="0"/>
                    <w:snapToGrid w:val="0"/>
                    <w:spacing w:line="240" w:lineRule="auto"/>
                    <w:jc w:val="center"/>
                    <w:rPr>
                      <w:color w:val="auto"/>
                      <w:szCs w:val="21"/>
                    </w:rPr>
                  </w:pPr>
                  <w:r>
                    <w:rPr>
                      <w:rFonts w:hint="eastAsia"/>
                      <w:color w:val="auto"/>
                      <w:szCs w:val="21"/>
                    </w:rPr>
                    <w:t>16</w:t>
                  </w:r>
                </w:p>
              </w:tc>
              <w:tc>
                <w:tcPr>
                  <w:tcW w:w="992" w:type="pct"/>
                  <w:vAlign w:val="center"/>
                </w:tcPr>
                <w:p w14:paraId="51B387EC">
                  <w:pPr>
                    <w:adjustRightInd w:val="0"/>
                    <w:snapToGrid w:val="0"/>
                    <w:spacing w:line="240" w:lineRule="auto"/>
                    <w:jc w:val="center"/>
                    <w:rPr>
                      <w:color w:val="auto"/>
                      <w:szCs w:val="21"/>
                    </w:rPr>
                  </w:pPr>
                  <w:r>
                    <w:rPr>
                      <w:rFonts w:hint="eastAsia"/>
                      <w:color w:val="auto"/>
                      <w:szCs w:val="21"/>
                    </w:rPr>
                    <w:t>/</w:t>
                  </w:r>
                </w:p>
              </w:tc>
            </w:tr>
          </w:tbl>
          <w:p w14:paraId="2C550DFC">
            <w:pPr>
              <w:pStyle w:val="116"/>
              <w:spacing w:beforeLines="50"/>
              <w:ind w:firstLine="420"/>
              <w:rPr>
                <w:color w:val="auto"/>
              </w:rPr>
            </w:pPr>
            <w:r>
              <w:rPr>
                <w:rFonts w:hint="eastAsia"/>
                <w:color w:val="auto"/>
              </w:rPr>
              <w:t>由</w:t>
            </w:r>
            <w:r>
              <w:rPr>
                <w:color w:val="auto"/>
              </w:rPr>
              <w:fldChar w:fldCharType="begin"/>
            </w:r>
            <w:r>
              <w:rPr>
                <w:color w:val="auto"/>
              </w:rPr>
              <w:instrText xml:space="preserve"> REF _Ref126597371 \h  \* MERGEFORMAT </w:instrText>
            </w:r>
            <w:r>
              <w:rPr>
                <w:color w:val="auto"/>
              </w:rPr>
              <w:fldChar w:fldCharType="separate"/>
            </w:r>
            <w:r>
              <w:rPr>
                <w:rFonts w:hint="eastAsia"/>
                <w:color w:val="auto"/>
              </w:rPr>
              <w:t>表4</w:t>
            </w:r>
            <w:r>
              <w:rPr>
                <w:rFonts w:hint="eastAsia"/>
                <w:color w:val="auto"/>
                <w:lang w:eastAsia="zh-CN"/>
              </w:rPr>
              <w:t>-</w:t>
            </w:r>
            <w:r>
              <w:rPr>
                <w:color w:val="auto"/>
              </w:rPr>
              <w:t>1</w:t>
            </w:r>
            <w:r>
              <w:rPr>
                <w:rFonts w:hint="eastAsia"/>
                <w:color w:val="auto"/>
                <w:lang w:val="en-US" w:eastAsia="zh-CN"/>
              </w:rPr>
              <w:t>9</w:t>
            </w:r>
            <w:r>
              <w:rPr>
                <w:color w:val="auto"/>
              </w:rPr>
              <w:fldChar w:fldCharType="end"/>
            </w:r>
            <w:r>
              <w:rPr>
                <w:rFonts w:hint="eastAsia"/>
                <w:color w:val="auto"/>
              </w:rPr>
              <w:t>可知，现有工程危废间满足</w:t>
            </w:r>
            <w:r>
              <w:rPr>
                <w:rFonts w:hint="eastAsia"/>
                <w:color w:val="auto"/>
                <w:lang w:val="en-US" w:eastAsia="zh-CN"/>
              </w:rPr>
              <w:t>扩建</w:t>
            </w:r>
            <w:r>
              <w:rPr>
                <w:rFonts w:hint="eastAsia"/>
                <w:color w:val="auto"/>
              </w:rPr>
              <w:t>后全厂危险废物的暂存要求。</w:t>
            </w:r>
          </w:p>
          <w:p w14:paraId="3BDB307F">
            <w:pPr>
              <w:pStyle w:val="119"/>
              <w:rPr>
                <w:rFonts w:cs="宋体"/>
                <w:color w:val="auto"/>
              </w:rPr>
            </w:pPr>
            <w:r>
              <w:rPr>
                <w:rFonts w:hint="eastAsia" w:cs="宋体"/>
                <w:color w:val="auto"/>
              </w:rPr>
              <w:t>4.3 固体废物环境管理要求</w:t>
            </w:r>
          </w:p>
          <w:p w14:paraId="0EE359DC">
            <w:pPr>
              <w:pStyle w:val="119"/>
              <w:rPr>
                <w:color w:val="auto"/>
              </w:rPr>
            </w:pPr>
            <w:r>
              <w:rPr>
                <w:rFonts w:hint="eastAsia"/>
                <w:color w:val="auto"/>
              </w:rPr>
              <w:t>4.3.1一般固体废物</w:t>
            </w:r>
          </w:p>
          <w:p w14:paraId="745F8041">
            <w:pPr>
              <w:pStyle w:val="116"/>
              <w:ind w:firstLine="420"/>
              <w:rPr>
                <w:rFonts w:cs="宋体"/>
                <w:color w:val="auto"/>
              </w:rPr>
            </w:pPr>
            <w:r>
              <w:rPr>
                <w:rFonts w:hint="eastAsia" w:cs="宋体"/>
                <w:color w:val="auto"/>
                <w:lang w:val="en-US" w:eastAsia="zh-CN"/>
              </w:rPr>
              <w:t>根据</w:t>
            </w:r>
            <w:r>
              <w:rPr>
                <w:rFonts w:hint="eastAsia" w:cs="宋体"/>
                <w:color w:val="auto"/>
              </w:rPr>
              <w:t>《关于印发&lt;一般工业固体废物环境管理工作指南&gt;的通知》</w:t>
            </w:r>
            <w:r>
              <w:rPr>
                <w:rFonts w:hint="eastAsia" w:cs="宋体"/>
                <w:color w:val="auto"/>
                <w:lang w:eastAsia="zh-CN"/>
              </w:rPr>
              <w:t>（</w:t>
            </w:r>
            <w:r>
              <w:rPr>
                <w:rFonts w:hint="eastAsia" w:cs="宋体"/>
                <w:color w:val="auto"/>
              </w:rPr>
              <w:t>环办固体函〔2026〕18号</w:t>
            </w:r>
            <w:r>
              <w:rPr>
                <w:rFonts w:hint="eastAsia" w:cs="宋体"/>
                <w:color w:val="auto"/>
                <w:lang w:eastAsia="zh-CN"/>
              </w:rPr>
              <w:t>）</w:t>
            </w:r>
            <w:r>
              <w:rPr>
                <w:rFonts w:hint="eastAsia" w:cs="宋体"/>
                <w:color w:val="auto"/>
                <w:lang w:val="en-US" w:eastAsia="zh-CN"/>
              </w:rPr>
              <w:t>内容</w:t>
            </w:r>
            <w:r>
              <w:rPr>
                <w:rFonts w:hint="eastAsia" w:cs="宋体"/>
                <w:color w:val="auto"/>
                <w:lang w:eastAsia="zh-CN"/>
              </w:rPr>
              <w:t>。</w:t>
            </w:r>
            <w:r>
              <w:rPr>
                <w:rFonts w:hint="eastAsia" w:cs="宋体"/>
                <w:color w:val="auto"/>
              </w:rPr>
              <w:t>本项目的一般工业固体废物统一收集后暂存于一般固废区，外售处理，根据本项目的一般固体废物特征，其不产生渗滤液，环境管理过程中只是涉及到固体废物的收集、转移、储存工作，因此，要确保一般工业固体废物的收集、包装工具完整、不破损，在固体废物的收集、转移过程中不会逸洒、散落。</w:t>
            </w:r>
          </w:p>
          <w:p w14:paraId="71DE4A1C">
            <w:pPr>
              <w:pStyle w:val="119"/>
              <w:rPr>
                <w:color w:val="auto"/>
              </w:rPr>
            </w:pPr>
            <w:r>
              <w:rPr>
                <w:rFonts w:hint="eastAsia"/>
                <w:color w:val="auto"/>
              </w:rPr>
              <w:t>4.3.2危险废物</w:t>
            </w:r>
          </w:p>
          <w:p w14:paraId="3D7A1F4E">
            <w:pPr>
              <w:pStyle w:val="119"/>
              <w:rPr>
                <w:color w:val="auto"/>
              </w:rPr>
            </w:pPr>
            <w:r>
              <w:rPr>
                <w:rFonts w:hint="eastAsia"/>
                <w:color w:val="auto"/>
              </w:rPr>
              <w:t>（1）危险废物的收集和容器要求</w:t>
            </w:r>
          </w:p>
          <w:p w14:paraId="39575451">
            <w:pPr>
              <w:pStyle w:val="116"/>
              <w:ind w:firstLine="420"/>
              <w:rPr>
                <w:color w:val="auto"/>
              </w:rPr>
            </w:pPr>
            <w:r>
              <w:rPr>
                <w:rFonts w:hint="eastAsia"/>
                <w:color w:val="auto"/>
              </w:rPr>
              <w:t>项目在设备维修保养过程中下设防漏托盘，用于收集滴落的废润滑油，产生的废油使用专用容器收集，废油桶原盖封存，暂存于危废暂存间。盛装危险废物的容器上粘贴危险废物标签。</w:t>
            </w:r>
          </w:p>
          <w:p w14:paraId="577BBF32">
            <w:pPr>
              <w:pStyle w:val="116"/>
              <w:ind w:firstLine="420"/>
              <w:rPr>
                <w:color w:val="auto"/>
              </w:rPr>
            </w:pPr>
            <w:r>
              <w:rPr>
                <w:rFonts w:hint="eastAsia"/>
                <w:color w:val="auto"/>
              </w:rPr>
              <w:t>危险废物容器和包装物污染控制要求如下：</w:t>
            </w:r>
          </w:p>
          <w:p w14:paraId="6C1D375D">
            <w:pPr>
              <w:pStyle w:val="116"/>
              <w:ind w:firstLine="420"/>
              <w:rPr>
                <w:color w:val="auto"/>
              </w:rPr>
            </w:pPr>
            <w:r>
              <w:rPr>
                <w:rFonts w:hint="eastAsia"/>
                <w:color w:val="auto"/>
              </w:rPr>
              <w:t>a）容器和包装物材质、内衬应与盛装的危险废物相容。</w:t>
            </w:r>
          </w:p>
          <w:p w14:paraId="7C4717D8">
            <w:pPr>
              <w:pStyle w:val="116"/>
              <w:ind w:firstLine="420"/>
              <w:rPr>
                <w:color w:val="auto"/>
              </w:rPr>
            </w:pPr>
            <w:r>
              <w:rPr>
                <w:rFonts w:hint="eastAsia"/>
                <w:color w:val="auto"/>
              </w:rPr>
              <w:t>b）针对不同类别、形态、物理化学性质的危险废物，其容器和包装物应满足相应的防渗、防漏、防腐和强度等要求。</w:t>
            </w:r>
          </w:p>
          <w:p w14:paraId="2D3D79E3">
            <w:pPr>
              <w:pStyle w:val="116"/>
              <w:ind w:firstLine="420"/>
              <w:rPr>
                <w:color w:val="auto"/>
              </w:rPr>
            </w:pPr>
            <w:r>
              <w:rPr>
                <w:rFonts w:hint="eastAsia"/>
                <w:color w:val="auto"/>
              </w:rPr>
              <w:t>c）硬质容器和包装物及其支护结构堆叠码放时不应有明显变形，无破损泄漏。</w:t>
            </w:r>
          </w:p>
          <w:p w14:paraId="0358B63A">
            <w:pPr>
              <w:pStyle w:val="116"/>
              <w:ind w:firstLine="420"/>
              <w:rPr>
                <w:color w:val="auto"/>
              </w:rPr>
            </w:pPr>
            <w:r>
              <w:rPr>
                <w:rFonts w:hint="eastAsia"/>
                <w:color w:val="auto"/>
              </w:rPr>
              <w:t>d）柔性容器和包装物堆叠码放时应封口严密，无破损泄漏。</w:t>
            </w:r>
          </w:p>
          <w:p w14:paraId="769CB4A8">
            <w:pPr>
              <w:pStyle w:val="116"/>
              <w:ind w:firstLine="420"/>
              <w:rPr>
                <w:color w:val="auto"/>
              </w:rPr>
            </w:pPr>
            <w:r>
              <w:rPr>
                <w:rFonts w:hint="eastAsia"/>
                <w:color w:val="auto"/>
              </w:rPr>
              <w:t>e）使用容器盛装液态、半固态危险废物时，容器内部应留有适当的空间，以适应因温度变化等可能引发的收缩和膨胀，防止其导致容器渗漏或永久变形。</w:t>
            </w:r>
          </w:p>
          <w:p w14:paraId="3FAD8654">
            <w:pPr>
              <w:pStyle w:val="116"/>
              <w:ind w:firstLine="420"/>
              <w:rPr>
                <w:color w:val="auto"/>
              </w:rPr>
            </w:pPr>
            <w:r>
              <w:rPr>
                <w:rFonts w:hint="eastAsia"/>
                <w:color w:val="auto"/>
              </w:rPr>
              <w:t>f）容器和包装物外表面应保持清洁。</w:t>
            </w:r>
          </w:p>
          <w:p w14:paraId="7528B263">
            <w:pPr>
              <w:pStyle w:val="119"/>
              <w:rPr>
                <w:color w:val="auto"/>
              </w:rPr>
            </w:pPr>
            <w:r>
              <w:rPr>
                <w:rFonts w:hint="eastAsia"/>
                <w:color w:val="auto"/>
              </w:rPr>
              <w:t>（2）危险废物贮存设施要求</w:t>
            </w:r>
          </w:p>
          <w:p w14:paraId="705A85B1">
            <w:pPr>
              <w:pStyle w:val="116"/>
              <w:ind w:firstLine="420"/>
              <w:rPr>
                <w:color w:val="auto"/>
              </w:rPr>
            </w:pPr>
            <w:r>
              <w:rPr>
                <w:rFonts w:hint="eastAsia"/>
                <w:color w:val="auto"/>
              </w:rPr>
              <w:t>现有危废间已验收，符合建设要求</w:t>
            </w:r>
            <w:r>
              <w:rPr>
                <w:rFonts w:hint="eastAsia"/>
                <w:color w:val="auto"/>
                <w:lang w:eastAsia="zh-CN"/>
              </w:rPr>
              <w:t>。</w:t>
            </w:r>
            <w:r>
              <w:rPr>
                <w:rFonts w:hint="eastAsia"/>
                <w:color w:val="auto"/>
              </w:rPr>
              <w:t>现有工程危废暂存间按照《危险废物</w:t>
            </w:r>
            <w:r>
              <w:rPr>
                <w:color w:val="auto"/>
              </w:rPr>
              <w:t>贮存污染控制标准</w:t>
            </w:r>
            <w:r>
              <w:rPr>
                <w:rFonts w:hint="eastAsia"/>
                <w:color w:val="auto"/>
              </w:rPr>
              <w:t>》(GB18597-2023)的要求进行建设，危险废物暂存间的地面、墙面裙角、堵截泄漏的围堰等采用坚固的材料建造，表面无裂缝。危废暂存间地面与裙角采取表面防渗措施，表面防渗材料与所接触的物料或污染物相容，危废暂存间张贴环保专用标志。</w:t>
            </w:r>
          </w:p>
          <w:p w14:paraId="0D8CD072">
            <w:pPr>
              <w:pStyle w:val="119"/>
              <w:rPr>
                <w:color w:val="auto"/>
              </w:rPr>
            </w:pPr>
            <w:r>
              <w:rPr>
                <w:rFonts w:hint="eastAsia"/>
                <w:color w:val="auto"/>
              </w:rPr>
              <w:t>（3）危险废物管理制度要求</w:t>
            </w:r>
          </w:p>
          <w:p w14:paraId="7E15F5A0">
            <w:pPr>
              <w:pStyle w:val="116"/>
              <w:ind w:firstLine="420"/>
              <w:rPr>
                <w:color w:val="auto"/>
              </w:rPr>
            </w:pPr>
            <w:r>
              <w:rPr>
                <w:rFonts w:hint="eastAsia"/>
                <w:color w:val="auto"/>
              </w:rPr>
              <w:t>定期检查危险废物的贮存状况，及时清理危废暂存间地面，更换破损泄漏的危险废物贮存容器和包装物，保证堆存危险废物的防雨、防风、防扬尘等设施功能完好；按国家有关标准和规定建立危险废物管理台账，记录危险废物的种类、成分、数量、流向、贮存、处置等事项。</w:t>
            </w:r>
          </w:p>
          <w:p w14:paraId="6765B794">
            <w:pPr>
              <w:pStyle w:val="119"/>
              <w:rPr>
                <w:color w:val="auto"/>
              </w:rPr>
            </w:pPr>
            <w:r>
              <w:rPr>
                <w:rFonts w:hint="eastAsia"/>
                <w:color w:val="auto"/>
              </w:rPr>
              <w:t>（4）危险废物的转移与处置</w:t>
            </w:r>
          </w:p>
          <w:p w14:paraId="1A1FB957">
            <w:pPr>
              <w:pStyle w:val="116"/>
              <w:ind w:firstLine="420"/>
              <w:rPr>
                <w:color w:val="auto"/>
              </w:rPr>
            </w:pPr>
            <w:r>
              <w:rPr>
                <w:rFonts w:hint="eastAsia"/>
                <w:color w:val="auto"/>
              </w:rPr>
              <w:t>企业委托周边具有资质的危险废物处置单位进行危险废物的处置，危险废物的转移应当依法办理相关手续，并严格按照《危险废物转移管理办法》及其它有关规定，填写危险废物转移联单。</w:t>
            </w:r>
          </w:p>
          <w:p w14:paraId="7758F59D">
            <w:pPr>
              <w:pStyle w:val="122"/>
              <w:rPr>
                <w:color w:val="auto"/>
              </w:rPr>
            </w:pPr>
            <w:r>
              <w:rPr>
                <w:rFonts w:hint="eastAsia"/>
                <w:color w:val="auto"/>
              </w:rPr>
              <w:t>5、地下水、土壤环境影响分析</w:t>
            </w:r>
          </w:p>
          <w:p w14:paraId="48FF7D66">
            <w:pPr>
              <w:pStyle w:val="116"/>
              <w:ind w:firstLine="420"/>
              <w:rPr>
                <w:rFonts w:cs="宋体"/>
                <w:color w:val="auto"/>
              </w:rPr>
            </w:pPr>
            <w:r>
              <w:rPr>
                <w:rFonts w:hint="eastAsia" w:cs="宋体"/>
                <w:color w:val="auto"/>
              </w:rPr>
              <w:t>本项目生产</w:t>
            </w:r>
            <w:r>
              <w:rPr>
                <w:rFonts w:hint="eastAsia" w:cs="宋体"/>
                <w:color w:val="auto"/>
                <w:lang w:val="en-US" w:eastAsia="zh-CN"/>
              </w:rPr>
              <w:t>冷却水循环使用，无新增</w:t>
            </w:r>
            <w:r>
              <w:rPr>
                <w:rFonts w:hint="eastAsia" w:cs="宋体"/>
                <w:color w:val="auto"/>
              </w:rPr>
              <w:t>生活用水，</w:t>
            </w:r>
            <w:r>
              <w:rPr>
                <w:rFonts w:hint="eastAsia" w:cs="宋体"/>
                <w:color w:val="auto"/>
                <w:lang w:eastAsia="zh-CN"/>
              </w:rPr>
              <w:t>无废水外排</w:t>
            </w:r>
            <w:r>
              <w:rPr>
                <w:rFonts w:hint="eastAsia" w:cs="宋体"/>
                <w:color w:val="auto"/>
              </w:rPr>
              <w:t>，不会产生地表漫流现象，不会对地下水及土壤产生影响。</w:t>
            </w:r>
          </w:p>
          <w:p w14:paraId="3B1BA5F6">
            <w:pPr>
              <w:pStyle w:val="116"/>
              <w:ind w:firstLine="420"/>
              <w:rPr>
                <w:rFonts w:cs="宋体"/>
                <w:color w:val="auto"/>
              </w:rPr>
            </w:pPr>
            <w:r>
              <w:rPr>
                <w:rFonts w:hint="eastAsia" w:cs="宋体"/>
                <w:color w:val="auto"/>
                <w:lang w:eastAsia="zh-CN"/>
              </w:rPr>
              <w:t>本项目产生的废气</w:t>
            </w:r>
            <w:r>
              <w:rPr>
                <w:rFonts w:hint="eastAsia" w:cs="宋体"/>
                <w:color w:val="auto"/>
              </w:rPr>
              <w:t>污染物主要为颗粒物</w:t>
            </w:r>
            <w:r>
              <w:rPr>
                <w:rFonts w:hint="eastAsia"/>
                <w:color w:val="auto"/>
                <w:szCs w:val="21"/>
                <w:highlight w:val="none"/>
                <w:lang w:val="en-US" w:eastAsia="zh-CN"/>
              </w:rPr>
              <w:t>、SO</w:t>
            </w:r>
            <w:r>
              <w:rPr>
                <w:rFonts w:hint="eastAsia"/>
                <w:color w:val="auto"/>
                <w:szCs w:val="21"/>
                <w:highlight w:val="none"/>
                <w:vertAlign w:val="subscript"/>
                <w:lang w:val="en-US" w:eastAsia="zh-CN"/>
              </w:rPr>
              <w:t>2</w:t>
            </w:r>
            <w:r>
              <w:rPr>
                <w:rFonts w:hint="eastAsia"/>
                <w:color w:val="auto"/>
                <w:szCs w:val="21"/>
                <w:highlight w:val="none"/>
                <w:lang w:val="en-US" w:eastAsia="zh-CN"/>
              </w:rPr>
              <w:t>、NOx</w:t>
            </w:r>
            <w:r>
              <w:rPr>
                <w:rFonts w:hint="eastAsia" w:cs="宋体"/>
                <w:color w:val="auto"/>
              </w:rPr>
              <w:t>，不涉及重金属污染因子，因此，不考虑大气沉降对土壤环境的影响。</w:t>
            </w:r>
          </w:p>
          <w:p w14:paraId="4F567847">
            <w:pPr>
              <w:pStyle w:val="116"/>
              <w:ind w:firstLine="420"/>
              <w:rPr>
                <w:rFonts w:cs="宋体"/>
                <w:color w:val="auto"/>
              </w:rPr>
            </w:pPr>
            <w:r>
              <w:rPr>
                <w:rFonts w:hint="eastAsia" w:cs="宋体"/>
                <w:color w:val="auto"/>
              </w:rPr>
              <w:t>通过对项目进行工程分析，对地下水和土壤可能产生影响的途径主要为</w:t>
            </w:r>
            <w:r>
              <w:rPr>
                <w:rFonts w:cs="宋体"/>
                <w:color w:val="auto"/>
              </w:rPr>
              <w:t>跑、冒、滴、漏以及各种构筑物渗漏造成的污染，</w:t>
            </w:r>
            <w:r>
              <w:rPr>
                <w:rFonts w:hint="eastAsia" w:cs="宋体"/>
                <w:color w:val="auto"/>
              </w:rPr>
              <w:t>本项目可能产生影响的环节是润滑油使用的工序位置及危废间，为确保项目不会对地下水和土壤环境造成污染影响，提出如下分区防控措施：</w:t>
            </w:r>
          </w:p>
          <w:p w14:paraId="5349585C">
            <w:pPr>
              <w:pStyle w:val="116"/>
              <w:ind w:firstLine="420"/>
              <w:rPr>
                <w:rFonts w:cs="宋体"/>
                <w:color w:val="auto"/>
              </w:rPr>
            </w:pPr>
            <w:r>
              <w:rPr>
                <w:rFonts w:hint="eastAsia" w:cs="宋体"/>
                <w:color w:val="auto"/>
              </w:rPr>
              <w:t>（1）简单防渗区：如办公区等其他辅助区域，只需进行地面硬化或绿化，不要求防渗系数。本项目依托企业</w:t>
            </w:r>
            <w:r>
              <w:rPr>
                <w:rFonts w:cs="宋体"/>
                <w:color w:val="auto"/>
              </w:rPr>
              <w:t>现有办公楼</w:t>
            </w:r>
            <w:r>
              <w:rPr>
                <w:rFonts w:hint="eastAsia" w:cs="宋体"/>
                <w:color w:val="auto"/>
              </w:rPr>
              <w:t>，</w:t>
            </w:r>
            <w:r>
              <w:rPr>
                <w:rFonts w:cs="宋体"/>
                <w:color w:val="auto"/>
              </w:rPr>
              <w:t>已做简单防渗处理</w:t>
            </w:r>
            <w:r>
              <w:rPr>
                <w:rFonts w:hint="eastAsia" w:cs="宋体"/>
                <w:color w:val="auto"/>
              </w:rPr>
              <w:t>，</w:t>
            </w:r>
            <w:r>
              <w:rPr>
                <w:rFonts w:cs="宋体"/>
                <w:color w:val="auto"/>
              </w:rPr>
              <w:t>满足要求</w:t>
            </w:r>
            <w:r>
              <w:rPr>
                <w:rFonts w:hint="eastAsia" w:cs="宋体"/>
                <w:color w:val="auto"/>
              </w:rPr>
              <w:t>。</w:t>
            </w:r>
          </w:p>
          <w:p w14:paraId="069C7040">
            <w:pPr>
              <w:pStyle w:val="116"/>
              <w:ind w:firstLine="420"/>
              <w:rPr>
                <w:rFonts w:cs="宋体"/>
                <w:color w:val="auto"/>
              </w:rPr>
            </w:pPr>
            <w:r>
              <w:rPr>
                <w:rFonts w:hint="eastAsia" w:cs="宋体"/>
                <w:color w:val="auto"/>
              </w:rPr>
              <w:t>（2）一般污染防渗区：项目生产车间</w:t>
            </w:r>
            <w:r>
              <w:rPr>
                <w:rFonts w:hint="eastAsia" w:cs="宋体"/>
                <w:color w:val="auto"/>
                <w:lang w:eastAsia="zh-CN"/>
              </w:rPr>
              <w:t>、</w:t>
            </w:r>
            <w:r>
              <w:rPr>
                <w:rFonts w:hint="eastAsia" w:cs="宋体"/>
                <w:color w:val="auto"/>
                <w:lang w:val="en-US" w:eastAsia="zh-CN"/>
              </w:rPr>
              <w:t>成品库</w:t>
            </w:r>
            <w:r>
              <w:rPr>
                <w:rFonts w:hint="eastAsia" w:cs="宋体"/>
                <w:color w:val="auto"/>
                <w:highlight w:val="none"/>
                <w:lang w:val="en-US" w:eastAsia="zh-CN"/>
              </w:rPr>
              <w:t>、热处理水池</w:t>
            </w:r>
            <w:r>
              <w:rPr>
                <w:rFonts w:hint="eastAsia" w:cs="宋体"/>
                <w:color w:val="auto"/>
                <w:lang w:val="en-US" w:eastAsia="zh-CN"/>
              </w:rPr>
              <w:t>等</w:t>
            </w:r>
            <w:r>
              <w:rPr>
                <w:rFonts w:hint="eastAsia" w:cs="宋体"/>
                <w:color w:val="auto"/>
              </w:rPr>
              <w:t>，防渗性能等效黏土防渗层Mb≥1.5m，渗透系数k≤1×10</w:t>
            </w:r>
            <w:r>
              <w:rPr>
                <w:rFonts w:hint="eastAsia" w:cs="宋体"/>
                <w:color w:val="auto"/>
                <w:vertAlign w:val="superscript"/>
              </w:rPr>
              <w:t>-7</w:t>
            </w:r>
            <w:r>
              <w:rPr>
                <w:rFonts w:hint="eastAsia" w:cs="宋体"/>
                <w:color w:val="auto"/>
              </w:rPr>
              <w:t>cm/s。</w:t>
            </w:r>
          </w:p>
          <w:p w14:paraId="38798BD5">
            <w:pPr>
              <w:pStyle w:val="116"/>
              <w:ind w:firstLine="420"/>
              <w:rPr>
                <w:rFonts w:cs="宋体"/>
                <w:color w:val="auto"/>
              </w:rPr>
            </w:pPr>
            <w:r>
              <w:rPr>
                <w:rFonts w:hint="eastAsia" w:cs="宋体"/>
                <w:color w:val="auto"/>
              </w:rPr>
              <w:t>（3）重点污染防渗区：危废间，依托现有危废间，危废间采用坚固的材料建造，表面无裂缝，地面与裙角采取了表面防渗措施，铺设防渗材料，渗透系数k≤1×10</w:t>
            </w:r>
            <w:r>
              <w:rPr>
                <w:rFonts w:hint="eastAsia" w:cs="宋体"/>
                <w:color w:val="auto"/>
                <w:vertAlign w:val="superscript"/>
              </w:rPr>
              <w:t>-10</w:t>
            </w:r>
            <w:r>
              <w:rPr>
                <w:rFonts w:hint="eastAsia" w:cs="宋体"/>
                <w:color w:val="auto"/>
              </w:rPr>
              <w:t>cm/s，满足防渗要求。</w:t>
            </w:r>
          </w:p>
          <w:p w14:paraId="4D8B64D7">
            <w:pPr>
              <w:pStyle w:val="116"/>
              <w:ind w:firstLine="436"/>
              <w:rPr>
                <w:rFonts w:cs="宋体"/>
                <w:color w:val="auto"/>
                <w:spacing w:val="4"/>
              </w:rPr>
            </w:pPr>
            <w:r>
              <w:rPr>
                <w:rFonts w:hint="eastAsia" w:cs="宋体"/>
                <w:color w:val="auto"/>
                <w:spacing w:val="4"/>
              </w:rPr>
              <w:t>采取上述防渗措施后，正常工况下不涉及污染物垂直下渗对地下水和土壤环境的影响。项目定期检查各易渗漏点位，一旦发现渗漏，及时维修，尽量将对地下水和土壤的影响降至最低。</w:t>
            </w:r>
          </w:p>
          <w:p w14:paraId="18F40376">
            <w:pPr>
              <w:pStyle w:val="116"/>
              <w:ind w:firstLine="420"/>
              <w:rPr>
                <w:rFonts w:cs="宋体"/>
                <w:color w:val="auto"/>
              </w:rPr>
            </w:pPr>
            <w:r>
              <w:rPr>
                <w:rFonts w:hint="eastAsia" w:cs="宋体"/>
                <w:color w:val="auto"/>
              </w:rPr>
              <w:t>综上所述，本项目不会对地下水和土壤环境产生明显影响。</w:t>
            </w:r>
          </w:p>
          <w:p w14:paraId="27049A5C">
            <w:pPr>
              <w:pStyle w:val="122"/>
              <w:rPr>
                <w:color w:val="auto"/>
              </w:rPr>
            </w:pPr>
            <w:r>
              <w:rPr>
                <w:rFonts w:hint="eastAsia"/>
                <w:color w:val="auto"/>
              </w:rPr>
              <w:t>6、生态环境影响分析</w:t>
            </w:r>
          </w:p>
          <w:p w14:paraId="068185DE">
            <w:pPr>
              <w:pStyle w:val="116"/>
              <w:ind w:firstLine="420"/>
              <w:rPr>
                <w:rFonts w:cs="宋体"/>
                <w:color w:val="auto"/>
              </w:rPr>
            </w:pPr>
            <w:r>
              <w:rPr>
                <w:rFonts w:hint="eastAsia"/>
                <w:color w:val="auto"/>
                <w:kern w:val="0"/>
              </w:rPr>
              <w:t>本项目</w:t>
            </w:r>
            <w:r>
              <w:rPr>
                <w:rFonts w:hint="eastAsia" w:cs="宋体"/>
                <w:color w:val="auto"/>
                <w:kern w:val="0"/>
              </w:rPr>
              <w:t>利用厂区空地进行项目建设</w:t>
            </w:r>
            <w:r>
              <w:rPr>
                <w:rFonts w:hint="eastAsia" w:cs="宋体"/>
                <w:color w:val="auto"/>
              </w:rPr>
              <w:t>，用地范围内无生态环境保护目标，可不开展生态环境影响分析。</w:t>
            </w:r>
          </w:p>
          <w:p w14:paraId="61FD1FA9">
            <w:pPr>
              <w:pStyle w:val="122"/>
              <w:rPr>
                <w:color w:val="auto"/>
              </w:rPr>
            </w:pPr>
            <w:r>
              <w:rPr>
                <w:rFonts w:hint="eastAsia"/>
                <w:color w:val="auto"/>
              </w:rPr>
              <w:t>7、环境风险分析</w:t>
            </w:r>
          </w:p>
          <w:p w14:paraId="08837F98">
            <w:pPr>
              <w:pStyle w:val="119"/>
              <w:rPr>
                <w:rFonts w:cs="宋体"/>
                <w:color w:val="auto"/>
              </w:rPr>
            </w:pPr>
            <w:r>
              <w:rPr>
                <w:rFonts w:hint="eastAsia" w:cs="宋体"/>
                <w:color w:val="auto"/>
              </w:rPr>
              <w:t>7.1 环境风险识别</w:t>
            </w:r>
          </w:p>
          <w:p w14:paraId="48EDB85D">
            <w:pPr>
              <w:pStyle w:val="119"/>
              <w:rPr>
                <w:rFonts w:cs="宋体"/>
                <w:color w:val="auto"/>
              </w:rPr>
            </w:pPr>
            <w:r>
              <w:rPr>
                <w:rFonts w:hint="eastAsia" w:cs="宋体"/>
                <w:color w:val="auto"/>
              </w:rPr>
              <w:t>（1）物质危险性识别</w:t>
            </w:r>
          </w:p>
          <w:p w14:paraId="50FE6BBA">
            <w:pPr>
              <w:pStyle w:val="116"/>
              <w:ind w:firstLine="420"/>
              <w:rPr>
                <w:color w:val="auto"/>
              </w:rPr>
            </w:pPr>
            <w:r>
              <w:rPr>
                <w:rFonts w:hint="eastAsia"/>
                <w:color w:val="auto"/>
              </w:rPr>
              <w:t>根据《建设项目环境风险评价技术导则》（HJ169-2018）附录B“重点关注的危险物质及临界量”及《危险化学品重大危险源辨识》（GB</w:t>
            </w:r>
            <w:r>
              <w:rPr>
                <w:color w:val="auto"/>
              </w:rPr>
              <w:t>18218-2018</w:t>
            </w:r>
            <w:r>
              <w:rPr>
                <w:rFonts w:hint="eastAsia"/>
                <w:color w:val="auto"/>
              </w:rPr>
              <w:t>），本项目原辅料涉及的危险物质为润滑油</w:t>
            </w:r>
            <w:r>
              <w:rPr>
                <w:rFonts w:hint="eastAsia"/>
                <w:color w:val="auto"/>
                <w:lang w:eastAsia="zh-CN"/>
              </w:rPr>
              <w:t>、</w:t>
            </w:r>
            <w:r>
              <w:rPr>
                <w:rFonts w:hint="eastAsia"/>
                <w:color w:val="auto"/>
                <w:lang w:val="en-US" w:eastAsia="zh-CN"/>
              </w:rPr>
              <w:t>液压油、天然气</w:t>
            </w:r>
            <w:r>
              <w:rPr>
                <w:rFonts w:hint="eastAsia"/>
                <w:color w:val="auto"/>
              </w:rPr>
              <w:t>；</w:t>
            </w:r>
            <w:r>
              <w:rPr>
                <w:color w:val="auto"/>
              </w:rPr>
              <w:t>危</w:t>
            </w:r>
            <w:r>
              <w:rPr>
                <w:rFonts w:hint="eastAsia"/>
                <w:color w:val="auto"/>
              </w:rPr>
              <w:t>险废物中涉及的危险物质为</w:t>
            </w:r>
            <w:r>
              <w:rPr>
                <w:rFonts w:hint="eastAsia"/>
                <w:color w:val="auto"/>
                <w:lang w:eastAsia="zh-CN"/>
              </w:rPr>
              <w:t>废润滑油、废液压油、废油桶、</w:t>
            </w:r>
            <w:r>
              <w:rPr>
                <w:rFonts w:hint="eastAsia" w:hAnsi="宋体"/>
                <w:bCs/>
                <w:color w:val="auto"/>
                <w:szCs w:val="21"/>
              </w:rPr>
              <w:t>废含油抹布</w:t>
            </w:r>
            <w:r>
              <w:rPr>
                <w:rFonts w:hint="eastAsia"/>
                <w:color w:val="auto"/>
              </w:rPr>
              <w:t>，本项目危险物质具有毒性及易燃性。</w:t>
            </w:r>
          </w:p>
          <w:p w14:paraId="7AD9768B">
            <w:pPr>
              <w:pStyle w:val="116"/>
              <w:ind w:firstLine="420"/>
              <w:rPr>
                <w:color w:val="auto"/>
              </w:rPr>
            </w:pPr>
            <w:r>
              <w:rPr>
                <w:rFonts w:hint="eastAsia"/>
                <w:color w:val="auto"/>
              </w:rPr>
              <w:t>本项目危险物质危险性及主要分布情况如下。</w:t>
            </w:r>
          </w:p>
          <w:p w14:paraId="60F238D7">
            <w:pPr>
              <w:pStyle w:val="10"/>
              <w:rPr>
                <w:color w:val="auto"/>
              </w:rPr>
            </w:pPr>
            <w:r>
              <w:rPr>
                <w:rFonts w:hint="eastAsia"/>
                <w:color w:val="auto"/>
              </w:rPr>
              <w:t>表4</w:t>
            </w:r>
            <w:r>
              <w:rPr>
                <w:rFonts w:hint="eastAsia"/>
                <w:color w:val="auto"/>
                <w:lang w:eastAsia="zh-CN"/>
              </w:rPr>
              <w:t>-</w:t>
            </w:r>
            <w:r>
              <w:rPr>
                <w:rFonts w:hint="eastAsia"/>
                <w:color w:val="auto"/>
                <w:lang w:val="en-US" w:eastAsia="zh-CN"/>
              </w:rPr>
              <w:t>20</w:t>
            </w:r>
            <w:r>
              <w:rPr>
                <w:rFonts w:hint="eastAsia"/>
                <w:color w:val="auto"/>
              </w:rPr>
              <w:t>危险物质识别一览表</w:t>
            </w:r>
          </w:p>
          <w:tbl>
            <w:tblPr>
              <w:tblStyle w:val="3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14"/>
              <w:gridCol w:w="1997"/>
              <w:gridCol w:w="2635"/>
              <w:gridCol w:w="2582"/>
            </w:tblGrid>
            <w:tr w14:paraId="2E9034B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506" w:type="pct"/>
                  <w:vAlign w:val="center"/>
                </w:tcPr>
                <w:p w14:paraId="7223C122">
                  <w:pPr>
                    <w:pStyle w:val="116"/>
                    <w:spacing w:line="240" w:lineRule="auto"/>
                    <w:ind w:firstLine="0" w:firstLineChars="0"/>
                    <w:jc w:val="center"/>
                    <w:rPr>
                      <w:color w:val="auto"/>
                    </w:rPr>
                  </w:pPr>
                  <w:r>
                    <w:rPr>
                      <w:rFonts w:hint="eastAsia"/>
                      <w:color w:val="auto"/>
                    </w:rPr>
                    <w:t>序号</w:t>
                  </w:r>
                </w:p>
              </w:tc>
              <w:tc>
                <w:tcPr>
                  <w:tcW w:w="1243" w:type="pct"/>
                  <w:vAlign w:val="center"/>
                </w:tcPr>
                <w:p w14:paraId="61D69D79">
                  <w:pPr>
                    <w:pStyle w:val="116"/>
                    <w:spacing w:line="240" w:lineRule="auto"/>
                    <w:ind w:firstLine="0" w:firstLineChars="0"/>
                    <w:jc w:val="center"/>
                    <w:rPr>
                      <w:color w:val="auto"/>
                    </w:rPr>
                  </w:pPr>
                  <w:r>
                    <w:rPr>
                      <w:rFonts w:hint="eastAsia"/>
                      <w:color w:val="auto"/>
                    </w:rPr>
                    <w:t>危险物质名称</w:t>
                  </w:r>
                </w:p>
              </w:tc>
              <w:tc>
                <w:tcPr>
                  <w:tcW w:w="1641" w:type="pct"/>
                  <w:vAlign w:val="center"/>
                </w:tcPr>
                <w:p w14:paraId="038B0FA2">
                  <w:pPr>
                    <w:pStyle w:val="116"/>
                    <w:spacing w:line="240" w:lineRule="auto"/>
                    <w:ind w:firstLine="0" w:firstLineChars="0"/>
                    <w:jc w:val="center"/>
                    <w:rPr>
                      <w:color w:val="auto"/>
                    </w:rPr>
                  </w:pPr>
                  <w:r>
                    <w:rPr>
                      <w:rFonts w:hint="eastAsia"/>
                      <w:color w:val="auto"/>
                    </w:rPr>
                    <w:t>危险性</w:t>
                  </w:r>
                </w:p>
              </w:tc>
              <w:tc>
                <w:tcPr>
                  <w:tcW w:w="1608" w:type="pct"/>
                  <w:vAlign w:val="center"/>
                </w:tcPr>
                <w:p w14:paraId="43A0D0A0">
                  <w:pPr>
                    <w:pStyle w:val="116"/>
                    <w:spacing w:line="240" w:lineRule="auto"/>
                    <w:ind w:firstLine="0" w:firstLineChars="0"/>
                    <w:jc w:val="center"/>
                    <w:rPr>
                      <w:color w:val="auto"/>
                    </w:rPr>
                  </w:pPr>
                  <w:r>
                    <w:rPr>
                      <w:rFonts w:hint="eastAsia"/>
                      <w:color w:val="auto"/>
                    </w:rPr>
                    <w:t>分布</w:t>
                  </w:r>
                </w:p>
              </w:tc>
            </w:tr>
            <w:tr w14:paraId="11D9447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506" w:type="pct"/>
                  <w:vAlign w:val="center"/>
                </w:tcPr>
                <w:p w14:paraId="71752A06">
                  <w:pPr>
                    <w:pStyle w:val="116"/>
                    <w:spacing w:line="240" w:lineRule="auto"/>
                    <w:ind w:firstLine="0" w:firstLineChars="0"/>
                    <w:jc w:val="center"/>
                    <w:rPr>
                      <w:color w:val="auto"/>
                    </w:rPr>
                  </w:pPr>
                  <w:r>
                    <w:rPr>
                      <w:rFonts w:hint="eastAsia"/>
                      <w:color w:val="auto"/>
                    </w:rPr>
                    <w:t>1</w:t>
                  </w:r>
                </w:p>
              </w:tc>
              <w:tc>
                <w:tcPr>
                  <w:tcW w:w="1243" w:type="pct"/>
                  <w:vAlign w:val="center"/>
                </w:tcPr>
                <w:p w14:paraId="05F0F838">
                  <w:pPr>
                    <w:pStyle w:val="116"/>
                    <w:spacing w:line="240" w:lineRule="auto"/>
                    <w:ind w:firstLine="0" w:firstLineChars="0"/>
                    <w:jc w:val="center"/>
                    <w:rPr>
                      <w:color w:val="auto"/>
                    </w:rPr>
                  </w:pPr>
                  <w:r>
                    <w:rPr>
                      <w:rFonts w:hint="eastAsia"/>
                      <w:color w:val="auto"/>
                    </w:rPr>
                    <w:t>润滑油</w:t>
                  </w:r>
                </w:p>
              </w:tc>
              <w:tc>
                <w:tcPr>
                  <w:tcW w:w="1641" w:type="pct"/>
                  <w:vAlign w:val="center"/>
                </w:tcPr>
                <w:p w14:paraId="517CAD93">
                  <w:pPr>
                    <w:pStyle w:val="116"/>
                    <w:spacing w:line="240" w:lineRule="auto"/>
                    <w:ind w:firstLine="0" w:firstLineChars="0"/>
                    <w:jc w:val="center"/>
                    <w:rPr>
                      <w:color w:val="auto"/>
                    </w:rPr>
                  </w:pPr>
                  <w:r>
                    <w:rPr>
                      <w:rFonts w:hint="eastAsia"/>
                      <w:color w:val="auto"/>
                    </w:rPr>
                    <w:t>毒性、易燃性</w:t>
                  </w:r>
                </w:p>
              </w:tc>
              <w:tc>
                <w:tcPr>
                  <w:tcW w:w="1608" w:type="pct"/>
                  <w:vAlign w:val="center"/>
                </w:tcPr>
                <w:p w14:paraId="1B6AE97D">
                  <w:pPr>
                    <w:pStyle w:val="116"/>
                    <w:spacing w:line="240" w:lineRule="auto"/>
                    <w:ind w:firstLine="0" w:firstLineChars="0"/>
                    <w:jc w:val="center"/>
                    <w:rPr>
                      <w:color w:val="auto"/>
                    </w:rPr>
                  </w:pPr>
                  <w:r>
                    <w:rPr>
                      <w:rFonts w:hint="eastAsia"/>
                      <w:color w:val="auto"/>
                    </w:rPr>
                    <w:t>使用设备、原料存储区</w:t>
                  </w:r>
                </w:p>
              </w:tc>
            </w:tr>
            <w:tr w14:paraId="26D0E08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506" w:type="pct"/>
                  <w:shd w:val="clear" w:color="auto" w:fill="auto"/>
                  <w:vAlign w:val="center"/>
                </w:tcPr>
                <w:p w14:paraId="6E8D14F7">
                  <w:pPr>
                    <w:pStyle w:val="116"/>
                    <w:spacing w:line="240" w:lineRule="auto"/>
                    <w:ind w:firstLine="0" w:firstLineChars="0"/>
                    <w:jc w:val="center"/>
                    <w:rPr>
                      <w:rFonts w:hint="eastAsia" w:ascii="Times New Roman" w:hAnsi="Times New Roman" w:eastAsia="宋体" w:cs="Times New Roman"/>
                      <w:bCs/>
                      <w:color w:val="auto"/>
                      <w:kern w:val="2"/>
                      <w:sz w:val="21"/>
                      <w:szCs w:val="21"/>
                      <w:lang w:val="en-US" w:eastAsia="zh-CN" w:bidi="ar-SA"/>
                    </w:rPr>
                  </w:pPr>
                  <w:r>
                    <w:rPr>
                      <w:rFonts w:hint="eastAsia"/>
                      <w:color w:val="auto"/>
                    </w:rPr>
                    <w:t>2</w:t>
                  </w:r>
                </w:p>
              </w:tc>
              <w:tc>
                <w:tcPr>
                  <w:tcW w:w="1243" w:type="pct"/>
                  <w:vAlign w:val="center"/>
                </w:tcPr>
                <w:p w14:paraId="24E6CB30">
                  <w:pPr>
                    <w:pStyle w:val="116"/>
                    <w:spacing w:line="240" w:lineRule="auto"/>
                    <w:ind w:firstLine="0" w:firstLineChars="0"/>
                    <w:jc w:val="center"/>
                    <w:rPr>
                      <w:rFonts w:hint="eastAsia" w:eastAsia="宋体"/>
                      <w:color w:val="auto"/>
                      <w:lang w:val="en-US" w:eastAsia="zh-CN"/>
                    </w:rPr>
                  </w:pPr>
                  <w:r>
                    <w:rPr>
                      <w:rFonts w:hint="eastAsia"/>
                      <w:color w:val="auto"/>
                      <w:lang w:val="en-US" w:eastAsia="zh-CN"/>
                    </w:rPr>
                    <w:t>液压油</w:t>
                  </w:r>
                </w:p>
              </w:tc>
              <w:tc>
                <w:tcPr>
                  <w:tcW w:w="1641" w:type="pct"/>
                  <w:shd w:val="clear" w:color="auto" w:fill="auto"/>
                  <w:vAlign w:val="center"/>
                </w:tcPr>
                <w:p w14:paraId="179D4EAF">
                  <w:pPr>
                    <w:pStyle w:val="116"/>
                    <w:spacing w:line="240" w:lineRule="auto"/>
                    <w:ind w:firstLine="0" w:firstLineChars="0"/>
                    <w:jc w:val="center"/>
                    <w:rPr>
                      <w:rFonts w:hint="eastAsia" w:ascii="Times New Roman" w:hAnsi="Times New Roman" w:eastAsia="宋体" w:cs="Times New Roman"/>
                      <w:bCs/>
                      <w:color w:val="auto"/>
                      <w:kern w:val="2"/>
                      <w:sz w:val="21"/>
                      <w:szCs w:val="21"/>
                      <w:lang w:val="en-US" w:eastAsia="zh-CN" w:bidi="ar-SA"/>
                    </w:rPr>
                  </w:pPr>
                  <w:r>
                    <w:rPr>
                      <w:rFonts w:hint="eastAsia"/>
                      <w:color w:val="auto"/>
                    </w:rPr>
                    <w:t>毒性、易燃性</w:t>
                  </w:r>
                </w:p>
              </w:tc>
              <w:tc>
                <w:tcPr>
                  <w:tcW w:w="1608" w:type="pct"/>
                  <w:shd w:val="clear" w:color="auto" w:fill="auto"/>
                  <w:vAlign w:val="center"/>
                </w:tcPr>
                <w:p w14:paraId="66A2DAE3">
                  <w:pPr>
                    <w:pStyle w:val="116"/>
                    <w:spacing w:line="240" w:lineRule="auto"/>
                    <w:ind w:firstLine="0" w:firstLineChars="0"/>
                    <w:jc w:val="center"/>
                    <w:rPr>
                      <w:rFonts w:hint="eastAsia" w:ascii="Times New Roman" w:hAnsi="Times New Roman" w:eastAsia="宋体" w:cs="Times New Roman"/>
                      <w:bCs/>
                      <w:color w:val="auto"/>
                      <w:kern w:val="2"/>
                      <w:sz w:val="21"/>
                      <w:szCs w:val="21"/>
                      <w:lang w:val="en-US" w:eastAsia="zh-CN" w:bidi="ar-SA"/>
                    </w:rPr>
                  </w:pPr>
                  <w:r>
                    <w:rPr>
                      <w:rFonts w:hint="eastAsia"/>
                      <w:color w:val="auto"/>
                    </w:rPr>
                    <w:t>使用设备、原料存储区</w:t>
                  </w:r>
                </w:p>
              </w:tc>
            </w:tr>
            <w:tr w14:paraId="3E7AE5A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506" w:type="pct"/>
                  <w:shd w:val="clear" w:color="auto" w:fill="auto"/>
                  <w:vAlign w:val="center"/>
                </w:tcPr>
                <w:p w14:paraId="1002016D">
                  <w:pPr>
                    <w:pStyle w:val="116"/>
                    <w:spacing w:line="240" w:lineRule="auto"/>
                    <w:ind w:firstLine="0" w:firstLineChars="0"/>
                    <w:jc w:val="center"/>
                    <w:rPr>
                      <w:rFonts w:hint="eastAsia" w:ascii="Times New Roman" w:hAnsi="Times New Roman" w:eastAsia="宋体" w:cs="Times New Roman"/>
                      <w:bCs/>
                      <w:color w:val="auto"/>
                      <w:kern w:val="2"/>
                      <w:sz w:val="21"/>
                      <w:szCs w:val="21"/>
                      <w:lang w:val="en-US" w:eastAsia="zh-CN" w:bidi="ar-SA"/>
                    </w:rPr>
                  </w:pPr>
                  <w:r>
                    <w:rPr>
                      <w:rFonts w:hint="eastAsia"/>
                      <w:color w:val="auto"/>
                    </w:rPr>
                    <w:t>3</w:t>
                  </w:r>
                </w:p>
              </w:tc>
              <w:tc>
                <w:tcPr>
                  <w:tcW w:w="1243" w:type="pct"/>
                  <w:vAlign w:val="center"/>
                </w:tcPr>
                <w:p w14:paraId="7C5EA6C3">
                  <w:pPr>
                    <w:pStyle w:val="116"/>
                    <w:spacing w:line="240" w:lineRule="auto"/>
                    <w:ind w:firstLine="0" w:firstLineChars="0"/>
                    <w:jc w:val="center"/>
                    <w:rPr>
                      <w:rFonts w:hint="default"/>
                      <w:color w:val="auto"/>
                      <w:lang w:val="en-US" w:eastAsia="zh-CN"/>
                    </w:rPr>
                  </w:pPr>
                  <w:r>
                    <w:rPr>
                      <w:rFonts w:hint="eastAsia"/>
                      <w:color w:val="auto"/>
                      <w:lang w:val="en-US" w:eastAsia="zh-CN"/>
                    </w:rPr>
                    <w:t>天然气</w:t>
                  </w:r>
                </w:p>
              </w:tc>
              <w:tc>
                <w:tcPr>
                  <w:tcW w:w="1641" w:type="pct"/>
                  <w:shd w:val="clear" w:color="auto" w:fill="auto"/>
                  <w:vAlign w:val="center"/>
                </w:tcPr>
                <w:p w14:paraId="62A057A1">
                  <w:pPr>
                    <w:pStyle w:val="116"/>
                    <w:spacing w:line="240" w:lineRule="auto"/>
                    <w:ind w:firstLine="0" w:firstLineChars="0"/>
                    <w:jc w:val="center"/>
                    <w:rPr>
                      <w:rFonts w:hint="eastAsia"/>
                      <w:color w:val="auto"/>
                    </w:rPr>
                  </w:pPr>
                  <w:r>
                    <w:rPr>
                      <w:rFonts w:hint="eastAsia"/>
                      <w:color w:val="auto"/>
                    </w:rPr>
                    <w:t>易燃</w:t>
                  </w:r>
                  <w:r>
                    <w:rPr>
                      <w:rFonts w:hint="eastAsia"/>
                      <w:color w:val="auto"/>
                      <w:lang w:eastAsia="zh-CN"/>
                    </w:rPr>
                    <w:t>、</w:t>
                  </w:r>
                  <w:r>
                    <w:rPr>
                      <w:rFonts w:hint="eastAsia"/>
                      <w:color w:val="auto"/>
                      <w:lang w:val="en-US" w:eastAsia="zh-CN"/>
                    </w:rPr>
                    <w:t>易爆</w:t>
                  </w:r>
                  <w:r>
                    <w:rPr>
                      <w:rFonts w:hint="eastAsia"/>
                      <w:color w:val="auto"/>
                    </w:rPr>
                    <w:t>性</w:t>
                  </w:r>
                </w:p>
              </w:tc>
              <w:tc>
                <w:tcPr>
                  <w:tcW w:w="1608" w:type="pct"/>
                  <w:shd w:val="clear" w:color="auto" w:fill="auto"/>
                  <w:vAlign w:val="center"/>
                </w:tcPr>
                <w:p w14:paraId="6D867CF9">
                  <w:pPr>
                    <w:pStyle w:val="116"/>
                    <w:spacing w:line="240" w:lineRule="auto"/>
                    <w:ind w:firstLine="0" w:firstLineChars="0"/>
                    <w:jc w:val="center"/>
                    <w:rPr>
                      <w:rFonts w:hint="eastAsia" w:eastAsia="宋体"/>
                      <w:color w:val="auto"/>
                      <w:lang w:val="en-US" w:eastAsia="zh-CN"/>
                    </w:rPr>
                  </w:pPr>
                  <w:r>
                    <w:rPr>
                      <w:rFonts w:hint="eastAsia"/>
                      <w:color w:val="auto"/>
                      <w:lang w:val="en-US" w:eastAsia="zh-CN"/>
                    </w:rPr>
                    <w:t>管道</w:t>
                  </w:r>
                </w:p>
              </w:tc>
            </w:tr>
            <w:tr w14:paraId="762BED3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506" w:type="pct"/>
                  <w:shd w:val="clear" w:color="auto" w:fill="auto"/>
                  <w:vAlign w:val="center"/>
                </w:tcPr>
                <w:p w14:paraId="6571D5BA">
                  <w:pPr>
                    <w:pStyle w:val="116"/>
                    <w:spacing w:line="240" w:lineRule="auto"/>
                    <w:ind w:firstLine="0" w:firstLineChars="0"/>
                    <w:jc w:val="center"/>
                    <w:rPr>
                      <w:rFonts w:hint="eastAsia" w:ascii="Times New Roman" w:hAnsi="Times New Roman" w:eastAsia="宋体" w:cs="Times New Roman"/>
                      <w:bCs/>
                      <w:color w:val="auto"/>
                      <w:kern w:val="2"/>
                      <w:sz w:val="21"/>
                      <w:szCs w:val="21"/>
                      <w:lang w:val="en-US" w:eastAsia="zh-CN" w:bidi="ar-SA"/>
                    </w:rPr>
                  </w:pPr>
                  <w:r>
                    <w:rPr>
                      <w:rFonts w:hint="eastAsia"/>
                      <w:color w:val="auto"/>
                      <w:lang w:val="en-US" w:eastAsia="zh-CN"/>
                    </w:rPr>
                    <w:t>4</w:t>
                  </w:r>
                </w:p>
              </w:tc>
              <w:tc>
                <w:tcPr>
                  <w:tcW w:w="1243" w:type="pct"/>
                  <w:vAlign w:val="center"/>
                </w:tcPr>
                <w:p w14:paraId="7CF11504">
                  <w:pPr>
                    <w:pStyle w:val="116"/>
                    <w:spacing w:line="240" w:lineRule="auto"/>
                    <w:ind w:firstLine="0" w:firstLineChars="0"/>
                    <w:jc w:val="center"/>
                    <w:rPr>
                      <w:color w:val="auto"/>
                    </w:rPr>
                  </w:pPr>
                  <w:r>
                    <w:rPr>
                      <w:rFonts w:hint="eastAsia"/>
                      <w:color w:val="auto"/>
                    </w:rPr>
                    <w:t>废润滑油</w:t>
                  </w:r>
                </w:p>
              </w:tc>
              <w:tc>
                <w:tcPr>
                  <w:tcW w:w="1641" w:type="pct"/>
                  <w:vAlign w:val="center"/>
                </w:tcPr>
                <w:p w14:paraId="1B4C40F0">
                  <w:pPr>
                    <w:pStyle w:val="116"/>
                    <w:spacing w:line="240" w:lineRule="auto"/>
                    <w:ind w:firstLine="0" w:firstLineChars="0"/>
                    <w:jc w:val="center"/>
                    <w:rPr>
                      <w:color w:val="auto"/>
                    </w:rPr>
                  </w:pPr>
                  <w:r>
                    <w:rPr>
                      <w:rFonts w:hint="eastAsia"/>
                      <w:color w:val="auto"/>
                    </w:rPr>
                    <w:t>毒性、易燃性</w:t>
                  </w:r>
                </w:p>
              </w:tc>
              <w:tc>
                <w:tcPr>
                  <w:tcW w:w="1608" w:type="pct"/>
                  <w:vAlign w:val="center"/>
                </w:tcPr>
                <w:p w14:paraId="4B1E7378">
                  <w:pPr>
                    <w:pStyle w:val="116"/>
                    <w:spacing w:line="240" w:lineRule="auto"/>
                    <w:ind w:firstLine="0" w:firstLineChars="0"/>
                    <w:jc w:val="center"/>
                    <w:rPr>
                      <w:color w:val="auto"/>
                    </w:rPr>
                  </w:pPr>
                  <w:r>
                    <w:rPr>
                      <w:rFonts w:hint="eastAsia"/>
                      <w:color w:val="auto"/>
                    </w:rPr>
                    <w:t>危废暂存间</w:t>
                  </w:r>
                </w:p>
              </w:tc>
            </w:tr>
            <w:tr w14:paraId="28AE02D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506" w:type="pct"/>
                  <w:shd w:val="clear" w:color="auto" w:fill="auto"/>
                  <w:vAlign w:val="center"/>
                </w:tcPr>
                <w:p w14:paraId="7380EFB3">
                  <w:pPr>
                    <w:pStyle w:val="116"/>
                    <w:spacing w:line="240" w:lineRule="auto"/>
                    <w:ind w:firstLine="0" w:firstLineChars="0"/>
                    <w:jc w:val="center"/>
                    <w:rPr>
                      <w:rFonts w:hint="eastAsia" w:ascii="Times New Roman" w:hAnsi="Times New Roman" w:eastAsia="宋体" w:cs="Times New Roman"/>
                      <w:bCs/>
                      <w:color w:val="auto"/>
                      <w:kern w:val="2"/>
                      <w:sz w:val="21"/>
                      <w:szCs w:val="21"/>
                      <w:lang w:val="en-US" w:eastAsia="zh-CN" w:bidi="ar-SA"/>
                    </w:rPr>
                  </w:pPr>
                  <w:r>
                    <w:rPr>
                      <w:rFonts w:hint="eastAsia"/>
                      <w:color w:val="auto"/>
                      <w:lang w:val="en-US" w:eastAsia="zh-CN"/>
                    </w:rPr>
                    <w:t>5</w:t>
                  </w:r>
                </w:p>
              </w:tc>
              <w:tc>
                <w:tcPr>
                  <w:tcW w:w="1243" w:type="pct"/>
                  <w:vAlign w:val="center"/>
                </w:tcPr>
                <w:p w14:paraId="6117D20A">
                  <w:pPr>
                    <w:pStyle w:val="116"/>
                    <w:spacing w:line="240" w:lineRule="auto"/>
                    <w:ind w:firstLine="0" w:firstLineChars="0"/>
                    <w:jc w:val="center"/>
                    <w:rPr>
                      <w:color w:val="auto"/>
                    </w:rPr>
                  </w:pPr>
                  <w:r>
                    <w:rPr>
                      <w:rFonts w:hint="eastAsia"/>
                      <w:color w:val="auto"/>
                      <w:lang w:eastAsia="zh-CN"/>
                    </w:rPr>
                    <w:t>废液压油</w:t>
                  </w:r>
                </w:p>
              </w:tc>
              <w:tc>
                <w:tcPr>
                  <w:tcW w:w="1641" w:type="pct"/>
                  <w:shd w:val="clear" w:color="auto" w:fill="auto"/>
                  <w:vAlign w:val="center"/>
                </w:tcPr>
                <w:p w14:paraId="72A845E5">
                  <w:pPr>
                    <w:pStyle w:val="116"/>
                    <w:spacing w:line="240" w:lineRule="auto"/>
                    <w:ind w:firstLine="0" w:firstLineChars="0"/>
                    <w:jc w:val="center"/>
                    <w:rPr>
                      <w:rFonts w:hint="eastAsia" w:ascii="Times New Roman" w:hAnsi="Times New Roman" w:eastAsia="宋体" w:cs="Times New Roman"/>
                      <w:bCs/>
                      <w:color w:val="auto"/>
                      <w:kern w:val="2"/>
                      <w:sz w:val="21"/>
                      <w:szCs w:val="21"/>
                      <w:lang w:val="en-US" w:eastAsia="zh-CN" w:bidi="ar-SA"/>
                    </w:rPr>
                  </w:pPr>
                  <w:r>
                    <w:rPr>
                      <w:rFonts w:hint="eastAsia"/>
                      <w:color w:val="auto"/>
                    </w:rPr>
                    <w:t>毒性、易燃性</w:t>
                  </w:r>
                </w:p>
              </w:tc>
              <w:tc>
                <w:tcPr>
                  <w:tcW w:w="1608" w:type="pct"/>
                  <w:shd w:val="clear" w:color="auto" w:fill="auto"/>
                  <w:vAlign w:val="center"/>
                </w:tcPr>
                <w:p w14:paraId="5D1EB6F9">
                  <w:pPr>
                    <w:pStyle w:val="116"/>
                    <w:spacing w:line="240" w:lineRule="auto"/>
                    <w:ind w:firstLine="0" w:firstLineChars="0"/>
                    <w:jc w:val="center"/>
                    <w:rPr>
                      <w:rFonts w:hint="eastAsia" w:ascii="Times New Roman" w:hAnsi="Times New Roman" w:eastAsia="宋体" w:cs="Times New Roman"/>
                      <w:bCs/>
                      <w:color w:val="auto"/>
                      <w:kern w:val="2"/>
                      <w:sz w:val="21"/>
                      <w:szCs w:val="21"/>
                      <w:lang w:val="en-US" w:eastAsia="zh-CN" w:bidi="ar-SA"/>
                    </w:rPr>
                  </w:pPr>
                  <w:r>
                    <w:rPr>
                      <w:rFonts w:hint="eastAsia"/>
                      <w:color w:val="auto"/>
                    </w:rPr>
                    <w:t>危废暂存间</w:t>
                  </w:r>
                </w:p>
              </w:tc>
            </w:tr>
            <w:tr w14:paraId="568B3B6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506" w:type="pct"/>
                  <w:shd w:val="clear" w:color="auto" w:fill="auto"/>
                  <w:vAlign w:val="center"/>
                </w:tcPr>
                <w:p w14:paraId="1D1870B6">
                  <w:pPr>
                    <w:pStyle w:val="116"/>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olor w:val="auto"/>
                      <w:lang w:val="en-US" w:eastAsia="zh-CN"/>
                    </w:rPr>
                    <w:t>6</w:t>
                  </w:r>
                </w:p>
              </w:tc>
              <w:tc>
                <w:tcPr>
                  <w:tcW w:w="1243" w:type="pct"/>
                  <w:shd w:val="clear" w:color="auto" w:fill="auto"/>
                  <w:vAlign w:val="center"/>
                </w:tcPr>
                <w:p w14:paraId="6707C257">
                  <w:pPr>
                    <w:pStyle w:val="116"/>
                    <w:spacing w:line="240" w:lineRule="auto"/>
                    <w:ind w:firstLine="0" w:firstLineChars="0"/>
                    <w:jc w:val="center"/>
                    <w:rPr>
                      <w:rFonts w:hint="eastAsia" w:ascii="Times New Roman" w:hAnsi="Times New Roman" w:eastAsia="宋体" w:cs="Times New Roman"/>
                      <w:bCs/>
                      <w:color w:val="auto"/>
                      <w:kern w:val="2"/>
                      <w:sz w:val="21"/>
                      <w:szCs w:val="21"/>
                      <w:lang w:val="en-US" w:eastAsia="zh-CN" w:bidi="ar-SA"/>
                    </w:rPr>
                  </w:pPr>
                  <w:r>
                    <w:rPr>
                      <w:rFonts w:hint="eastAsia"/>
                      <w:color w:val="auto"/>
                    </w:rPr>
                    <w:t>废油桶</w:t>
                  </w:r>
                </w:p>
              </w:tc>
              <w:tc>
                <w:tcPr>
                  <w:tcW w:w="1641" w:type="pct"/>
                  <w:shd w:val="clear" w:color="auto" w:fill="auto"/>
                  <w:vAlign w:val="center"/>
                </w:tcPr>
                <w:p w14:paraId="5146D780">
                  <w:pPr>
                    <w:pStyle w:val="116"/>
                    <w:spacing w:line="240" w:lineRule="auto"/>
                    <w:ind w:firstLine="0" w:firstLineChars="0"/>
                    <w:jc w:val="center"/>
                    <w:rPr>
                      <w:rFonts w:hint="eastAsia" w:ascii="Times New Roman" w:hAnsi="Times New Roman" w:eastAsia="宋体" w:cs="Times New Roman"/>
                      <w:bCs/>
                      <w:color w:val="auto"/>
                      <w:kern w:val="2"/>
                      <w:sz w:val="21"/>
                      <w:szCs w:val="21"/>
                      <w:lang w:val="en-US" w:eastAsia="zh-CN" w:bidi="ar-SA"/>
                    </w:rPr>
                  </w:pPr>
                  <w:r>
                    <w:rPr>
                      <w:rFonts w:hint="eastAsia"/>
                      <w:color w:val="auto"/>
                    </w:rPr>
                    <w:t>毒性、易燃性</w:t>
                  </w:r>
                </w:p>
              </w:tc>
              <w:tc>
                <w:tcPr>
                  <w:tcW w:w="1608" w:type="pct"/>
                  <w:shd w:val="clear" w:color="auto" w:fill="auto"/>
                  <w:vAlign w:val="center"/>
                </w:tcPr>
                <w:p w14:paraId="3EC803FA">
                  <w:pPr>
                    <w:pStyle w:val="116"/>
                    <w:spacing w:line="240" w:lineRule="auto"/>
                    <w:ind w:firstLine="0" w:firstLineChars="0"/>
                    <w:jc w:val="center"/>
                    <w:rPr>
                      <w:rFonts w:hint="eastAsia" w:ascii="Times New Roman" w:hAnsi="Times New Roman" w:eastAsia="宋体" w:cs="Times New Roman"/>
                      <w:bCs/>
                      <w:color w:val="auto"/>
                      <w:kern w:val="2"/>
                      <w:sz w:val="21"/>
                      <w:szCs w:val="21"/>
                      <w:lang w:val="en-US" w:eastAsia="zh-CN" w:bidi="ar-SA"/>
                    </w:rPr>
                  </w:pPr>
                  <w:r>
                    <w:rPr>
                      <w:rFonts w:hint="eastAsia"/>
                      <w:color w:val="auto"/>
                    </w:rPr>
                    <w:t>危废暂存间</w:t>
                  </w:r>
                </w:p>
              </w:tc>
            </w:tr>
            <w:tr w14:paraId="57B52B0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506" w:type="pct"/>
                  <w:vAlign w:val="center"/>
                </w:tcPr>
                <w:p w14:paraId="19BB19B7">
                  <w:pPr>
                    <w:pStyle w:val="116"/>
                    <w:spacing w:line="240" w:lineRule="auto"/>
                    <w:ind w:firstLine="0" w:firstLineChars="0"/>
                    <w:jc w:val="center"/>
                    <w:rPr>
                      <w:rFonts w:hint="default"/>
                      <w:color w:val="auto"/>
                      <w:lang w:val="en-US" w:eastAsia="zh-CN"/>
                    </w:rPr>
                  </w:pPr>
                  <w:r>
                    <w:rPr>
                      <w:rFonts w:hint="eastAsia"/>
                      <w:color w:val="auto"/>
                      <w:lang w:val="en-US" w:eastAsia="zh-CN"/>
                    </w:rPr>
                    <w:t>7</w:t>
                  </w:r>
                </w:p>
              </w:tc>
              <w:tc>
                <w:tcPr>
                  <w:tcW w:w="1243" w:type="pct"/>
                  <w:vAlign w:val="center"/>
                </w:tcPr>
                <w:p w14:paraId="40A782C4">
                  <w:pPr>
                    <w:pStyle w:val="116"/>
                    <w:spacing w:line="240" w:lineRule="auto"/>
                    <w:ind w:firstLine="0" w:firstLineChars="0"/>
                    <w:jc w:val="center"/>
                    <w:rPr>
                      <w:rFonts w:hint="eastAsia"/>
                      <w:color w:val="auto"/>
                    </w:rPr>
                  </w:pPr>
                  <w:r>
                    <w:rPr>
                      <w:rFonts w:hint="eastAsia" w:hAnsi="宋体"/>
                      <w:bCs/>
                      <w:color w:val="auto"/>
                      <w:szCs w:val="21"/>
                    </w:rPr>
                    <w:t>废含油抹布</w:t>
                  </w:r>
                </w:p>
              </w:tc>
              <w:tc>
                <w:tcPr>
                  <w:tcW w:w="1641" w:type="pct"/>
                  <w:shd w:val="clear" w:color="auto" w:fill="auto"/>
                  <w:vAlign w:val="center"/>
                </w:tcPr>
                <w:p w14:paraId="75810B9B">
                  <w:pPr>
                    <w:pStyle w:val="116"/>
                    <w:spacing w:line="240" w:lineRule="auto"/>
                    <w:ind w:firstLine="0" w:firstLineChars="0"/>
                    <w:jc w:val="center"/>
                    <w:rPr>
                      <w:rFonts w:hint="eastAsia" w:ascii="Times New Roman" w:hAnsi="Times New Roman" w:eastAsia="宋体" w:cs="Times New Roman"/>
                      <w:bCs/>
                      <w:color w:val="auto"/>
                      <w:kern w:val="2"/>
                      <w:sz w:val="21"/>
                      <w:szCs w:val="21"/>
                      <w:lang w:val="en-US" w:eastAsia="zh-CN" w:bidi="ar-SA"/>
                    </w:rPr>
                  </w:pPr>
                  <w:r>
                    <w:rPr>
                      <w:rFonts w:hint="eastAsia"/>
                      <w:color w:val="auto"/>
                    </w:rPr>
                    <w:t>毒性、易燃性</w:t>
                  </w:r>
                </w:p>
              </w:tc>
              <w:tc>
                <w:tcPr>
                  <w:tcW w:w="1608" w:type="pct"/>
                  <w:shd w:val="clear" w:color="auto" w:fill="auto"/>
                  <w:vAlign w:val="center"/>
                </w:tcPr>
                <w:p w14:paraId="2A02F281">
                  <w:pPr>
                    <w:pStyle w:val="116"/>
                    <w:spacing w:line="240" w:lineRule="auto"/>
                    <w:ind w:firstLine="0" w:firstLineChars="0"/>
                    <w:jc w:val="center"/>
                    <w:rPr>
                      <w:rFonts w:hint="eastAsia" w:ascii="Times New Roman" w:hAnsi="Times New Roman" w:eastAsia="宋体" w:cs="Times New Roman"/>
                      <w:bCs/>
                      <w:color w:val="auto"/>
                      <w:kern w:val="2"/>
                      <w:sz w:val="21"/>
                      <w:szCs w:val="21"/>
                      <w:lang w:val="en-US" w:eastAsia="zh-CN" w:bidi="ar-SA"/>
                    </w:rPr>
                  </w:pPr>
                  <w:r>
                    <w:rPr>
                      <w:rFonts w:hint="eastAsia"/>
                      <w:color w:val="auto"/>
                    </w:rPr>
                    <w:t>危废暂存间</w:t>
                  </w:r>
                </w:p>
              </w:tc>
            </w:tr>
          </w:tbl>
          <w:p w14:paraId="4FD35C00">
            <w:pPr>
              <w:pStyle w:val="116"/>
              <w:ind w:firstLine="420"/>
              <w:rPr>
                <w:color w:val="auto"/>
              </w:rPr>
            </w:pPr>
            <w:r>
              <w:rPr>
                <w:rFonts w:hint="eastAsia"/>
                <w:color w:val="auto"/>
              </w:rPr>
              <w:t>全厂危险物质数量与临界量的比值如下。</w:t>
            </w:r>
          </w:p>
          <w:p w14:paraId="46852C61">
            <w:pPr>
              <w:pStyle w:val="10"/>
              <w:rPr>
                <w:bCs/>
                <w:color w:val="auto"/>
              </w:rPr>
            </w:pPr>
            <w:r>
              <w:rPr>
                <w:rFonts w:hint="eastAsia"/>
                <w:color w:val="auto"/>
              </w:rPr>
              <w:t>表4</w:t>
            </w:r>
            <w:r>
              <w:rPr>
                <w:rFonts w:hint="eastAsia"/>
                <w:color w:val="auto"/>
                <w:lang w:eastAsia="zh-CN"/>
              </w:rPr>
              <w:t>-</w:t>
            </w:r>
            <w:r>
              <w:rPr>
                <w:color w:val="auto"/>
              </w:rPr>
              <w:fldChar w:fldCharType="begin"/>
            </w:r>
            <w:r>
              <w:rPr>
                <w:color w:val="auto"/>
              </w:rPr>
              <w:instrText xml:space="preserve"> </w:instrText>
            </w:r>
            <w:r>
              <w:rPr>
                <w:rFonts w:hint="eastAsia"/>
                <w:color w:val="auto"/>
              </w:rPr>
              <w:instrText xml:space="preserve">SEQ 表4- \* ARABIC</w:instrText>
            </w:r>
            <w:r>
              <w:rPr>
                <w:color w:val="auto"/>
              </w:rPr>
              <w:instrText xml:space="preserve"> </w:instrText>
            </w:r>
            <w:r>
              <w:rPr>
                <w:color w:val="auto"/>
              </w:rPr>
              <w:fldChar w:fldCharType="separate"/>
            </w:r>
            <w:r>
              <w:rPr>
                <w:color w:val="auto"/>
              </w:rPr>
              <w:t>2</w:t>
            </w:r>
            <w:r>
              <w:rPr>
                <w:rFonts w:hint="eastAsia"/>
                <w:color w:val="auto"/>
                <w:lang w:val="en-US" w:eastAsia="zh-CN"/>
              </w:rPr>
              <w:t>1</w:t>
            </w:r>
            <w:r>
              <w:rPr>
                <w:color w:val="auto"/>
              </w:rPr>
              <w:fldChar w:fldCharType="end"/>
            </w:r>
            <w:r>
              <w:rPr>
                <w:color w:val="auto"/>
              </w:rPr>
              <w:t>全厂</w:t>
            </w:r>
            <w:r>
              <w:rPr>
                <w:rFonts w:hint="eastAsia"/>
                <w:bCs/>
                <w:color w:val="auto"/>
              </w:rPr>
              <w:t>危险物质数量与临界量的比值一览表</w:t>
            </w:r>
          </w:p>
          <w:tbl>
            <w:tblPr>
              <w:tblStyle w:val="33"/>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41"/>
              <w:gridCol w:w="1337"/>
              <w:gridCol w:w="2172"/>
              <w:gridCol w:w="1583"/>
              <w:gridCol w:w="1595"/>
            </w:tblGrid>
            <w:tr w14:paraId="684DF62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5" w:type="pct"/>
                  <w:vAlign w:val="center"/>
                </w:tcPr>
                <w:p w14:paraId="26DEC5B2">
                  <w:pPr>
                    <w:autoSpaceDE w:val="0"/>
                    <w:autoSpaceDN w:val="0"/>
                    <w:adjustRightInd w:val="0"/>
                    <w:snapToGrid w:val="0"/>
                    <w:jc w:val="center"/>
                    <w:rPr>
                      <w:rFonts w:cs="宋体"/>
                      <w:color w:val="auto"/>
                      <w:kern w:val="0"/>
                      <w:szCs w:val="21"/>
                    </w:rPr>
                  </w:pPr>
                  <w:r>
                    <w:rPr>
                      <w:rFonts w:hint="eastAsia" w:cs="宋体"/>
                      <w:color w:val="auto"/>
                      <w:kern w:val="0"/>
                      <w:szCs w:val="21"/>
                    </w:rPr>
                    <w:t>序号</w:t>
                  </w:r>
                </w:p>
              </w:tc>
              <w:tc>
                <w:tcPr>
                  <w:tcW w:w="832" w:type="pct"/>
                  <w:vAlign w:val="center"/>
                </w:tcPr>
                <w:p w14:paraId="59E22830">
                  <w:pPr>
                    <w:autoSpaceDE w:val="0"/>
                    <w:autoSpaceDN w:val="0"/>
                    <w:adjustRightInd w:val="0"/>
                    <w:snapToGrid w:val="0"/>
                    <w:jc w:val="center"/>
                    <w:rPr>
                      <w:rFonts w:cs="宋体"/>
                      <w:color w:val="auto"/>
                      <w:kern w:val="0"/>
                      <w:szCs w:val="21"/>
                    </w:rPr>
                  </w:pPr>
                  <w:r>
                    <w:rPr>
                      <w:rFonts w:hint="eastAsia" w:cs="宋体"/>
                      <w:color w:val="auto"/>
                      <w:kern w:val="0"/>
                      <w:szCs w:val="21"/>
                    </w:rPr>
                    <w:t>危险物质</w:t>
                  </w:r>
                </w:p>
              </w:tc>
              <w:tc>
                <w:tcPr>
                  <w:tcW w:w="1352" w:type="pct"/>
                  <w:vAlign w:val="center"/>
                </w:tcPr>
                <w:p w14:paraId="3D1872C2">
                  <w:pPr>
                    <w:autoSpaceDE w:val="0"/>
                    <w:autoSpaceDN w:val="0"/>
                    <w:adjustRightInd w:val="0"/>
                    <w:snapToGrid w:val="0"/>
                    <w:jc w:val="center"/>
                    <w:rPr>
                      <w:rFonts w:cs="宋体"/>
                      <w:color w:val="auto"/>
                      <w:kern w:val="0"/>
                      <w:szCs w:val="21"/>
                    </w:rPr>
                  </w:pPr>
                  <w:r>
                    <w:rPr>
                      <w:rFonts w:hint="eastAsia" w:cs="宋体"/>
                      <w:color w:val="auto"/>
                      <w:kern w:val="0"/>
                      <w:szCs w:val="21"/>
                    </w:rPr>
                    <w:t>最大存在总量q</w:t>
                  </w:r>
                  <w:r>
                    <w:rPr>
                      <w:rFonts w:hint="eastAsia" w:cs="宋体"/>
                      <w:color w:val="auto"/>
                      <w:kern w:val="0"/>
                      <w:szCs w:val="21"/>
                      <w:vertAlign w:val="subscript"/>
                    </w:rPr>
                    <w:t>i/</w:t>
                  </w:r>
                  <w:r>
                    <w:rPr>
                      <w:rFonts w:hint="eastAsia" w:cs="宋体"/>
                      <w:color w:val="auto"/>
                      <w:kern w:val="0"/>
                      <w:szCs w:val="21"/>
                    </w:rPr>
                    <w:t>t</w:t>
                  </w:r>
                </w:p>
              </w:tc>
              <w:tc>
                <w:tcPr>
                  <w:tcW w:w="985" w:type="pct"/>
                  <w:vAlign w:val="center"/>
                </w:tcPr>
                <w:p w14:paraId="11D84C73">
                  <w:pPr>
                    <w:autoSpaceDE w:val="0"/>
                    <w:autoSpaceDN w:val="0"/>
                    <w:adjustRightInd w:val="0"/>
                    <w:snapToGrid w:val="0"/>
                    <w:jc w:val="center"/>
                    <w:rPr>
                      <w:rFonts w:cs="宋体"/>
                      <w:color w:val="auto"/>
                      <w:kern w:val="0"/>
                      <w:szCs w:val="21"/>
                    </w:rPr>
                  </w:pPr>
                  <w:r>
                    <w:rPr>
                      <w:rFonts w:hint="eastAsia" w:cs="宋体"/>
                      <w:color w:val="auto"/>
                      <w:kern w:val="0"/>
                      <w:szCs w:val="21"/>
                    </w:rPr>
                    <w:t>临界量Q</w:t>
                  </w:r>
                  <w:r>
                    <w:rPr>
                      <w:rFonts w:hint="eastAsia" w:cs="宋体"/>
                      <w:color w:val="auto"/>
                      <w:kern w:val="0"/>
                      <w:szCs w:val="21"/>
                      <w:vertAlign w:val="subscript"/>
                    </w:rPr>
                    <w:t>i</w:t>
                  </w:r>
                  <w:r>
                    <w:rPr>
                      <w:rFonts w:hint="eastAsia" w:cs="宋体"/>
                      <w:color w:val="auto"/>
                      <w:kern w:val="0"/>
                      <w:szCs w:val="21"/>
                    </w:rPr>
                    <w:t>/t</w:t>
                  </w:r>
                </w:p>
              </w:tc>
              <w:tc>
                <w:tcPr>
                  <w:tcW w:w="993" w:type="pct"/>
                  <w:vAlign w:val="center"/>
                </w:tcPr>
                <w:p w14:paraId="017CB5F7">
                  <w:pPr>
                    <w:autoSpaceDE w:val="0"/>
                    <w:autoSpaceDN w:val="0"/>
                    <w:adjustRightInd w:val="0"/>
                    <w:snapToGrid w:val="0"/>
                    <w:jc w:val="center"/>
                    <w:rPr>
                      <w:color w:val="auto"/>
                      <w:kern w:val="0"/>
                      <w:szCs w:val="21"/>
                    </w:rPr>
                  </w:pPr>
                  <w:r>
                    <w:rPr>
                      <w:color w:val="auto"/>
                      <w:kern w:val="0"/>
                      <w:szCs w:val="21"/>
                    </w:rPr>
                    <w:t>Q值（Q=q</w:t>
                  </w:r>
                  <w:r>
                    <w:rPr>
                      <w:color w:val="auto"/>
                      <w:kern w:val="0"/>
                      <w:szCs w:val="21"/>
                      <w:vertAlign w:val="subscript"/>
                    </w:rPr>
                    <w:t>i</w:t>
                  </w:r>
                  <w:r>
                    <w:rPr>
                      <w:color w:val="auto"/>
                      <w:kern w:val="0"/>
                      <w:szCs w:val="21"/>
                    </w:rPr>
                    <w:t>/Q</w:t>
                  </w:r>
                  <w:r>
                    <w:rPr>
                      <w:color w:val="auto"/>
                      <w:kern w:val="0"/>
                      <w:szCs w:val="21"/>
                      <w:vertAlign w:val="subscript"/>
                    </w:rPr>
                    <w:t>i</w:t>
                  </w:r>
                  <w:r>
                    <w:rPr>
                      <w:color w:val="auto"/>
                      <w:kern w:val="0"/>
                      <w:szCs w:val="21"/>
                    </w:rPr>
                    <w:t>）</w:t>
                  </w:r>
                </w:p>
              </w:tc>
            </w:tr>
            <w:tr w14:paraId="012CE60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5" w:type="pct"/>
                  <w:vAlign w:val="center"/>
                </w:tcPr>
                <w:p w14:paraId="575514F1">
                  <w:pPr>
                    <w:adjustRightInd w:val="0"/>
                    <w:snapToGrid w:val="0"/>
                    <w:jc w:val="center"/>
                    <w:rPr>
                      <w:rFonts w:hAnsi="宋体"/>
                      <w:bCs/>
                      <w:color w:val="auto"/>
                      <w:szCs w:val="21"/>
                    </w:rPr>
                  </w:pPr>
                  <w:r>
                    <w:rPr>
                      <w:rFonts w:hint="eastAsia" w:hAnsi="宋体"/>
                      <w:bCs/>
                      <w:color w:val="auto"/>
                      <w:szCs w:val="21"/>
                    </w:rPr>
                    <w:t>1</w:t>
                  </w:r>
                </w:p>
              </w:tc>
              <w:tc>
                <w:tcPr>
                  <w:tcW w:w="832" w:type="pct"/>
                  <w:vAlign w:val="center"/>
                </w:tcPr>
                <w:p w14:paraId="3A40A550">
                  <w:pPr>
                    <w:adjustRightInd w:val="0"/>
                    <w:snapToGrid w:val="0"/>
                    <w:jc w:val="center"/>
                    <w:rPr>
                      <w:rFonts w:hAnsi="宋体"/>
                      <w:bCs/>
                      <w:color w:val="auto"/>
                      <w:szCs w:val="21"/>
                    </w:rPr>
                  </w:pPr>
                  <w:r>
                    <w:rPr>
                      <w:rFonts w:hint="eastAsia" w:hAnsi="宋体"/>
                      <w:bCs/>
                      <w:color w:val="auto"/>
                      <w:szCs w:val="21"/>
                    </w:rPr>
                    <w:t>润滑油</w:t>
                  </w:r>
                </w:p>
              </w:tc>
              <w:tc>
                <w:tcPr>
                  <w:tcW w:w="1352" w:type="pct"/>
                  <w:vAlign w:val="center"/>
                </w:tcPr>
                <w:p w14:paraId="6DC55AEB">
                  <w:pPr>
                    <w:jc w:val="center"/>
                    <w:rPr>
                      <w:rFonts w:hint="default" w:eastAsia="宋体"/>
                      <w:color w:val="auto"/>
                      <w:szCs w:val="21"/>
                      <w:lang w:val="en-US" w:eastAsia="zh-CN"/>
                    </w:rPr>
                  </w:pPr>
                  <w:r>
                    <w:rPr>
                      <w:rFonts w:hint="eastAsia"/>
                      <w:color w:val="auto"/>
                      <w:szCs w:val="21"/>
                      <w:lang w:val="en-US" w:eastAsia="zh-CN"/>
                    </w:rPr>
                    <w:t>6.82</w:t>
                  </w:r>
                </w:p>
              </w:tc>
              <w:tc>
                <w:tcPr>
                  <w:tcW w:w="985" w:type="pct"/>
                  <w:vAlign w:val="center"/>
                </w:tcPr>
                <w:p w14:paraId="7B1A8193">
                  <w:pPr>
                    <w:autoSpaceDE w:val="0"/>
                    <w:autoSpaceDN w:val="0"/>
                    <w:adjustRightInd w:val="0"/>
                    <w:snapToGrid w:val="0"/>
                    <w:jc w:val="center"/>
                    <w:rPr>
                      <w:rFonts w:cs="宋体"/>
                      <w:color w:val="auto"/>
                      <w:kern w:val="0"/>
                      <w:szCs w:val="21"/>
                    </w:rPr>
                  </w:pPr>
                  <w:r>
                    <w:rPr>
                      <w:rFonts w:hint="eastAsia" w:cs="宋体"/>
                      <w:color w:val="auto"/>
                      <w:kern w:val="0"/>
                      <w:szCs w:val="21"/>
                    </w:rPr>
                    <w:t>2500</w:t>
                  </w:r>
                </w:p>
              </w:tc>
              <w:tc>
                <w:tcPr>
                  <w:tcW w:w="993" w:type="pct"/>
                  <w:vAlign w:val="center"/>
                </w:tcPr>
                <w:p w14:paraId="156AEB7C">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0.002728</w:t>
                  </w:r>
                </w:p>
              </w:tc>
            </w:tr>
            <w:tr w14:paraId="011D52D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5" w:type="pct"/>
                  <w:vAlign w:val="center"/>
                </w:tcPr>
                <w:p w14:paraId="4BE1743F">
                  <w:pPr>
                    <w:adjustRightInd w:val="0"/>
                    <w:snapToGrid w:val="0"/>
                    <w:jc w:val="center"/>
                    <w:rPr>
                      <w:rFonts w:hAnsi="宋体"/>
                      <w:bCs/>
                      <w:color w:val="auto"/>
                      <w:szCs w:val="21"/>
                    </w:rPr>
                  </w:pPr>
                  <w:r>
                    <w:rPr>
                      <w:rFonts w:hint="eastAsia" w:hAnsi="宋体"/>
                      <w:bCs/>
                      <w:color w:val="auto"/>
                      <w:szCs w:val="21"/>
                    </w:rPr>
                    <w:t>2</w:t>
                  </w:r>
                </w:p>
              </w:tc>
              <w:tc>
                <w:tcPr>
                  <w:tcW w:w="832" w:type="pct"/>
                  <w:vAlign w:val="center"/>
                </w:tcPr>
                <w:p w14:paraId="67E89142">
                  <w:pPr>
                    <w:adjustRightInd w:val="0"/>
                    <w:snapToGrid w:val="0"/>
                    <w:jc w:val="center"/>
                    <w:rPr>
                      <w:rFonts w:hAnsi="宋体"/>
                      <w:bCs/>
                      <w:color w:val="auto"/>
                      <w:szCs w:val="21"/>
                    </w:rPr>
                  </w:pPr>
                  <w:r>
                    <w:rPr>
                      <w:rFonts w:hint="eastAsia" w:hAnsi="宋体"/>
                      <w:bCs/>
                      <w:color w:val="auto"/>
                      <w:szCs w:val="21"/>
                    </w:rPr>
                    <w:t>液压油</w:t>
                  </w:r>
                </w:p>
              </w:tc>
              <w:tc>
                <w:tcPr>
                  <w:tcW w:w="1352" w:type="pct"/>
                  <w:vAlign w:val="center"/>
                </w:tcPr>
                <w:p w14:paraId="2F6DE578">
                  <w:pPr>
                    <w:jc w:val="center"/>
                    <w:rPr>
                      <w:rFonts w:hint="default" w:eastAsia="宋体"/>
                      <w:color w:val="auto"/>
                      <w:szCs w:val="21"/>
                      <w:lang w:val="en-US" w:eastAsia="zh-CN"/>
                    </w:rPr>
                  </w:pPr>
                  <w:r>
                    <w:rPr>
                      <w:color w:val="auto"/>
                      <w:szCs w:val="21"/>
                    </w:rPr>
                    <w:t>8</w:t>
                  </w:r>
                  <w:r>
                    <w:rPr>
                      <w:rFonts w:hint="eastAsia"/>
                      <w:color w:val="auto"/>
                      <w:szCs w:val="21"/>
                      <w:lang w:val="en-US" w:eastAsia="zh-CN"/>
                    </w:rPr>
                    <w:t>.87</w:t>
                  </w:r>
                </w:p>
              </w:tc>
              <w:tc>
                <w:tcPr>
                  <w:tcW w:w="985" w:type="pct"/>
                  <w:vAlign w:val="center"/>
                </w:tcPr>
                <w:p w14:paraId="3F0B25DF">
                  <w:pPr>
                    <w:autoSpaceDE w:val="0"/>
                    <w:autoSpaceDN w:val="0"/>
                    <w:adjustRightInd w:val="0"/>
                    <w:snapToGrid w:val="0"/>
                    <w:jc w:val="center"/>
                    <w:rPr>
                      <w:rFonts w:cs="宋体"/>
                      <w:color w:val="auto"/>
                      <w:kern w:val="0"/>
                      <w:szCs w:val="21"/>
                    </w:rPr>
                  </w:pPr>
                  <w:r>
                    <w:rPr>
                      <w:rFonts w:hint="eastAsia" w:cs="宋体"/>
                      <w:color w:val="auto"/>
                      <w:kern w:val="0"/>
                      <w:szCs w:val="21"/>
                    </w:rPr>
                    <w:t>2500</w:t>
                  </w:r>
                </w:p>
              </w:tc>
              <w:tc>
                <w:tcPr>
                  <w:tcW w:w="993" w:type="pct"/>
                  <w:vAlign w:val="center"/>
                </w:tcPr>
                <w:p w14:paraId="708AC7F0">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0.003548</w:t>
                  </w:r>
                </w:p>
              </w:tc>
            </w:tr>
            <w:tr w14:paraId="02991C4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5" w:type="pct"/>
                  <w:shd w:val="clear" w:color="auto" w:fill="auto"/>
                  <w:vAlign w:val="center"/>
                </w:tcPr>
                <w:p w14:paraId="399D65EA">
                  <w:pPr>
                    <w:adjustRightInd w:val="0"/>
                    <w:snapToGrid w:val="0"/>
                    <w:jc w:val="center"/>
                    <w:rPr>
                      <w:rFonts w:hint="eastAsia" w:ascii="Times New Roman" w:hAnsi="宋体" w:eastAsia="宋体" w:cs="Times New Roman"/>
                      <w:bCs/>
                      <w:color w:val="auto"/>
                      <w:kern w:val="2"/>
                      <w:sz w:val="21"/>
                      <w:szCs w:val="21"/>
                      <w:lang w:val="en-US" w:eastAsia="zh-CN" w:bidi="ar-SA"/>
                    </w:rPr>
                  </w:pPr>
                  <w:r>
                    <w:rPr>
                      <w:rFonts w:hint="eastAsia" w:hAnsi="宋体"/>
                      <w:bCs/>
                      <w:color w:val="auto"/>
                      <w:szCs w:val="21"/>
                    </w:rPr>
                    <w:t>3</w:t>
                  </w:r>
                </w:p>
              </w:tc>
              <w:tc>
                <w:tcPr>
                  <w:tcW w:w="832" w:type="pct"/>
                  <w:vAlign w:val="center"/>
                </w:tcPr>
                <w:p w14:paraId="61983691">
                  <w:pPr>
                    <w:adjustRightInd w:val="0"/>
                    <w:snapToGrid w:val="0"/>
                    <w:jc w:val="center"/>
                    <w:rPr>
                      <w:rFonts w:hint="eastAsia" w:hAnsi="宋体"/>
                      <w:bCs/>
                      <w:color w:val="auto"/>
                      <w:szCs w:val="21"/>
                    </w:rPr>
                  </w:pPr>
                  <w:r>
                    <w:rPr>
                      <w:rFonts w:hint="eastAsia"/>
                      <w:color w:val="auto"/>
                      <w:lang w:val="en-US" w:eastAsia="zh-CN"/>
                    </w:rPr>
                    <w:t>天然气</w:t>
                  </w:r>
                </w:p>
              </w:tc>
              <w:tc>
                <w:tcPr>
                  <w:tcW w:w="1352" w:type="pct"/>
                  <w:vAlign w:val="center"/>
                </w:tcPr>
                <w:p w14:paraId="30E66734">
                  <w:pPr>
                    <w:jc w:val="center"/>
                    <w:rPr>
                      <w:rFonts w:hint="default" w:eastAsia="宋体"/>
                      <w:color w:val="auto"/>
                      <w:szCs w:val="21"/>
                      <w:lang w:val="en-US" w:eastAsia="zh-CN"/>
                    </w:rPr>
                  </w:pPr>
                  <w:r>
                    <w:rPr>
                      <w:rFonts w:hint="eastAsia"/>
                      <w:color w:val="auto"/>
                      <w:szCs w:val="21"/>
                      <w:lang w:val="en-US" w:eastAsia="zh-CN"/>
                    </w:rPr>
                    <w:t>0.002</w:t>
                  </w:r>
                </w:p>
              </w:tc>
              <w:tc>
                <w:tcPr>
                  <w:tcW w:w="985" w:type="pct"/>
                  <w:vAlign w:val="center"/>
                </w:tcPr>
                <w:p w14:paraId="208A4059">
                  <w:pPr>
                    <w:autoSpaceDE w:val="0"/>
                    <w:autoSpaceDN w:val="0"/>
                    <w:adjustRightInd w:val="0"/>
                    <w:snapToGrid w:val="0"/>
                    <w:jc w:val="center"/>
                    <w:rPr>
                      <w:rFonts w:hint="default" w:eastAsia="宋体" w:cs="宋体"/>
                      <w:color w:val="auto"/>
                      <w:kern w:val="0"/>
                      <w:szCs w:val="21"/>
                      <w:lang w:val="en-US" w:eastAsia="zh-CN"/>
                    </w:rPr>
                  </w:pPr>
                  <w:r>
                    <w:rPr>
                      <w:rFonts w:hint="eastAsia" w:cs="宋体"/>
                      <w:color w:val="auto"/>
                      <w:kern w:val="0"/>
                      <w:szCs w:val="21"/>
                      <w:lang w:val="en-US" w:eastAsia="zh-CN"/>
                    </w:rPr>
                    <w:t>10</w:t>
                  </w:r>
                </w:p>
              </w:tc>
              <w:tc>
                <w:tcPr>
                  <w:tcW w:w="993" w:type="pct"/>
                  <w:vAlign w:val="center"/>
                </w:tcPr>
                <w:p w14:paraId="4141650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0.0002</w:t>
                  </w:r>
                </w:p>
              </w:tc>
            </w:tr>
            <w:tr w14:paraId="54A20D9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5" w:type="pct"/>
                  <w:shd w:val="clear" w:color="auto" w:fill="auto"/>
                  <w:vAlign w:val="center"/>
                </w:tcPr>
                <w:p w14:paraId="2A084A50">
                  <w:pPr>
                    <w:adjustRightInd w:val="0"/>
                    <w:snapToGrid w:val="0"/>
                    <w:jc w:val="center"/>
                    <w:rPr>
                      <w:rFonts w:ascii="Times New Roman" w:hAnsi="宋体" w:eastAsia="宋体" w:cs="Times New Roman"/>
                      <w:bCs/>
                      <w:color w:val="auto"/>
                      <w:kern w:val="2"/>
                      <w:sz w:val="21"/>
                      <w:szCs w:val="21"/>
                      <w:lang w:val="en-US" w:eastAsia="zh-CN" w:bidi="ar-SA"/>
                    </w:rPr>
                  </w:pPr>
                  <w:r>
                    <w:rPr>
                      <w:rFonts w:hint="eastAsia" w:hAnsi="宋体"/>
                      <w:bCs/>
                      <w:color w:val="auto"/>
                      <w:szCs w:val="21"/>
                    </w:rPr>
                    <w:t>4</w:t>
                  </w:r>
                </w:p>
              </w:tc>
              <w:tc>
                <w:tcPr>
                  <w:tcW w:w="832" w:type="pct"/>
                  <w:vAlign w:val="center"/>
                </w:tcPr>
                <w:p w14:paraId="35099814">
                  <w:pPr>
                    <w:adjustRightInd w:val="0"/>
                    <w:snapToGrid w:val="0"/>
                    <w:jc w:val="center"/>
                    <w:rPr>
                      <w:rFonts w:hAnsi="宋体"/>
                      <w:bCs/>
                      <w:color w:val="auto"/>
                      <w:szCs w:val="21"/>
                    </w:rPr>
                  </w:pPr>
                  <w:r>
                    <w:rPr>
                      <w:rFonts w:hint="eastAsia" w:hAnsi="宋体"/>
                      <w:bCs/>
                      <w:color w:val="auto"/>
                      <w:szCs w:val="21"/>
                    </w:rPr>
                    <w:t>废润滑油</w:t>
                  </w:r>
                </w:p>
              </w:tc>
              <w:tc>
                <w:tcPr>
                  <w:tcW w:w="1352" w:type="pct"/>
                  <w:shd w:val="clear" w:color="auto" w:fill="auto"/>
                  <w:vAlign w:val="center"/>
                </w:tcPr>
                <w:p w14:paraId="08978561">
                  <w:pPr>
                    <w:adjustRightInd w:val="0"/>
                    <w:spacing w:line="240" w:lineRule="auto"/>
                    <w:jc w:val="center"/>
                    <w:rPr>
                      <w:rFonts w:hint="eastAsia" w:ascii="Times New Roman" w:hAnsi="Times New Roman" w:eastAsia="宋体" w:cs="Times New Roman"/>
                      <w:color w:val="auto"/>
                      <w:spacing w:val="-10"/>
                      <w:kern w:val="2"/>
                      <w:sz w:val="21"/>
                      <w:szCs w:val="21"/>
                      <w:lang w:val="en-US" w:eastAsia="zh-CN" w:bidi="ar-SA"/>
                    </w:rPr>
                  </w:pPr>
                  <w:r>
                    <w:rPr>
                      <w:rFonts w:hint="eastAsia"/>
                      <w:color w:val="auto"/>
                      <w:spacing w:val="-10"/>
                      <w:szCs w:val="21"/>
                    </w:rPr>
                    <w:t>4.</w:t>
                  </w:r>
                  <w:r>
                    <w:rPr>
                      <w:rFonts w:hint="eastAsia"/>
                      <w:color w:val="auto"/>
                      <w:spacing w:val="-10"/>
                      <w:szCs w:val="21"/>
                      <w:lang w:val="en-US" w:eastAsia="zh-CN"/>
                    </w:rPr>
                    <w:t>8</w:t>
                  </w:r>
                </w:p>
              </w:tc>
              <w:tc>
                <w:tcPr>
                  <w:tcW w:w="985" w:type="pct"/>
                  <w:vAlign w:val="center"/>
                </w:tcPr>
                <w:p w14:paraId="1D05A69D">
                  <w:pPr>
                    <w:autoSpaceDE w:val="0"/>
                    <w:autoSpaceDN w:val="0"/>
                    <w:adjustRightInd w:val="0"/>
                    <w:snapToGrid w:val="0"/>
                    <w:jc w:val="center"/>
                    <w:rPr>
                      <w:rFonts w:cs="宋体"/>
                      <w:color w:val="auto"/>
                      <w:kern w:val="0"/>
                      <w:szCs w:val="21"/>
                    </w:rPr>
                  </w:pPr>
                  <w:r>
                    <w:rPr>
                      <w:rFonts w:hint="eastAsia" w:cs="宋体"/>
                      <w:color w:val="auto"/>
                      <w:kern w:val="0"/>
                      <w:szCs w:val="21"/>
                    </w:rPr>
                    <w:t>50</w:t>
                  </w:r>
                </w:p>
              </w:tc>
              <w:tc>
                <w:tcPr>
                  <w:tcW w:w="993" w:type="pct"/>
                  <w:vAlign w:val="center"/>
                </w:tcPr>
                <w:p w14:paraId="7F61268A">
                  <w:pPr>
                    <w:keepNext w:val="0"/>
                    <w:keepLines w:val="0"/>
                    <w:widowControl/>
                    <w:suppressLineNumbers w:val="0"/>
                    <w:jc w:val="center"/>
                    <w:textAlignment w:val="center"/>
                    <w:rPr>
                      <w:rFonts w:hint="eastAsia" w:eastAsia="宋体"/>
                      <w:color w:val="auto"/>
                      <w:szCs w:val="21"/>
                      <w:lang w:eastAsia="zh-CN"/>
                    </w:rPr>
                  </w:pPr>
                  <w:r>
                    <w:rPr>
                      <w:rFonts w:hint="default" w:ascii="Times New Roman" w:hAnsi="Times New Roman" w:eastAsia="宋体" w:cs="Times New Roman"/>
                      <w:i w:val="0"/>
                      <w:iCs w:val="0"/>
                      <w:color w:val="auto"/>
                      <w:kern w:val="0"/>
                      <w:sz w:val="21"/>
                      <w:szCs w:val="21"/>
                      <w:u w:val="none"/>
                      <w:lang w:val="en-US" w:eastAsia="zh-CN" w:bidi="ar"/>
                    </w:rPr>
                    <w:t>0.096</w:t>
                  </w:r>
                </w:p>
              </w:tc>
            </w:tr>
            <w:tr w14:paraId="036C3C0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5" w:type="pct"/>
                  <w:shd w:val="clear" w:color="auto" w:fill="auto"/>
                  <w:vAlign w:val="center"/>
                </w:tcPr>
                <w:p w14:paraId="1A28B3F0">
                  <w:pPr>
                    <w:adjustRightInd w:val="0"/>
                    <w:snapToGrid w:val="0"/>
                    <w:jc w:val="center"/>
                    <w:rPr>
                      <w:rFonts w:ascii="Times New Roman" w:hAnsi="宋体" w:eastAsia="宋体" w:cs="Times New Roman"/>
                      <w:bCs/>
                      <w:color w:val="auto"/>
                      <w:kern w:val="2"/>
                      <w:sz w:val="21"/>
                      <w:szCs w:val="21"/>
                      <w:lang w:val="en-US" w:eastAsia="zh-CN" w:bidi="ar-SA"/>
                    </w:rPr>
                  </w:pPr>
                  <w:r>
                    <w:rPr>
                      <w:rFonts w:hint="eastAsia" w:hAnsi="宋体"/>
                      <w:bCs/>
                      <w:color w:val="auto"/>
                      <w:szCs w:val="21"/>
                    </w:rPr>
                    <w:t>5</w:t>
                  </w:r>
                </w:p>
              </w:tc>
              <w:tc>
                <w:tcPr>
                  <w:tcW w:w="832" w:type="pct"/>
                  <w:vAlign w:val="center"/>
                </w:tcPr>
                <w:p w14:paraId="6A0155C8">
                  <w:pPr>
                    <w:adjustRightInd w:val="0"/>
                    <w:snapToGrid w:val="0"/>
                    <w:jc w:val="center"/>
                    <w:rPr>
                      <w:rFonts w:hAnsi="宋体"/>
                      <w:bCs/>
                      <w:color w:val="auto"/>
                      <w:szCs w:val="21"/>
                    </w:rPr>
                  </w:pPr>
                  <w:r>
                    <w:rPr>
                      <w:rFonts w:hint="eastAsia" w:hAnsi="宋体"/>
                      <w:bCs/>
                      <w:color w:val="auto"/>
                      <w:szCs w:val="21"/>
                    </w:rPr>
                    <w:t>废液压油</w:t>
                  </w:r>
                </w:p>
              </w:tc>
              <w:tc>
                <w:tcPr>
                  <w:tcW w:w="1352" w:type="pct"/>
                  <w:shd w:val="clear" w:color="auto" w:fill="auto"/>
                  <w:vAlign w:val="center"/>
                </w:tcPr>
                <w:p w14:paraId="3CE23D6D">
                  <w:pPr>
                    <w:adjustRightInd w:val="0"/>
                    <w:spacing w:line="240" w:lineRule="auto"/>
                    <w:jc w:val="center"/>
                    <w:rPr>
                      <w:rFonts w:hint="eastAsia" w:ascii="Times New Roman" w:hAnsi="Times New Roman" w:eastAsia="宋体" w:cs="Times New Roman"/>
                      <w:color w:val="auto"/>
                      <w:spacing w:val="-10"/>
                      <w:kern w:val="2"/>
                      <w:sz w:val="21"/>
                      <w:szCs w:val="21"/>
                      <w:lang w:val="en-US" w:eastAsia="zh-CN" w:bidi="ar-SA"/>
                    </w:rPr>
                  </w:pPr>
                  <w:r>
                    <w:rPr>
                      <w:rFonts w:hint="eastAsia"/>
                      <w:color w:val="auto"/>
                      <w:spacing w:val="-10"/>
                      <w:szCs w:val="21"/>
                    </w:rPr>
                    <w:t>7.</w:t>
                  </w:r>
                  <w:r>
                    <w:rPr>
                      <w:rFonts w:hint="eastAsia"/>
                      <w:color w:val="auto"/>
                      <w:spacing w:val="-10"/>
                      <w:szCs w:val="21"/>
                      <w:lang w:val="en-US" w:eastAsia="zh-CN"/>
                    </w:rPr>
                    <w:t>7</w:t>
                  </w:r>
                </w:p>
              </w:tc>
              <w:tc>
                <w:tcPr>
                  <w:tcW w:w="985" w:type="pct"/>
                  <w:vAlign w:val="center"/>
                </w:tcPr>
                <w:p w14:paraId="48ED35D0">
                  <w:pPr>
                    <w:autoSpaceDE w:val="0"/>
                    <w:autoSpaceDN w:val="0"/>
                    <w:adjustRightInd w:val="0"/>
                    <w:snapToGrid w:val="0"/>
                    <w:jc w:val="center"/>
                    <w:rPr>
                      <w:rFonts w:cs="宋体"/>
                      <w:color w:val="auto"/>
                      <w:kern w:val="0"/>
                      <w:szCs w:val="21"/>
                    </w:rPr>
                  </w:pPr>
                  <w:r>
                    <w:rPr>
                      <w:rFonts w:hint="eastAsia" w:cs="宋体"/>
                      <w:color w:val="auto"/>
                      <w:kern w:val="0"/>
                      <w:szCs w:val="21"/>
                    </w:rPr>
                    <w:t>50</w:t>
                  </w:r>
                </w:p>
              </w:tc>
              <w:tc>
                <w:tcPr>
                  <w:tcW w:w="993" w:type="pct"/>
                  <w:vAlign w:val="center"/>
                </w:tcPr>
                <w:p w14:paraId="475D7CBE">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0.154</w:t>
                  </w:r>
                </w:p>
              </w:tc>
            </w:tr>
            <w:tr w14:paraId="313E25D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5" w:type="pct"/>
                  <w:shd w:val="clear" w:color="auto" w:fill="auto"/>
                  <w:vAlign w:val="center"/>
                </w:tcPr>
                <w:p w14:paraId="5A1EC827">
                  <w:pPr>
                    <w:adjustRightInd w:val="0"/>
                    <w:snapToGrid w:val="0"/>
                    <w:jc w:val="center"/>
                    <w:rPr>
                      <w:rFonts w:ascii="Times New Roman" w:hAnsi="宋体" w:eastAsia="宋体" w:cs="Times New Roman"/>
                      <w:bCs/>
                      <w:color w:val="auto"/>
                      <w:kern w:val="2"/>
                      <w:sz w:val="21"/>
                      <w:szCs w:val="21"/>
                      <w:lang w:val="en-US" w:eastAsia="zh-CN" w:bidi="ar-SA"/>
                    </w:rPr>
                  </w:pPr>
                  <w:r>
                    <w:rPr>
                      <w:rFonts w:hint="eastAsia" w:hAnsi="宋体"/>
                      <w:bCs/>
                      <w:color w:val="auto"/>
                      <w:szCs w:val="21"/>
                    </w:rPr>
                    <w:t>6</w:t>
                  </w:r>
                </w:p>
              </w:tc>
              <w:tc>
                <w:tcPr>
                  <w:tcW w:w="832" w:type="pct"/>
                  <w:vAlign w:val="center"/>
                </w:tcPr>
                <w:p w14:paraId="0056E3F8">
                  <w:pPr>
                    <w:adjustRightInd w:val="0"/>
                    <w:snapToGrid w:val="0"/>
                    <w:jc w:val="center"/>
                    <w:rPr>
                      <w:rFonts w:hAnsi="宋体"/>
                      <w:bCs/>
                      <w:color w:val="auto"/>
                      <w:szCs w:val="21"/>
                    </w:rPr>
                  </w:pPr>
                  <w:r>
                    <w:rPr>
                      <w:rFonts w:hint="eastAsia" w:hAnsi="宋体"/>
                      <w:bCs/>
                      <w:color w:val="auto"/>
                      <w:szCs w:val="21"/>
                    </w:rPr>
                    <w:t>废油桶</w:t>
                  </w:r>
                </w:p>
              </w:tc>
              <w:tc>
                <w:tcPr>
                  <w:tcW w:w="1352" w:type="pct"/>
                  <w:shd w:val="clear" w:color="auto" w:fill="auto"/>
                  <w:vAlign w:val="center"/>
                </w:tcPr>
                <w:p w14:paraId="17EAFEB4">
                  <w:pPr>
                    <w:adjustRightInd w:val="0"/>
                    <w:spacing w:line="240" w:lineRule="auto"/>
                    <w:jc w:val="center"/>
                    <w:rPr>
                      <w:rFonts w:hint="eastAsia" w:ascii="Times New Roman" w:hAnsi="Times New Roman" w:eastAsia="宋体" w:cs="Times New Roman"/>
                      <w:color w:val="auto"/>
                      <w:spacing w:val="-10"/>
                      <w:kern w:val="2"/>
                      <w:sz w:val="21"/>
                      <w:szCs w:val="21"/>
                      <w:lang w:val="en-US" w:eastAsia="zh-CN" w:bidi="ar-SA"/>
                    </w:rPr>
                  </w:pPr>
                  <w:r>
                    <w:rPr>
                      <w:rFonts w:hint="eastAsia"/>
                      <w:color w:val="auto"/>
                      <w:spacing w:val="-10"/>
                      <w:szCs w:val="21"/>
                    </w:rPr>
                    <w:t>1.</w:t>
                  </w:r>
                  <w:r>
                    <w:rPr>
                      <w:rFonts w:hint="eastAsia"/>
                      <w:color w:val="auto"/>
                      <w:spacing w:val="-10"/>
                      <w:szCs w:val="21"/>
                      <w:lang w:val="en-US" w:eastAsia="zh-CN"/>
                    </w:rPr>
                    <w:t>15</w:t>
                  </w:r>
                </w:p>
              </w:tc>
              <w:tc>
                <w:tcPr>
                  <w:tcW w:w="985" w:type="pct"/>
                  <w:vAlign w:val="center"/>
                </w:tcPr>
                <w:p w14:paraId="4D62F66A">
                  <w:pPr>
                    <w:autoSpaceDE w:val="0"/>
                    <w:autoSpaceDN w:val="0"/>
                    <w:adjustRightInd w:val="0"/>
                    <w:snapToGrid w:val="0"/>
                    <w:jc w:val="center"/>
                    <w:rPr>
                      <w:rFonts w:cs="宋体"/>
                      <w:color w:val="auto"/>
                      <w:kern w:val="0"/>
                      <w:szCs w:val="21"/>
                    </w:rPr>
                  </w:pPr>
                  <w:r>
                    <w:rPr>
                      <w:rFonts w:hint="eastAsia" w:cs="宋体"/>
                      <w:color w:val="auto"/>
                      <w:kern w:val="0"/>
                      <w:szCs w:val="21"/>
                    </w:rPr>
                    <w:t>100</w:t>
                  </w:r>
                </w:p>
              </w:tc>
              <w:tc>
                <w:tcPr>
                  <w:tcW w:w="993" w:type="pct"/>
                  <w:vAlign w:val="center"/>
                </w:tcPr>
                <w:p w14:paraId="21F5E8A6">
                  <w:pPr>
                    <w:keepNext w:val="0"/>
                    <w:keepLines w:val="0"/>
                    <w:widowControl/>
                    <w:suppressLineNumbers w:val="0"/>
                    <w:jc w:val="center"/>
                    <w:textAlignment w:val="center"/>
                    <w:rPr>
                      <w:rFonts w:hint="eastAsia" w:eastAsia="宋体"/>
                      <w:color w:val="auto"/>
                      <w:szCs w:val="21"/>
                      <w:lang w:eastAsia="zh-CN"/>
                    </w:rPr>
                  </w:pPr>
                  <w:r>
                    <w:rPr>
                      <w:rFonts w:hint="default" w:ascii="Times New Roman" w:hAnsi="Times New Roman" w:eastAsia="宋体" w:cs="Times New Roman"/>
                      <w:i w:val="0"/>
                      <w:iCs w:val="0"/>
                      <w:color w:val="auto"/>
                      <w:kern w:val="0"/>
                      <w:sz w:val="21"/>
                      <w:szCs w:val="21"/>
                      <w:u w:val="none"/>
                      <w:lang w:val="en-US" w:eastAsia="zh-CN" w:bidi="ar"/>
                    </w:rPr>
                    <w:t>0.0115</w:t>
                  </w:r>
                </w:p>
              </w:tc>
            </w:tr>
            <w:tr w14:paraId="6CAA036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5" w:type="pct"/>
                  <w:shd w:val="clear" w:color="auto" w:fill="auto"/>
                  <w:vAlign w:val="center"/>
                </w:tcPr>
                <w:p w14:paraId="7D092C62">
                  <w:pPr>
                    <w:adjustRightInd w:val="0"/>
                    <w:snapToGrid w:val="0"/>
                    <w:jc w:val="center"/>
                    <w:rPr>
                      <w:rFonts w:ascii="Times New Roman" w:hAnsi="宋体" w:eastAsia="宋体" w:cs="Times New Roman"/>
                      <w:bCs/>
                      <w:color w:val="auto"/>
                      <w:kern w:val="2"/>
                      <w:sz w:val="21"/>
                      <w:szCs w:val="21"/>
                      <w:lang w:val="en-US" w:eastAsia="zh-CN" w:bidi="ar-SA"/>
                    </w:rPr>
                  </w:pPr>
                  <w:r>
                    <w:rPr>
                      <w:rFonts w:hint="eastAsia" w:hAnsi="宋体"/>
                      <w:bCs/>
                      <w:color w:val="auto"/>
                      <w:szCs w:val="21"/>
                    </w:rPr>
                    <w:t>7</w:t>
                  </w:r>
                </w:p>
              </w:tc>
              <w:tc>
                <w:tcPr>
                  <w:tcW w:w="832" w:type="pct"/>
                  <w:vAlign w:val="center"/>
                </w:tcPr>
                <w:p w14:paraId="6626AA38">
                  <w:pPr>
                    <w:adjustRightInd w:val="0"/>
                    <w:snapToGrid w:val="0"/>
                    <w:jc w:val="center"/>
                    <w:rPr>
                      <w:rFonts w:hAnsi="宋体"/>
                      <w:bCs/>
                      <w:color w:val="auto"/>
                      <w:szCs w:val="21"/>
                    </w:rPr>
                  </w:pPr>
                  <w:r>
                    <w:rPr>
                      <w:rFonts w:hint="eastAsia" w:hAnsi="宋体"/>
                      <w:bCs/>
                      <w:color w:val="auto"/>
                      <w:szCs w:val="21"/>
                    </w:rPr>
                    <w:t>乳化液</w:t>
                  </w:r>
                </w:p>
              </w:tc>
              <w:tc>
                <w:tcPr>
                  <w:tcW w:w="1352" w:type="pct"/>
                  <w:vAlign w:val="center"/>
                </w:tcPr>
                <w:p w14:paraId="746C38B8">
                  <w:pPr>
                    <w:jc w:val="center"/>
                    <w:rPr>
                      <w:color w:val="auto"/>
                      <w:szCs w:val="21"/>
                    </w:rPr>
                  </w:pPr>
                  <w:r>
                    <w:rPr>
                      <w:rFonts w:hint="eastAsia"/>
                      <w:color w:val="auto"/>
                      <w:szCs w:val="21"/>
                    </w:rPr>
                    <w:t>8</w:t>
                  </w:r>
                </w:p>
              </w:tc>
              <w:tc>
                <w:tcPr>
                  <w:tcW w:w="985" w:type="pct"/>
                  <w:vAlign w:val="center"/>
                </w:tcPr>
                <w:p w14:paraId="2E4065C8">
                  <w:pPr>
                    <w:autoSpaceDE w:val="0"/>
                    <w:autoSpaceDN w:val="0"/>
                    <w:adjustRightInd w:val="0"/>
                    <w:snapToGrid w:val="0"/>
                    <w:jc w:val="center"/>
                    <w:rPr>
                      <w:rFonts w:cs="宋体"/>
                      <w:color w:val="auto"/>
                      <w:kern w:val="0"/>
                      <w:szCs w:val="21"/>
                    </w:rPr>
                  </w:pPr>
                  <w:r>
                    <w:rPr>
                      <w:rFonts w:hint="eastAsia" w:cs="宋体"/>
                      <w:color w:val="auto"/>
                      <w:kern w:val="0"/>
                      <w:szCs w:val="21"/>
                    </w:rPr>
                    <w:t>50</w:t>
                  </w:r>
                </w:p>
              </w:tc>
              <w:tc>
                <w:tcPr>
                  <w:tcW w:w="993" w:type="pct"/>
                  <w:vAlign w:val="center"/>
                </w:tcPr>
                <w:p w14:paraId="77BF5A55">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0.16</w:t>
                  </w:r>
                </w:p>
              </w:tc>
            </w:tr>
            <w:tr w14:paraId="7F181AF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5" w:type="pct"/>
                  <w:shd w:val="clear" w:color="auto" w:fill="auto"/>
                  <w:vAlign w:val="center"/>
                </w:tcPr>
                <w:p w14:paraId="78997FE5">
                  <w:pPr>
                    <w:adjustRightInd w:val="0"/>
                    <w:snapToGrid w:val="0"/>
                    <w:jc w:val="center"/>
                    <w:rPr>
                      <w:rFonts w:ascii="Times New Roman" w:hAnsi="宋体" w:eastAsia="宋体" w:cs="Times New Roman"/>
                      <w:bCs/>
                      <w:color w:val="auto"/>
                      <w:kern w:val="2"/>
                      <w:sz w:val="21"/>
                      <w:szCs w:val="21"/>
                      <w:lang w:val="en-US" w:eastAsia="zh-CN" w:bidi="ar-SA"/>
                    </w:rPr>
                  </w:pPr>
                  <w:r>
                    <w:rPr>
                      <w:rFonts w:hint="eastAsia" w:hAnsi="宋体"/>
                      <w:bCs/>
                      <w:color w:val="auto"/>
                      <w:szCs w:val="21"/>
                    </w:rPr>
                    <w:t>8</w:t>
                  </w:r>
                </w:p>
              </w:tc>
              <w:tc>
                <w:tcPr>
                  <w:tcW w:w="832" w:type="pct"/>
                  <w:vAlign w:val="center"/>
                </w:tcPr>
                <w:p w14:paraId="58F59768">
                  <w:pPr>
                    <w:adjustRightInd w:val="0"/>
                    <w:snapToGrid w:val="0"/>
                    <w:jc w:val="center"/>
                    <w:rPr>
                      <w:rFonts w:hAnsi="宋体"/>
                      <w:bCs/>
                      <w:color w:val="auto"/>
                      <w:szCs w:val="21"/>
                    </w:rPr>
                  </w:pPr>
                  <w:r>
                    <w:rPr>
                      <w:rFonts w:hint="eastAsia" w:hAnsi="宋体"/>
                      <w:bCs/>
                      <w:color w:val="auto"/>
                      <w:szCs w:val="21"/>
                    </w:rPr>
                    <w:t>废乳化液</w:t>
                  </w:r>
                </w:p>
              </w:tc>
              <w:tc>
                <w:tcPr>
                  <w:tcW w:w="1352" w:type="pct"/>
                  <w:vAlign w:val="center"/>
                </w:tcPr>
                <w:p w14:paraId="70487125">
                  <w:pPr>
                    <w:jc w:val="center"/>
                    <w:rPr>
                      <w:color w:val="auto"/>
                      <w:szCs w:val="21"/>
                    </w:rPr>
                  </w:pPr>
                  <w:r>
                    <w:rPr>
                      <w:rFonts w:hint="eastAsia"/>
                      <w:color w:val="auto"/>
                      <w:szCs w:val="21"/>
                    </w:rPr>
                    <w:t>0.7</w:t>
                  </w:r>
                </w:p>
              </w:tc>
              <w:tc>
                <w:tcPr>
                  <w:tcW w:w="985" w:type="pct"/>
                  <w:vAlign w:val="center"/>
                </w:tcPr>
                <w:p w14:paraId="50E54890">
                  <w:pPr>
                    <w:autoSpaceDE w:val="0"/>
                    <w:autoSpaceDN w:val="0"/>
                    <w:adjustRightInd w:val="0"/>
                    <w:snapToGrid w:val="0"/>
                    <w:jc w:val="center"/>
                    <w:rPr>
                      <w:rFonts w:cs="宋体"/>
                      <w:color w:val="auto"/>
                      <w:kern w:val="0"/>
                      <w:szCs w:val="21"/>
                    </w:rPr>
                  </w:pPr>
                  <w:r>
                    <w:rPr>
                      <w:rFonts w:hint="eastAsia" w:cs="宋体"/>
                      <w:color w:val="auto"/>
                      <w:kern w:val="0"/>
                      <w:szCs w:val="21"/>
                    </w:rPr>
                    <w:t>50</w:t>
                  </w:r>
                </w:p>
              </w:tc>
              <w:tc>
                <w:tcPr>
                  <w:tcW w:w="993" w:type="pct"/>
                  <w:vAlign w:val="center"/>
                </w:tcPr>
                <w:p w14:paraId="59AD45D9">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0.014</w:t>
                  </w:r>
                </w:p>
              </w:tc>
            </w:tr>
            <w:tr w14:paraId="40E7BA5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5" w:type="pct"/>
                  <w:shd w:val="clear" w:color="auto" w:fill="auto"/>
                  <w:vAlign w:val="center"/>
                </w:tcPr>
                <w:p w14:paraId="01A36A85">
                  <w:pPr>
                    <w:adjustRightInd w:val="0"/>
                    <w:snapToGrid w:val="0"/>
                    <w:jc w:val="center"/>
                    <w:rPr>
                      <w:rFonts w:ascii="Times New Roman" w:hAnsi="宋体" w:eastAsia="宋体" w:cs="Times New Roman"/>
                      <w:bCs/>
                      <w:color w:val="auto"/>
                      <w:kern w:val="2"/>
                      <w:sz w:val="21"/>
                      <w:szCs w:val="21"/>
                      <w:lang w:val="en-US" w:eastAsia="zh-CN" w:bidi="ar-SA"/>
                    </w:rPr>
                  </w:pPr>
                  <w:r>
                    <w:rPr>
                      <w:rFonts w:hint="eastAsia" w:hAnsi="宋体"/>
                      <w:bCs/>
                      <w:color w:val="auto"/>
                      <w:szCs w:val="21"/>
                    </w:rPr>
                    <w:t>9</w:t>
                  </w:r>
                </w:p>
              </w:tc>
              <w:tc>
                <w:tcPr>
                  <w:tcW w:w="832" w:type="pct"/>
                  <w:vAlign w:val="center"/>
                </w:tcPr>
                <w:p w14:paraId="0FB1202C">
                  <w:pPr>
                    <w:adjustRightInd w:val="0"/>
                    <w:snapToGrid w:val="0"/>
                    <w:jc w:val="center"/>
                    <w:rPr>
                      <w:rFonts w:hAnsi="宋体"/>
                      <w:bCs/>
                      <w:color w:val="auto"/>
                      <w:szCs w:val="21"/>
                    </w:rPr>
                  </w:pPr>
                  <w:r>
                    <w:rPr>
                      <w:rFonts w:hint="eastAsia" w:hAnsi="宋体"/>
                      <w:bCs/>
                      <w:color w:val="auto"/>
                      <w:szCs w:val="21"/>
                    </w:rPr>
                    <w:t>废滤芯</w:t>
                  </w:r>
                </w:p>
              </w:tc>
              <w:tc>
                <w:tcPr>
                  <w:tcW w:w="1352" w:type="pct"/>
                  <w:vAlign w:val="center"/>
                </w:tcPr>
                <w:p w14:paraId="3776587A">
                  <w:pPr>
                    <w:jc w:val="center"/>
                    <w:rPr>
                      <w:color w:val="auto"/>
                      <w:szCs w:val="21"/>
                    </w:rPr>
                  </w:pPr>
                  <w:r>
                    <w:rPr>
                      <w:rFonts w:hint="eastAsia"/>
                      <w:color w:val="auto"/>
                      <w:szCs w:val="21"/>
                    </w:rPr>
                    <w:t>0.01</w:t>
                  </w:r>
                </w:p>
              </w:tc>
              <w:tc>
                <w:tcPr>
                  <w:tcW w:w="985" w:type="pct"/>
                  <w:vAlign w:val="center"/>
                </w:tcPr>
                <w:p w14:paraId="79F59976">
                  <w:pPr>
                    <w:autoSpaceDE w:val="0"/>
                    <w:autoSpaceDN w:val="0"/>
                    <w:adjustRightInd w:val="0"/>
                    <w:snapToGrid w:val="0"/>
                    <w:jc w:val="center"/>
                    <w:rPr>
                      <w:rFonts w:cs="宋体"/>
                      <w:color w:val="auto"/>
                      <w:kern w:val="0"/>
                      <w:szCs w:val="21"/>
                    </w:rPr>
                  </w:pPr>
                  <w:r>
                    <w:rPr>
                      <w:rFonts w:hint="eastAsia" w:cs="宋体"/>
                      <w:color w:val="auto"/>
                      <w:kern w:val="0"/>
                      <w:szCs w:val="21"/>
                    </w:rPr>
                    <w:t>50</w:t>
                  </w:r>
                </w:p>
              </w:tc>
              <w:tc>
                <w:tcPr>
                  <w:tcW w:w="993" w:type="pct"/>
                  <w:vAlign w:val="center"/>
                </w:tcPr>
                <w:p w14:paraId="6D87EBAC">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0.0002</w:t>
                  </w:r>
                </w:p>
              </w:tc>
            </w:tr>
            <w:tr w14:paraId="38D413F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5" w:type="pct"/>
                  <w:shd w:val="clear" w:color="auto" w:fill="auto"/>
                  <w:vAlign w:val="center"/>
                </w:tcPr>
                <w:p w14:paraId="154B65EA">
                  <w:pPr>
                    <w:adjustRightInd w:val="0"/>
                    <w:snapToGrid w:val="0"/>
                    <w:jc w:val="center"/>
                    <w:rPr>
                      <w:rFonts w:ascii="Times New Roman" w:hAnsi="宋体" w:eastAsia="宋体" w:cs="Times New Roman"/>
                      <w:bCs/>
                      <w:color w:val="auto"/>
                      <w:kern w:val="2"/>
                      <w:sz w:val="21"/>
                      <w:szCs w:val="21"/>
                      <w:lang w:val="en-US" w:eastAsia="zh-CN" w:bidi="ar-SA"/>
                    </w:rPr>
                  </w:pPr>
                  <w:r>
                    <w:rPr>
                      <w:rFonts w:hint="eastAsia" w:hAnsi="宋体"/>
                      <w:bCs/>
                      <w:color w:val="auto"/>
                      <w:szCs w:val="21"/>
                    </w:rPr>
                    <w:t>10</w:t>
                  </w:r>
                </w:p>
              </w:tc>
              <w:tc>
                <w:tcPr>
                  <w:tcW w:w="832" w:type="pct"/>
                  <w:vAlign w:val="center"/>
                </w:tcPr>
                <w:p w14:paraId="60BA7A18">
                  <w:pPr>
                    <w:adjustRightInd w:val="0"/>
                    <w:snapToGrid w:val="0"/>
                    <w:jc w:val="center"/>
                    <w:rPr>
                      <w:rFonts w:hAnsi="宋体"/>
                      <w:bCs/>
                      <w:color w:val="auto"/>
                      <w:szCs w:val="21"/>
                    </w:rPr>
                  </w:pPr>
                  <w:r>
                    <w:rPr>
                      <w:rFonts w:hint="eastAsia" w:hAnsi="宋体"/>
                      <w:bCs/>
                      <w:color w:val="auto"/>
                      <w:szCs w:val="21"/>
                    </w:rPr>
                    <w:t>废活性炭</w:t>
                  </w:r>
                </w:p>
              </w:tc>
              <w:tc>
                <w:tcPr>
                  <w:tcW w:w="1352" w:type="pct"/>
                  <w:vAlign w:val="center"/>
                </w:tcPr>
                <w:p w14:paraId="5A2057DC">
                  <w:pPr>
                    <w:jc w:val="center"/>
                    <w:rPr>
                      <w:color w:val="auto"/>
                      <w:szCs w:val="21"/>
                    </w:rPr>
                  </w:pPr>
                  <w:r>
                    <w:rPr>
                      <w:rFonts w:hint="eastAsia"/>
                      <w:color w:val="auto"/>
                      <w:szCs w:val="21"/>
                    </w:rPr>
                    <w:t>0.5</w:t>
                  </w:r>
                </w:p>
              </w:tc>
              <w:tc>
                <w:tcPr>
                  <w:tcW w:w="985" w:type="pct"/>
                  <w:vAlign w:val="center"/>
                </w:tcPr>
                <w:p w14:paraId="7AB34010">
                  <w:pPr>
                    <w:autoSpaceDE w:val="0"/>
                    <w:autoSpaceDN w:val="0"/>
                    <w:adjustRightInd w:val="0"/>
                    <w:snapToGrid w:val="0"/>
                    <w:jc w:val="center"/>
                    <w:rPr>
                      <w:rFonts w:cs="宋体"/>
                      <w:color w:val="auto"/>
                      <w:kern w:val="0"/>
                      <w:szCs w:val="21"/>
                    </w:rPr>
                  </w:pPr>
                  <w:r>
                    <w:rPr>
                      <w:rFonts w:hint="eastAsia" w:cs="宋体"/>
                      <w:color w:val="auto"/>
                      <w:kern w:val="0"/>
                      <w:szCs w:val="21"/>
                    </w:rPr>
                    <w:t>50</w:t>
                  </w:r>
                </w:p>
              </w:tc>
              <w:tc>
                <w:tcPr>
                  <w:tcW w:w="993" w:type="pct"/>
                  <w:vAlign w:val="center"/>
                </w:tcPr>
                <w:p w14:paraId="35C85A8B">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0.01</w:t>
                  </w:r>
                </w:p>
              </w:tc>
            </w:tr>
            <w:tr w14:paraId="1942163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5" w:type="pct"/>
                  <w:shd w:val="clear" w:color="auto" w:fill="auto"/>
                  <w:vAlign w:val="center"/>
                </w:tcPr>
                <w:p w14:paraId="3216EBE8">
                  <w:pPr>
                    <w:adjustRightInd w:val="0"/>
                    <w:snapToGrid w:val="0"/>
                    <w:jc w:val="center"/>
                    <w:rPr>
                      <w:rFonts w:ascii="Times New Roman" w:hAnsi="宋体" w:eastAsia="宋体" w:cs="Times New Roman"/>
                      <w:bCs/>
                      <w:color w:val="auto"/>
                      <w:kern w:val="2"/>
                      <w:sz w:val="21"/>
                      <w:szCs w:val="21"/>
                      <w:lang w:val="en-US" w:eastAsia="zh-CN" w:bidi="ar-SA"/>
                    </w:rPr>
                  </w:pPr>
                  <w:r>
                    <w:rPr>
                      <w:rFonts w:hint="eastAsia" w:hAnsi="宋体"/>
                      <w:bCs/>
                      <w:color w:val="auto"/>
                      <w:szCs w:val="21"/>
                    </w:rPr>
                    <w:t>11</w:t>
                  </w:r>
                </w:p>
              </w:tc>
              <w:tc>
                <w:tcPr>
                  <w:tcW w:w="832" w:type="pct"/>
                  <w:vAlign w:val="center"/>
                </w:tcPr>
                <w:p w14:paraId="7443188F">
                  <w:pPr>
                    <w:adjustRightInd w:val="0"/>
                    <w:snapToGrid w:val="0"/>
                    <w:jc w:val="center"/>
                    <w:rPr>
                      <w:rFonts w:hAnsi="宋体"/>
                      <w:bCs/>
                      <w:color w:val="auto"/>
                      <w:szCs w:val="21"/>
                    </w:rPr>
                  </w:pPr>
                  <w:r>
                    <w:rPr>
                      <w:rFonts w:hint="eastAsia" w:hAnsi="宋体"/>
                      <w:bCs/>
                      <w:color w:val="auto"/>
                      <w:szCs w:val="21"/>
                    </w:rPr>
                    <w:t>废油毡</w:t>
                  </w:r>
                </w:p>
              </w:tc>
              <w:tc>
                <w:tcPr>
                  <w:tcW w:w="1352" w:type="pct"/>
                  <w:vAlign w:val="center"/>
                </w:tcPr>
                <w:p w14:paraId="56900CF6">
                  <w:pPr>
                    <w:jc w:val="center"/>
                    <w:rPr>
                      <w:color w:val="auto"/>
                      <w:szCs w:val="21"/>
                    </w:rPr>
                  </w:pPr>
                  <w:r>
                    <w:rPr>
                      <w:rFonts w:hint="eastAsia"/>
                      <w:color w:val="auto"/>
                      <w:szCs w:val="21"/>
                    </w:rPr>
                    <w:t>0.2</w:t>
                  </w:r>
                </w:p>
              </w:tc>
              <w:tc>
                <w:tcPr>
                  <w:tcW w:w="985" w:type="pct"/>
                  <w:vAlign w:val="center"/>
                </w:tcPr>
                <w:p w14:paraId="562653C5">
                  <w:pPr>
                    <w:autoSpaceDE w:val="0"/>
                    <w:autoSpaceDN w:val="0"/>
                    <w:adjustRightInd w:val="0"/>
                    <w:snapToGrid w:val="0"/>
                    <w:jc w:val="center"/>
                    <w:rPr>
                      <w:rFonts w:cs="宋体"/>
                      <w:color w:val="auto"/>
                      <w:kern w:val="0"/>
                      <w:szCs w:val="21"/>
                    </w:rPr>
                  </w:pPr>
                  <w:r>
                    <w:rPr>
                      <w:rFonts w:hint="eastAsia" w:cs="宋体"/>
                      <w:color w:val="auto"/>
                      <w:kern w:val="0"/>
                      <w:szCs w:val="21"/>
                    </w:rPr>
                    <w:t>50</w:t>
                  </w:r>
                </w:p>
              </w:tc>
              <w:tc>
                <w:tcPr>
                  <w:tcW w:w="993" w:type="pct"/>
                  <w:vAlign w:val="center"/>
                </w:tcPr>
                <w:p w14:paraId="3797F67C">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0.004</w:t>
                  </w:r>
                </w:p>
              </w:tc>
            </w:tr>
            <w:tr w14:paraId="297CB2A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5" w:type="pct"/>
                  <w:vAlign w:val="center"/>
                </w:tcPr>
                <w:p w14:paraId="08BDF6F6">
                  <w:pPr>
                    <w:adjustRightInd w:val="0"/>
                    <w:snapToGrid w:val="0"/>
                    <w:jc w:val="center"/>
                    <w:rPr>
                      <w:rFonts w:hint="default" w:hAnsi="宋体" w:eastAsia="宋体"/>
                      <w:bCs/>
                      <w:color w:val="auto"/>
                      <w:szCs w:val="21"/>
                      <w:lang w:val="en-US" w:eastAsia="zh-CN"/>
                    </w:rPr>
                  </w:pPr>
                  <w:r>
                    <w:rPr>
                      <w:rFonts w:hint="eastAsia" w:hAnsi="宋体"/>
                      <w:bCs/>
                      <w:color w:val="auto"/>
                      <w:szCs w:val="21"/>
                      <w:lang w:val="en-US" w:eastAsia="zh-CN"/>
                    </w:rPr>
                    <w:t>12</w:t>
                  </w:r>
                </w:p>
              </w:tc>
              <w:tc>
                <w:tcPr>
                  <w:tcW w:w="832" w:type="pct"/>
                  <w:vAlign w:val="center"/>
                </w:tcPr>
                <w:p w14:paraId="7289CD3F">
                  <w:pPr>
                    <w:adjustRightInd w:val="0"/>
                    <w:snapToGrid w:val="0"/>
                    <w:jc w:val="center"/>
                    <w:rPr>
                      <w:rFonts w:hAnsi="宋体"/>
                      <w:bCs/>
                      <w:color w:val="auto"/>
                      <w:szCs w:val="21"/>
                    </w:rPr>
                  </w:pPr>
                  <w:r>
                    <w:rPr>
                      <w:rFonts w:hint="eastAsia" w:hAnsi="宋体"/>
                      <w:bCs/>
                      <w:color w:val="auto"/>
                      <w:szCs w:val="21"/>
                    </w:rPr>
                    <w:t>废含油抹布</w:t>
                  </w:r>
                </w:p>
              </w:tc>
              <w:tc>
                <w:tcPr>
                  <w:tcW w:w="1352" w:type="pct"/>
                  <w:vAlign w:val="center"/>
                </w:tcPr>
                <w:p w14:paraId="25EF7F6B">
                  <w:pPr>
                    <w:jc w:val="center"/>
                    <w:rPr>
                      <w:rFonts w:hint="default" w:eastAsia="宋体"/>
                      <w:color w:val="auto"/>
                      <w:szCs w:val="21"/>
                      <w:lang w:val="en-US" w:eastAsia="zh-CN"/>
                    </w:rPr>
                  </w:pPr>
                  <w:r>
                    <w:rPr>
                      <w:rFonts w:hint="eastAsia"/>
                      <w:color w:val="auto"/>
                      <w:szCs w:val="21"/>
                    </w:rPr>
                    <w:t>0.</w:t>
                  </w:r>
                  <w:r>
                    <w:rPr>
                      <w:rFonts w:hint="eastAsia"/>
                      <w:color w:val="auto"/>
                      <w:szCs w:val="21"/>
                      <w:lang w:val="en-US" w:eastAsia="zh-CN"/>
                    </w:rPr>
                    <w:t>10</w:t>
                  </w:r>
                </w:p>
              </w:tc>
              <w:tc>
                <w:tcPr>
                  <w:tcW w:w="985" w:type="pct"/>
                  <w:vAlign w:val="center"/>
                </w:tcPr>
                <w:p w14:paraId="4274F3C2">
                  <w:pPr>
                    <w:autoSpaceDE w:val="0"/>
                    <w:autoSpaceDN w:val="0"/>
                    <w:adjustRightInd w:val="0"/>
                    <w:snapToGrid w:val="0"/>
                    <w:jc w:val="center"/>
                    <w:rPr>
                      <w:rFonts w:cs="宋体"/>
                      <w:color w:val="auto"/>
                      <w:kern w:val="0"/>
                      <w:szCs w:val="21"/>
                    </w:rPr>
                  </w:pPr>
                  <w:r>
                    <w:rPr>
                      <w:rFonts w:hint="eastAsia" w:cs="宋体"/>
                      <w:color w:val="auto"/>
                      <w:kern w:val="0"/>
                      <w:szCs w:val="21"/>
                    </w:rPr>
                    <w:t>50</w:t>
                  </w:r>
                </w:p>
              </w:tc>
              <w:tc>
                <w:tcPr>
                  <w:tcW w:w="993" w:type="pct"/>
                  <w:vAlign w:val="center"/>
                </w:tcPr>
                <w:p w14:paraId="74C022AB">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0.002</w:t>
                  </w:r>
                </w:p>
              </w:tc>
            </w:tr>
            <w:tr w14:paraId="65E0430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06" w:type="pct"/>
                  <w:gridSpan w:val="4"/>
                  <w:vAlign w:val="center"/>
                </w:tcPr>
                <w:p w14:paraId="689D7F00">
                  <w:pPr>
                    <w:autoSpaceDE w:val="0"/>
                    <w:autoSpaceDN w:val="0"/>
                    <w:adjustRightInd w:val="0"/>
                    <w:snapToGrid w:val="0"/>
                    <w:jc w:val="right"/>
                    <w:rPr>
                      <w:rFonts w:cs="宋体"/>
                      <w:color w:val="auto"/>
                      <w:kern w:val="0"/>
                      <w:szCs w:val="21"/>
                    </w:rPr>
                  </w:pPr>
                  <w:r>
                    <w:rPr>
                      <w:rFonts w:hint="eastAsia" w:ascii="宋体" w:hAnsi="宋体" w:cs="宋体"/>
                      <w:color w:val="auto"/>
                      <w:kern w:val="0"/>
                      <w:szCs w:val="21"/>
                    </w:rPr>
                    <w:t>∑</w:t>
                  </w:r>
                  <w:r>
                    <w:rPr>
                      <w:rFonts w:hint="eastAsia"/>
                      <w:color w:val="auto"/>
                      <w:szCs w:val="21"/>
                    </w:rPr>
                    <w:t>Q</w:t>
                  </w:r>
                </w:p>
              </w:tc>
              <w:tc>
                <w:tcPr>
                  <w:tcW w:w="993" w:type="pct"/>
                  <w:vAlign w:val="center"/>
                </w:tcPr>
                <w:p w14:paraId="32098110">
                  <w:pPr>
                    <w:keepNext w:val="0"/>
                    <w:keepLines w:val="0"/>
                    <w:widowControl/>
                    <w:suppressLineNumbers w:val="0"/>
                    <w:jc w:val="center"/>
                    <w:textAlignment w:val="center"/>
                    <w:rPr>
                      <w:rFonts w:hint="default" w:eastAsia="宋体"/>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0.45</w:t>
                  </w:r>
                  <w:r>
                    <w:rPr>
                      <w:rFonts w:hint="eastAsia" w:cs="Times New Roman"/>
                      <w:i w:val="0"/>
                      <w:iCs w:val="0"/>
                      <w:color w:val="auto"/>
                      <w:kern w:val="0"/>
                      <w:sz w:val="21"/>
                      <w:szCs w:val="21"/>
                      <w:u w:val="none"/>
                      <w:lang w:val="en-US" w:eastAsia="zh-CN" w:bidi="ar"/>
                    </w:rPr>
                    <w:t>81</w:t>
                  </w:r>
                  <w:r>
                    <w:rPr>
                      <w:rFonts w:hint="default" w:ascii="Times New Roman" w:hAnsi="Times New Roman" w:eastAsia="宋体" w:cs="Times New Roman"/>
                      <w:i w:val="0"/>
                      <w:iCs w:val="0"/>
                      <w:color w:val="auto"/>
                      <w:kern w:val="0"/>
                      <w:sz w:val="21"/>
                      <w:szCs w:val="21"/>
                      <w:u w:val="none"/>
                      <w:lang w:val="en-US" w:eastAsia="zh-CN" w:bidi="ar"/>
                    </w:rPr>
                    <w:t>76</w:t>
                  </w:r>
                </w:p>
              </w:tc>
            </w:tr>
          </w:tbl>
          <w:p w14:paraId="10472769">
            <w:pPr>
              <w:pStyle w:val="116"/>
              <w:spacing w:line="240" w:lineRule="auto"/>
              <w:ind w:firstLine="420"/>
              <w:rPr>
                <w:rFonts w:hint="default" w:eastAsia="宋体"/>
                <w:color w:val="auto"/>
                <w:sz w:val="20"/>
                <w:szCs w:val="20"/>
                <w:lang w:val="en-US" w:eastAsia="zh-CN"/>
              </w:rPr>
            </w:pPr>
            <w:r>
              <w:rPr>
                <w:rFonts w:hint="eastAsia"/>
                <w:color w:val="auto"/>
                <w:sz w:val="20"/>
                <w:szCs w:val="20"/>
                <w:lang w:val="en-US" w:eastAsia="zh-CN"/>
              </w:rPr>
              <w:t>注：天然气管线长400m，直径为0.1m，密度为</w:t>
            </w:r>
            <w:r>
              <w:rPr>
                <w:rFonts w:hint="eastAsia"/>
                <w:color w:val="auto"/>
                <w:sz w:val="20"/>
                <w:szCs w:val="20"/>
              </w:rPr>
              <w:t>0.7174kg/m</w:t>
            </w:r>
            <w:r>
              <w:rPr>
                <w:rFonts w:hint="eastAsia"/>
                <w:color w:val="auto"/>
                <w:sz w:val="20"/>
                <w:szCs w:val="20"/>
                <w:vertAlign w:val="superscript"/>
                <w:lang w:val="en-US" w:eastAsia="zh-CN"/>
              </w:rPr>
              <w:t>3</w:t>
            </w:r>
            <w:r>
              <w:rPr>
                <w:rFonts w:hint="eastAsia"/>
                <w:color w:val="auto"/>
                <w:sz w:val="20"/>
                <w:szCs w:val="20"/>
                <w:lang w:val="en-US" w:eastAsia="zh-CN"/>
              </w:rPr>
              <w:t>，则天然气厂内最大存储量为0.002t。</w:t>
            </w:r>
          </w:p>
          <w:p w14:paraId="6223B113">
            <w:pPr>
              <w:pStyle w:val="116"/>
              <w:ind w:firstLine="420"/>
              <w:rPr>
                <w:color w:val="auto"/>
              </w:rPr>
            </w:pPr>
            <w:r>
              <w:rPr>
                <w:rFonts w:hint="eastAsia"/>
                <w:color w:val="auto"/>
              </w:rPr>
              <w:t>Q＜1，因此，本项目企业内的危险物质不属于重大危险源。</w:t>
            </w:r>
          </w:p>
          <w:p w14:paraId="5B99C83E">
            <w:pPr>
              <w:pStyle w:val="119"/>
              <w:spacing w:line="400" w:lineRule="exact"/>
              <w:rPr>
                <w:rFonts w:cs="宋体"/>
                <w:color w:val="auto"/>
              </w:rPr>
            </w:pPr>
            <w:r>
              <w:rPr>
                <w:rFonts w:hint="eastAsia" w:cs="宋体"/>
                <w:color w:val="auto"/>
              </w:rPr>
              <w:t>（2）生产、贮运过程中潜在危险性识别</w:t>
            </w:r>
          </w:p>
          <w:p w14:paraId="605DA9EA">
            <w:pPr>
              <w:pStyle w:val="116"/>
              <w:spacing w:line="400" w:lineRule="exact"/>
              <w:ind w:firstLine="420"/>
              <w:rPr>
                <w:color w:val="auto"/>
              </w:rPr>
            </w:pPr>
            <w:r>
              <w:rPr>
                <w:rFonts w:hint="eastAsia"/>
                <w:color w:val="auto"/>
              </w:rPr>
              <w:t>设备故障、管道破裂导致润滑油</w:t>
            </w:r>
            <w:r>
              <w:rPr>
                <w:rFonts w:hint="eastAsia"/>
                <w:color w:val="auto"/>
                <w:lang w:eastAsia="zh-CN"/>
              </w:rPr>
              <w:t>、</w:t>
            </w:r>
            <w:r>
              <w:rPr>
                <w:rFonts w:hint="eastAsia"/>
                <w:color w:val="auto"/>
                <w:lang w:val="en-US" w:eastAsia="zh-CN"/>
              </w:rPr>
              <w:t>天然气</w:t>
            </w:r>
            <w:r>
              <w:rPr>
                <w:rFonts w:hint="eastAsia"/>
                <w:color w:val="auto"/>
              </w:rPr>
              <w:t>泄漏，遇明火可发生燃烧，燃烧失控可引发火灾。氧气</w:t>
            </w:r>
            <w:r>
              <w:rPr>
                <w:color w:val="auto"/>
              </w:rPr>
              <w:t>是易燃物、可燃物燃烧爆炸的基本元素之一，油类</w:t>
            </w:r>
            <w:r>
              <w:rPr>
                <w:rFonts w:hint="eastAsia"/>
                <w:color w:val="auto"/>
                <w:lang w:eastAsia="zh-CN"/>
              </w:rPr>
              <w:t>、</w:t>
            </w:r>
            <w:r>
              <w:rPr>
                <w:rFonts w:hint="eastAsia"/>
                <w:color w:val="auto"/>
                <w:lang w:val="en-US" w:eastAsia="zh-CN"/>
              </w:rPr>
              <w:t>天然气等</w:t>
            </w:r>
            <w:r>
              <w:rPr>
                <w:color w:val="auto"/>
              </w:rPr>
              <w:t>物质在富氧环境下极易燃烧</w:t>
            </w:r>
            <w:r>
              <w:rPr>
                <w:rFonts w:hint="eastAsia"/>
                <w:color w:val="auto"/>
              </w:rPr>
              <w:t>。</w:t>
            </w:r>
          </w:p>
          <w:p w14:paraId="55A5B1AB">
            <w:pPr>
              <w:pStyle w:val="119"/>
              <w:spacing w:line="400" w:lineRule="exact"/>
              <w:rPr>
                <w:rFonts w:cs="宋体"/>
                <w:color w:val="auto"/>
              </w:rPr>
            </w:pPr>
            <w:r>
              <w:rPr>
                <w:rFonts w:hint="eastAsia" w:cs="宋体"/>
                <w:color w:val="auto"/>
              </w:rPr>
              <w:t>（3）</w:t>
            </w:r>
            <w:r>
              <w:rPr>
                <w:rFonts w:cs="宋体"/>
                <w:color w:val="auto"/>
              </w:rPr>
              <w:t>危险物质向环境转移的途径识别</w:t>
            </w:r>
          </w:p>
          <w:p w14:paraId="62EE4E1D">
            <w:pPr>
              <w:pStyle w:val="116"/>
              <w:spacing w:line="400" w:lineRule="exact"/>
              <w:ind w:firstLine="420"/>
              <w:rPr>
                <w:rFonts w:cs="宋体"/>
                <w:color w:val="auto"/>
              </w:rPr>
            </w:pPr>
            <w:r>
              <w:rPr>
                <w:rFonts w:hint="eastAsia" w:cs="宋体"/>
                <w:color w:val="auto"/>
              </w:rPr>
              <w:t>根据本项目危险物质的化学性质及存在方式，危险物质向环境转移的途径主要是泄漏引起的环境空气污染及泄漏引发的火灾、爆炸事故造成的伴生/次生污染物排放。</w:t>
            </w:r>
          </w:p>
          <w:p w14:paraId="47A6DB58">
            <w:pPr>
              <w:pStyle w:val="119"/>
              <w:spacing w:line="400" w:lineRule="exact"/>
              <w:rPr>
                <w:rFonts w:cs="宋体"/>
                <w:color w:val="auto"/>
              </w:rPr>
            </w:pPr>
            <w:r>
              <w:rPr>
                <w:rFonts w:hint="eastAsia" w:cs="宋体"/>
                <w:color w:val="auto"/>
              </w:rPr>
              <w:t>7.2 环境风险分析</w:t>
            </w:r>
          </w:p>
          <w:p w14:paraId="48E64560">
            <w:pPr>
              <w:pStyle w:val="116"/>
              <w:ind w:firstLine="420"/>
              <w:rPr>
                <w:color w:val="auto"/>
              </w:rPr>
            </w:pPr>
            <w:r>
              <w:rPr>
                <w:rFonts w:hint="eastAsia"/>
                <w:color w:val="auto"/>
              </w:rPr>
              <w:t>（1）环境空气</w:t>
            </w:r>
          </w:p>
          <w:p w14:paraId="76324367">
            <w:pPr>
              <w:pStyle w:val="116"/>
              <w:ind w:firstLine="420"/>
              <w:rPr>
                <w:color w:val="auto"/>
              </w:rPr>
            </w:pPr>
            <w:r>
              <w:rPr>
                <w:rFonts w:hint="eastAsia"/>
                <w:color w:val="auto"/>
              </w:rPr>
              <w:t>火灾爆炸事故往往由于不完全燃烧后产生有毒物质而造成次生污染，本项目润滑油、废油</w:t>
            </w:r>
            <w:r>
              <w:rPr>
                <w:rFonts w:hint="eastAsia"/>
                <w:color w:val="auto"/>
                <w:lang w:eastAsia="zh-CN"/>
              </w:rPr>
              <w:t>、</w:t>
            </w:r>
            <w:r>
              <w:rPr>
                <w:rFonts w:hint="eastAsia"/>
                <w:color w:val="auto"/>
                <w:lang w:val="en-US" w:eastAsia="zh-CN"/>
              </w:rPr>
              <w:t>天然气</w:t>
            </w:r>
            <w:r>
              <w:rPr>
                <w:rFonts w:hint="eastAsia"/>
                <w:color w:val="auto"/>
              </w:rPr>
              <w:t>及废油桶一旦发生燃烧，不完全燃烧将产生有毒气体CO等释放进入大气，如不及时采取有效的减缓措施，将对周边人群造成严重的健康危害。</w:t>
            </w:r>
          </w:p>
          <w:p w14:paraId="7188AC61">
            <w:pPr>
              <w:pStyle w:val="116"/>
              <w:ind w:firstLine="420"/>
              <w:rPr>
                <w:color w:val="auto"/>
              </w:rPr>
            </w:pPr>
            <w:r>
              <w:rPr>
                <w:rFonts w:hint="eastAsia"/>
                <w:color w:val="auto"/>
              </w:rPr>
              <w:t>（2）地下水、土壤环境</w:t>
            </w:r>
          </w:p>
          <w:p w14:paraId="27A95600">
            <w:pPr>
              <w:pStyle w:val="116"/>
              <w:ind w:firstLine="420"/>
              <w:rPr>
                <w:color w:val="auto"/>
              </w:rPr>
            </w:pPr>
            <w:r>
              <w:rPr>
                <w:rFonts w:hint="eastAsia"/>
                <w:color w:val="auto"/>
              </w:rPr>
              <w:t>盛装润滑油、</w:t>
            </w:r>
            <w:r>
              <w:rPr>
                <w:rFonts w:hint="eastAsia"/>
                <w:color w:val="auto"/>
                <w:lang w:val="en-US" w:eastAsia="zh-CN"/>
              </w:rPr>
              <w:t>液压油、</w:t>
            </w:r>
            <w:r>
              <w:rPr>
                <w:rFonts w:hint="eastAsia"/>
                <w:color w:val="auto"/>
              </w:rPr>
              <w:t>废油的装置一旦发生泄漏，若未及时发现造成汇聚多量，这些危险物质流淌至未做防渗的地面位置，将有可能下渗进入地下水、土壤中，造成地下水和土壤环境的污染。</w:t>
            </w:r>
          </w:p>
          <w:p w14:paraId="33C60132">
            <w:pPr>
              <w:pStyle w:val="119"/>
              <w:rPr>
                <w:rFonts w:cs="宋体"/>
                <w:color w:val="auto"/>
              </w:rPr>
            </w:pPr>
            <w:r>
              <w:rPr>
                <w:rFonts w:hint="eastAsia" w:cs="宋体"/>
                <w:color w:val="auto"/>
              </w:rPr>
              <w:t>7.3 环境风险防范措施</w:t>
            </w:r>
          </w:p>
          <w:p w14:paraId="37F36CC9">
            <w:pPr>
              <w:pStyle w:val="116"/>
              <w:ind w:firstLine="420"/>
              <w:rPr>
                <w:color w:val="auto"/>
              </w:rPr>
            </w:pPr>
            <w:r>
              <w:rPr>
                <w:rFonts w:hint="eastAsia"/>
                <w:color w:val="auto"/>
              </w:rPr>
              <w:t>①使用润滑油、</w:t>
            </w:r>
            <w:r>
              <w:rPr>
                <w:rFonts w:hint="eastAsia"/>
                <w:color w:val="auto"/>
                <w:lang w:val="en-US" w:eastAsia="zh-CN"/>
              </w:rPr>
              <w:t>液压油</w:t>
            </w:r>
            <w:r>
              <w:rPr>
                <w:rFonts w:hint="eastAsia"/>
                <w:color w:val="auto"/>
              </w:rPr>
              <w:t>的车间应保持通风，禁止烟火。</w:t>
            </w:r>
          </w:p>
          <w:p w14:paraId="56819214">
            <w:pPr>
              <w:pStyle w:val="116"/>
              <w:ind w:firstLine="420"/>
              <w:rPr>
                <w:color w:val="auto"/>
              </w:rPr>
            </w:pPr>
            <w:r>
              <w:rPr>
                <w:rFonts w:hint="eastAsia"/>
                <w:color w:val="auto"/>
              </w:rPr>
              <w:t>②产生的废油应密闭桶装，防止有机气体的挥发及油的泄漏。</w:t>
            </w:r>
          </w:p>
          <w:p w14:paraId="532AD6C8">
            <w:pPr>
              <w:pStyle w:val="116"/>
              <w:ind w:firstLine="420"/>
              <w:rPr>
                <w:color w:val="auto"/>
              </w:rPr>
            </w:pPr>
            <w:r>
              <w:rPr>
                <w:rFonts w:hint="eastAsia"/>
                <w:color w:val="auto"/>
              </w:rPr>
              <w:t>③危废暂存间油类物质的储存容器要有足够的储存空间和盛装余量，储存场所进行防渗处理。</w:t>
            </w:r>
          </w:p>
          <w:p w14:paraId="5907A8F8">
            <w:pPr>
              <w:pStyle w:val="116"/>
              <w:ind w:firstLine="420"/>
              <w:rPr>
                <w:color w:val="auto"/>
              </w:rPr>
            </w:pPr>
            <w:r>
              <w:rPr>
                <w:rFonts w:hint="eastAsia"/>
                <w:color w:val="auto"/>
              </w:rPr>
              <w:t>④废油产生后暂存于危废暂存间，定期转移，转移过程中严格按照《危险废物转移管理办法》及其它有关规定做好危险废物的转移工作，做好危险废物的产生、转移记录。</w:t>
            </w:r>
          </w:p>
          <w:p w14:paraId="3BAEC877">
            <w:pPr>
              <w:pStyle w:val="116"/>
              <w:ind w:firstLine="420"/>
              <w:rPr>
                <w:color w:val="auto"/>
              </w:rPr>
            </w:pPr>
            <w:r>
              <w:rPr>
                <w:rFonts w:hint="eastAsia"/>
                <w:color w:val="auto"/>
              </w:rPr>
              <w:t>⑤为使环境风险降低到最低限度，必须加强劳动安全管理，制定完备、有效的风险防范措施和应急措施，尽可能降低环境风险事故发生的概率。</w:t>
            </w:r>
          </w:p>
          <w:p w14:paraId="7AF62F6F">
            <w:pPr>
              <w:pStyle w:val="116"/>
              <w:ind w:firstLine="420"/>
              <w:rPr>
                <w:color w:val="auto"/>
                <w:w w:val="90"/>
                <w:kern w:val="0"/>
              </w:rPr>
            </w:pPr>
            <w:r>
              <w:rPr>
                <w:rFonts w:hint="eastAsia"/>
                <w:color w:val="auto"/>
              </w:rPr>
              <w:t>综上所述，本项目在采取相应的风险防范措施的前提下，环境风险是可防控的。</w:t>
            </w:r>
          </w:p>
        </w:tc>
      </w:tr>
    </w:tbl>
    <w:p w14:paraId="697B56D5">
      <w:pPr>
        <w:rPr>
          <w:color w:val="auto"/>
        </w:rPr>
        <w:sectPr>
          <w:pgSz w:w="11907" w:h="16840"/>
          <w:pgMar w:top="1701" w:right="1531" w:bottom="1701" w:left="1531" w:header="851" w:footer="851" w:gutter="0"/>
          <w:cols w:space="720" w:num="1"/>
          <w:docGrid w:linePitch="312" w:charSpace="0"/>
        </w:sectPr>
      </w:pPr>
    </w:p>
    <w:p w14:paraId="11EAC008">
      <w:pPr>
        <w:pStyle w:val="30"/>
        <w:spacing w:before="0" w:beforeAutospacing="0" w:after="0" w:afterAutospacing="0"/>
        <w:jc w:val="center"/>
        <w:outlineLvl w:val="0"/>
        <w:rPr>
          <w:rFonts w:ascii="Times New Roman" w:hAnsi="Times New Roman" w:eastAsia="黑体"/>
          <w:snapToGrid w:val="0"/>
          <w:color w:val="auto"/>
          <w:sz w:val="30"/>
          <w:szCs w:val="30"/>
        </w:rPr>
      </w:pPr>
      <w:bookmarkStart w:id="28" w:name="_Toc25413"/>
      <w:r>
        <w:rPr>
          <w:rFonts w:ascii="Times New Roman" w:hAnsi="Times New Roman" w:eastAsia="黑体"/>
          <w:snapToGrid w:val="0"/>
          <w:color w:val="auto"/>
          <w:sz w:val="30"/>
          <w:szCs w:val="30"/>
        </w:rPr>
        <w:t>五、</w:t>
      </w:r>
      <w:bookmarkStart w:id="29" w:name="_Hlk54167917"/>
      <w:r>
        <w:rPr>
          <w:rFonts w:ascii="Times New Roman" w:hAnsi="Times New Roman" w:eastAsia="黑体"/>
          <w:snapToGrid w:val="0"/>
          <w:color w:val="auto"/>
          <w:sz w:val="30"/>
          <w:szCs w:val="30"/>
        </w:rPr>
        <w:t>环境保护措施监督检查清单</w:t>
      </w:r>
      <w:bookmarkEnd w:id="28"/>
      <w:bookmarkEnd w:id="29"/>
    </w:p>
    <w:tbl>
      <w:tblPr>
        <w:tblStyle w:val="3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23"/>
        <w:gridCol w:w="582"/>
        <w:gridCol w:w="1275"/>
        <w:gridCol w:w="925"/>
        <w:gridCol w:w="1541"/>
        <w:gridCol w:w="2954"/>
      </w:tblGrid>
      <w:tr w14:paraId="1C16A4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23" w:type="dxa"/>
            <w:tcBorders>
              <w:tl2br w:val="single" w:color="auto" w:sz="4" w:space="0"/>
            </w:tcBorders>
            <w:noWrap/>
          </w:tcPr>
          <w:p w14:paraId="572F9E63">
            <w:pPr>
              <w:adjustRightInd w:val="0"/>
              <w:snapToGrid w:val="0"/>
              <w:ind w:firstLine="840"/>
              <w:rPr>
                <w:color w:val="auto"/>
                <w:szCs w:val="21"/>
              </w:rPr>
            </w:pPr>
            <w:r>
              <w:rPr>
                <w:color w:val="auto"/>
                <w:szCs w:val="21"/>
              </w:rPr>
              <w:t>内容</w:t>
            </w:r>
          </w:p>
          <w:p w14:paraId="5AC9EE32">
            <w:pPr>
              <w:adjustRightInd w:val="0"/>
              <w:snapToGrid w:val="0"/>
              <w:rPr>
                <w:color w:val="auto"/>
                <w:szCs w:val="21"/>
              </w:rPr>
            </w:pPr>
            <w:r>
              <w:rPr>
                <w:color w:val="auto"/>
                <w:szCs w:val="21"/>
              </w:rPr>
              <w:t>要素</w:t>
            </w:r>
          </w:p>
        </w:tc>
        <w:tc>
          <w:tcPr>
            <w:tcW w:w="1857" w:type="dxa"/>
            <w:gridSpan w:val="2"/>
            <w:noWrap/>
            <w:vAlign w:val="center"/>
          </w:tcPr>
          <w:p w14:paraId="52DA62CA">
            <w:pPr>
              <w:adjustRightInd w:val="0"/>
              <w:snapToGrid w:val="0"/>
              <w:jc w:val="center"/>
              <w:rPr>
                <w:color w:val="auto"/>
                <w:szCs w:val="21"/>
              </w:rPr>
            </w:pPr>
            <w:r>
              <w:rPr>
                <w:color w:val="auto"/>
                <w:szCs w:val="21"/>
              </w:rPr>
              <w:t>排放口(编号、</w:t>
            </w:r>
          </w:p>
          <w:p w14:paraId="19367771">
            <w:pPr>
              <w:adjustRightInd w:val="0"/>
              <w:snapToGrid w:val="0"/>
              <w:jc w:val="center"/>
              <w:rPr>
                <w:color w:val="auto"/>
                <w:szCs w:val="21"/>
              </w:rPr>
            </w:pPr>
            <w:r>
              <w:rPr>
                <w:color w:val="auto"/>
                <w:szCs w:val="21"/>
              </w:rPr>
              <w:t>名称)/污染源</w:t>
            </w:r>
          </w:p>
        </w:tc>
        <w:tc>
          <w:tcPr>
            <w:tcW w:w="925" w:type="dxa"/>
            <w:noWrap/>
            <w:vAlign w:val="center"/>
          </w:tcPr>
          <w:p w14:paraId="7F9DDE19">
            <w:pPr>
              <w:adjustRightInd w:val="0"/>
              <w:snapToGrid w:val="0"/>
              <w:jc w:val="center"/>
              <w:rPr>
                <w:color w:val="auto"/>
                <w:szCs w:val="21"/>
              </w:rPr>
            </w:pPr>
            <w:r>
              <w:rPr>
                <w:color w:val="auto"/>
                <w:szCs w:val="21"/>
              </w:rPr>
              <w:t>污染物项目</w:t>
            </w:r>
          </w:p>
        </w:tc>
        <w:tc>
          <w:tcPr>
            <w:tcW w:w="1541" w:type="dxa"/>
            <w:noWrap/>
            <w:vAlign w:val="center"/>
          </w:tcPr>
          <w:p w14:paraId="7406799E">
            <w:pPr>
              <w:adjustRightInd w:val="0"/>
              <w:snapToGrid w:val="0"/>
              <w:jc w:val="center"/>
              <w:rPr>
                <w:color w:val="auto"/>
                <w:szCs w:val="21"/>
              </w:rPr>
            </w:pPr>
            <w:r>
              <w:rPr>
                <w:color w:val="auto"/>
                <w:szCs w:val="21"/>
              </w:rPr>
              <w:t>环境保护措施</w:t>
            </w:r>
          </w:p>
        </w:tc>
        <w:tc>
          <w:tcPr>
            <w:tcW w:w="2954" w:type="dxa"/>
            <w:noWrap/>
            <w:vAlign w:val="center"/>
          </w:tcPr>
          <w:p w14:paraId="53431F80">
            <w:pPr>
              <w:adjustRightInd w:val="0"/>
              <w:snapToGrid w:val="0"/>
              <w:jc w:val="center"/>
              <w:rPr>
                <w:color w:val="auto"/>
                <w:szCs w:val="21"/>
              </w:rPr>
            </w:pPr>
            <w:r>
              <w:rPr>
                <w:color w:val="auto"/>
                <w:szCs w:val="21"/>
              </w:rPr>
              <w:t>执行标准</w:t>
            </w:r>
          </w:p>
        </w:tc>
      </w:tr>
      <w:tr w14:paraId="46B201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523" w:type="dxa"/>
            <w:vMerge w:val="restart"/>
            <w:noWrap/>
            <w:vAlign w:val="center"/>
          </w:tcPr>
          <w:p w14:paraId="5FBEE3C9">
            <w:pPr>
              <w:adjustRightInd w:val="0"/>
              <w:snapToGrid w:val="0"/>
              <w:jc w:val="center"/>
              <w:rPr>
                <w:color w:val="auto"/>
                <w:szCs w:val="21"/>
              </w:rPr>
            </w:pPr>
            <w:r>
              <w:rPr>
                <w:rFonts w:hint="eastAsia"/>
                <w:color w:val="auto"/>
                <w:szCs w:val="21"/>
              </w:rPr>
              <w:t>大气环境</w:t>
            </w:r>
          </w:p>
        </w:tc>
        <w:tc>
          <w:tcPr>
            <w:tcW w:w="582" w:type="dxa"/>
            <w:vMerge w:val="restart"/>
            <w:noWrap/>
            <w:vAlign w:val="center"/>
          </w:tcPr>
          <w:p w14:paraId="30DD5D5C">
            <w:pPr>
              <w:adjustRightInd w:val="0"/>
              <w:snapToGrid w:val="0"/>
              <w:jc w:val="center"/>
              <w:rPr>
                <w:color w:val="auto"/>
                <w:szCs w:val="21"/>
              </w:rPr>
            </w:pPr>
            <w:r>
              <w:rPr>
                <w:color w:val="auto"/>
                <w:szCs w:val="21"/>
              </w:rPr>
              <w:t>有组织</w:t>
            </w:r>
          </w:p>
        </w:tc>
        <w:tc>
          <w:tcPr>
            <w:tcW w:w="1275" w:type="dxa"/>
            <w:shd w:val="clear" w:color="auto" w:fill="auto"/>
            <w:vAlign w:val="center"/>
          </w:tcPr>
          <w:p w14:paraId="38AA51FC">
            <w:pPr>
              <w:adjustRightInd w:val="0"/>
              <w:snapToGrid w:val="0"/>
              <w:jc w:val="center"/>
              <w:rPr>
                <w:rFonts w:hint="default" w:ascii="Times New Roman" w:hAnsi="Times New Roman" w:eastAsia="宋体" w:cs="Times New Roman"/>
                <w:bCs/>
                <w:color w:val="auto"/>
                <w:spacing w:val="-10"/>
                <w:kern w:val="2"/>
                <w:sz w:val="21"/>
                <w:szCs w:val="21"/>
                <w:highlight w:val="yellow"/>
                <w:lang w:val="en-US" w:eastAsia="zh-CN" w:bidi="ar-SA"/>
              </w:rPr>
            </w:pPr>
            <w:r>
              <w:rPr>
                <w:rFonts w:hint="default" w:ascii="Times New Roman" w:hAnsi="Times New Roman" w:cs="Times New Roman"/>
                <w:color w:val="auto"/>
                <w:sz w:val="21"/>
                <w:szCs w:val="21"/>
                <w:highlight w:val="none"/>
                <w:lang w:val="en-US" w:eastAsia="zh-CN"/>
              </w:rPr>
              <w:t>钢球生产线</w:t>
            </w:r>
            <w:r>
              <w:rPr>
                <w:rFonts w:hint="default" w:ascii="Times New Roman" w:hAnsi="Times New Roman" w:cs="Times New Roman"/>
                <w:bCs/>
                <w:color w:val="auto"/>
                <w:spacing w:val="-10"/>
                <w:szCs w:val="21"/>
                <w:highlight w:val="none"/>
              </w:rPr>
              <w:t>（DA00</w:t>
            </w:r>
            <w:r>
              <w:rPr>
                <w:rFonts w:hint="default" w:ascii="Times New Roman" w:hAnsi="Times New Roman" w:cs="Times New Roman"/>
                <w:bCs/>
                <w:color w:val="auto"/>
                <w:spacing w:val="-10"/>
                <w:szCs w:val="21"/>
                <w:highlight w:val="none"/>
                <w:lang w:val="en-US" w:eastAsia="zh-CN"/>
              </w:rPr>
              <w:t>5</w:t>
            </w:r>
            <w:r>
              <w:rPr>
                <w:rFonts w:hint="default" w:ascii="Times New Roman" w:hAnsi="Times New Roman" w:cs="Times New Roman"/>
                <w:bCs/>
                <w:color w:val="auto"/>
                <w:spacing w:val="-10"/>
                <w:szCs w:val="21"/>
                <w:highlight w:val="none"/>
              </w:rPr>
              <w:t>）</w:t>
            </w:r>
          </w:p>
        </w:tc>
        <w:tc>
          <w:tcPr>
            <w:tcW w:w="925" w:type="dxa"/>
            <w:shd w:val="clear" w:color="auto" w:fill="auto"/>
            <w:noWrap/>
            <w:vAlign w:val="center"/>
          </w:tcPr>
          <w:p w14:paraId="29EA735F">
            <w:pPr>
              <w:pStyle w:val="116"/>
              <w:spacing w:line="240" w:lineRule="auto"/>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highlight w:val="none"/>
              </w:rPr>
              <w:t>颗粒物</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SO</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NOx</w:t>
            </w:r>
            <w:r>
              <w:rPr>
                <w:rFonts w:hint="eastAsia" w:cs="Times New Roman"/>
                <w:color w:val="auto"/>
                <w:highlight w:val="none"/>
                <w:lang w:eastAsia="zh-CN"/>
              </w:rPr>
              <w:t>、</w:t>
            </w:r>
            <w:r>
              <w:rPr>
                <w:rFonts w:hint="eastAsia" w:ascii="Times New Roman" w:hAnsi="Times New Roman" w:cs="Times New Roman"/>
                <w:color w:val="auto"/>
                <w:sz w:val="21"/>
                <w:szCs w:val="21"/>
                <w:highlight w:val="none"/>
                <w:vertAlign w:val="baseline"/>
                <w:lang w:val="en-US" w:eastAsia="zh-CN"/>
              </w:rPr>
              <w:t>烟气黑度</w:t>
            </w:r>
          </w:p>
        </w:tc>
        <w:tc>
          <w:tcPr>
            <w:tcW w:w="1541" w:type="dxa"/>
            <w:shd w:val="clear" w:color="auto" w:fill="auto"/>
            <w:noWrap/>
            <w:vAlign w:val="center"/>
          </w:tcPr>
          <w:p w14:paraId="531A76F2">
            <w:pPr>
              <w:snapToGrid w:val="0"/>
              <w:jc w:val="center"/>
              <w:rPr>
                <w:rFonts w:hint="default" w:ascii="Times New Roman" w:hAnsi="Times New Roman" w:eastAsia="宋体" w:cs="Times New Roman"/>
                <w:b/>
                <w:bCs/>
                <w:color w:val="auto"/>
                <w:kern w:val="2"/>
                <w:sz w:val="21"/>
                <w:szCs w:val="21"/>
                <w:highlight w:val="yellow"/>
                <w:lang w:val="en-US" w:eastAsia="zh-CN" w:bidi="ar-SA"/>
              </w:rPr>
            </w:pPr>
            <w:r>
              <w:rPr>
                <w:rFonts w:hint="default" w:ascii="Times New Roman" w:hAnsi="Times New Roman" w:eastAsia="宋体" w:cs="Times New Roman"/>
                <w:color w:val="auto"/>
                <w:spacing w:val="-5"/>
                <w:sz w:val="21"/>
                <w:szCs w:val="21"/>
                <w:highlight w:val="none"/>
              </w:rPr>
              <w:t>安装低氮燃烧器</w:t>
            </w:r>
            <w:r>
              <w:rPr>
                <w:rFonts w:hint="default" w:ascii="Times New Roman" w:hAnsi="Times New Roman" w:cs="Times New Roman"/>
                <w:color w:val="auto"/>
                <w:spacing w:val="-5"/>
                <w:sz w:val="21"/>
                <w:szCs w:val="21"/>
                <w:highlight w:val="none"/>
                <w:lang w:eastAsia="zh-CN"/>
              </w:rPr>
              <w:t>，</w:t>
            </w:r>
            <w:r>
              <w:rPr>
                <w:rFonts w:hint="default" w:ascii="Times New Roman" w:hAnsi="Times New Roman" w:cs="Times New Roman"/>
                <w:color w:val="auto"/>
                <w:spacing w:val="-8"/>
                <w:sz w:val="21"/>
                <w:szCs w:val="21"/>
                <w:highlight w:val="none"/>
                <w:lang w:val="en-US" w:eastAsia="zh-CN"/>
              </w:rPr>
              <w:t>经1根27m高排气筒</w:t>
            </w:r>
            <w:r>
              <w:rPr>
                <w:rFonts w:hint="default" w:ascii="Times New Roman" w:hAnsi="Times New Roman" w:cs="Times New Roman"/>
                <w:color w:val="auto"/>
                <w:spacing w:val="-2"/>
                <w:sz w:val="21"/>
                <w:szCs w:val="21"/>
                <w:highlight w:val="none"/>
                <w:lang w:val="en-US" w:eastAsia="zh-CN"/>
              </w:rPr>
              <w:t>排放</w:t>
            </w:r>
            <w:r>
              <w:rPr>
                <w:rFonts w:hint="default" w:ascii="Times New Roman" w:hAnsi="Times New Roman" w:cs="Times New Roman"/>
                <w:color w:val="auto"/>
                <w:szCs w:val="21"/>
              </w:rPr>
              <w:t>，处理能力为</w:t>
            </w:r>
            <w:r>
              <w:rPr>
                <w:rFonts w:hint="default" w:ascii="Times New Roman" w:hAnsi="Times New Roman" w:cs="Times New Roman"/>
                <w:bCs/>
                <w:color w:val="auto"/>
                <w:spacing w:val="-10"/>
                <w:szCs w:val="21"/>
                <w:highlight w:val="none"/>
                <w:lang w:val="en-US" w:eastAsia="zh-CN"/>
              </w:rPr>
              <w:t>104400</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/h</w:t>
            </w:r>
          </w:p>
        </w:tc>
        <w:tc>
          <w:tcPr>
            <w:tcW w:w="2954" w:type="dxa"/>
            <w:vMerge w:val="restart"/>
            <w:noWrap/>
            <w:vAlign w:val="center"/>
          </w:tcPr>
          <w:p w14:paraId="00C32A1E">
            <w:pPr>
              <w:adjustRightInd w:val="0"/>
              <w:snapToGrid w:val="0"/>
              <w:jc w:val="center"/>
              <w:rPr>
                <w:color w:val="auto"/>
                <w:szCs w:val="21"/>
              </w:rPr>
            </w:pPr>
            <w:r>
              <w:rPr>
                <w:rFonts w:hint="eastAsia" w:ascii="Times New Roman" w:hAnsi="Times New Roman" w:cs="Times New Roman"/>
                <w:b w:val="0"/>
                <w:bCs w:val="0"/>
                <w:color w:val="auto"/>
                <w:sz w:val="21"/>
                <w:szCs w:val="21"/>
                <w:highlight w:val="none"/>
                <w:lang w:eastAsia="zh-CN"/>
              </w:rPr>
              <w:t>《</w:t>
            </w:r>
            <w:r>
              <w:rPr>
                <w:rFonts w:hint="default" w:ascii="Times New Roman" w:hAnsi="Times New Roman" w:cs="Times New Roman"/>
                <w:b w:val="0"/>
                <w:bCs w:val="0"/>
                <w:color w:val="auto"/>
                <w:sz w:val="21"/>
                <w:szCs w:val="21"/>
                <w:highlight w:val="none"/>
              </w:rPr>
              <w:t>工业炉窑大气污染物排放标准》</w:t>
            </w:r>
            <w:r>
              <w:rPr>
                <w:rFonts w:hint="eastAsia" w:cs="Times New Roman"/>
                <w:b w:val="0"/>
                <w:bCs w:val="0"/>
                <w:color w:val="auto"/>
                <w:sz w:val="21"/>
                <w:szCs w:val="21"/>
                <w:highlight w:val="none"/>
                <w:lang w:eastAsia="zh-CN"/>
              </w:rPr>
              <w:t>（DB13/1640—2012）</w:t>
            </w:r>
            <w:r>
              <w:rPr>
                <w:rFonts w:hint="default" w:ascii="Times New Roman" w:hAnsi="Times New Roman" w:cs="Times New Roman"/>
                <w:b w:val="0"/>
                <w:bCs w:val="0"/>
                <w:color w:val="auto"/>
                <w:spacing w:val="-4"/>
                <w:sz w:val="21"/>
                <w:szCs w:val="21"/>
                <w:highlight w:val="none"/>
              </w:rPr>
              <w:t>排放限值</w:t>
            </w:r>
            <w:r>
              <w:rPr>
                <w:rFonts w:hint="eastAsia" w:cs="Times New Roman"/>
                <w:b w:val="0"/>
                <w:bCs w:val="0"/>
                <w:color w:val="auto"/>
                <w:spacing w:val="-4"/>
                <w:sz w:val="21"/>
                <w:szCs w:val="21"/>
                <w:highlight w:val="none"/>
                <w:lang w:eastAsia="zh-CN"/>
              </w:rPr>
              <w:t>，</w:t>
            </w:r>
            <w:r>
              <w:rPr>
                <w:rFonts w:hint="default" w:ascii="Times New Roman" w:hAnsi="Times New Roman" w:cs="Times New Roman"/>
                <w:b w:val="0"/>
                <w:bCs w:val="0"/>
                <w:color w:val="auto"/>
                <w:spacing w:val="-4"/>
                <w:sz w:val="21"/>
                <w:szCs w:val="21"/>
                <w:highlight w:val="none"/>
                <w:lang w:eastAsia="zh-CN"/>
              </w:rPr>
              <w:t>同时</w:t>
            </w:r>
            <w:r>
              <w:rPr>
                <w:rFonts w:hint="default" w:ascii="Times New Roman" w:hAnsi="Times New Roman" w:eastAsia="宋体" w:cs="Times New Roman"/>
                <w:snapToGrid w:val="0"/>
                <w:color w:val="auto"/>
                <w:kern w:val="0"/>
                <w:sz w:val="21"/>
                <w:szCs w:val="21"/>
                <w:highlight w:val="none"/>
                <w:lang w:val="en-US" w:eastAsia="zh-CN"/>
              </w:rPr>
              <w:t>执行</w:t>
            </w:r>
            <w:r>
              <w:rPr>
                <w:rFonts w:hint="default" w:ascii="Times New Roman" w:hAnsi="Times New Roman" w:cs="Times New Roman"/>
                <w:b w:val="0"/>
                <w:bCs w:val="0"/>
                <w:color w:val="auto"/>
                <w:spacing w:val="-4"/>
                <w:sz w:val="21"/>
                <w:szCs w:val="21"/>
                <w:highlight w:val="none"/>
                <w:lang w:eastAsia="zh-CN"/>
              </w:rPr>
              <w:t>《工业炉窑大气污染综合治理方案》（环大气[2019]56 号）</w:t>
            </w:r>
            <w:r>
              <w:rPr>
                <w:rFonts w:hint="eastAsia" w:ascii="宋体" w:hAnsi="宋体" w:eastAsia="宋体" w:cs="宋体"/>
                <w:b w:val="0"/>
                <w:bCs w:val="0"/>
                <w:color w:val="auto"/>
                <w:spacing w:val="-4"/>
                <w:sz w:val="21"/>
                <w:szCs w:val="21"/>
                <w:highlight w:val="none"/>
                <w:lang w:eastAsia="zh-CN"/>
              </w:rPr>
              <w:t>中“重点区域”排</w:t>
            </w:r>
            <w:r>
              <w:rPr>
                <w:rFonts w:hint="default" w:ascii="Times New Roman" w:hAnsi="Times New Roman" w:cs="Times New Roman"/>
                <w:b w:val="0"/>
                <w:bCs w:val="0"/>
                <w:color w:val="auto"/>
                <w:spacing w:val="-4"/>
                <w:sz w:val="21"/>
                <w:szCs w:val="21"/>
                <w:highlight w:val="none"/>
                <w:lang w:eastAsia="zh-CN"/>
              </w:rPr>
              <w:t>放浓度要求</w:t>
            </w:r>
          </w:p>
        </w:tc>
      </w:tr>
      <w:tr w14:paraId="1E8D6B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523" w:type="dxa"/>
            <w:vMerge w:val="continue"/>
            <w:noWrap/>
            <w:vAlign w:val="center"/>
          </w:tcPr>
          <w:p w14:paraId="7CB80688">
            <w:pPr>
              <w:adjustRightInd w:val="0"/>
              <w:snapToGrid w:val="0"/>
              <w:jc w:val="center"/>
              <w:rPr>
                <w:color w:val="auto"/>
              </w:rPr>
            </w:pPr>
          </w:p>
        </w:tc>
        <w:tc>
          <w:tcPr>
            <w:tcW w:w="582" w:type="dxa"/>
            <w:vMerge w:val="continue"/>
            <w:noWrap/>
            <w:vAlign w:val="center"/>
          </w:tcPr>
          <w:p w14:paraId="6C1DF95F">
            <w:pPr>
              <w:adjustRightInd w:val="0"/>
              <w:snapToGrid w:val="0"/>
              <w:jc w:val="center"/>
              <w:rPr>
                <w:color w:val="auto"/>
              </w:rPr>
            </w:pPr>
          </w:p>
        </w:tc>
        <w:tc>
          <w:tcPr>
            <w:tcW w:w="1275" w:type="dxa"/>
            <w:shd w:val="clear" w:color="auto" w:fill="auto"/>
            <w:vAlign w:val="center"/>
          </w:tcPr>
          <w:p w14:paraId="214E5263">
            <w:pPr>
              <w:snapToGrid w:val="0"/>
              <w:jc w:val="center"/>
              <w:rPr>
                <w:rFonts w:hint="default" w:ascii="Times New Roman" w:hAnsi="Times New Roman" w:eastAsia="宋体" w:cs="Times New Roman"/>
                <w:bCs/>
                <w:color w:val="auto"/>
                <w:spacing w:val="-10"/>
                <w:kern w:val="2"/>
                <w:sz w:val="21"/>
                <w:szCs w:val="21"/>
                <w:highlight w:val="yellow"/>
                <w:lang w:val="en-US" w:eastAsia="zh-CN" w:bidi="ar-SA"/>
              </w:rPr>
            </w:pPr>
            <w:r>
              <w:rPr>
                <w:rFonts w:hint="default" w:ascii="Times New Roman" w:hAnsi="Times New Roman" w:cs="Times New Roman"/>
                <w:color w:val="auto"/>
                <w:sz w:val="21"/>
                <w:szCs w:val="21"/>
                <w:highlight w:val="none"/>
                <w:lang w:val="en-US" w:eastAsia="zh-CN"/>
              </w:rPr>
              <w:t>自由锻生产线</w:t>
            </w:r>
            <w:r>
              <w:rPr>
                <w:rFonts w:hint="eastAsia" w:ascii="Times New Roman" w:hAnsi="Times New Roman" w:cs="Times New Roman"/>
                <w:color w:val="auto"/>
                <w:sz w:val="21"/>
                <w:szCs w:val="21"/>
                <w:highlight w:val="none"/>
                <w:lang w:val="en-US" w:eastAsia="zh-CN"/>
              </w:rPr>
              <w:t>加热炉</w:t>
            </w:r>
            <w:r>
              <w:rPr>
                <w:rFonts w:hint="default" w:ascii="Times New Roman" w:hAnsi="Times New Roman" w:cs="Times New Roman"/>
                <w:bCs/>
                <w:color w:val="auto"/>
                <w:spacing w:val="-10"/>
                <w:szCs w:val="21"/>
                <w:highlight w:val="none"/>
              </w:rPr>
              <w:t>（DA00</w:t>
            </w:r>
            <w:r>
              <w:rPr>
                <w:rFonts w:hint="default" w:ascii="Times New Roman" w:hAnsi="Times New Roman" w:cs="Times New Roman"/>
                <w:bCs/>
                <w:color w:val="auto"/>
                <w:spacing w:val="-10"/>
                <w:szCs w:val="21"/>
                <w:highlight w:val="none"/>
                <w:lang w:val="en-US" w:eastAsia="zh-CN"/>
              </w:rPr>
              <w:t>6</w:t>
            </w:r>
            <w:r>
              <w:rPr>
                <w:rFonts w:hint="default" w:ascii="Times New Roman" w:hAnsi="Times New Roman" w:cs="Times New Roman"/>
                <w:bCs/>
                <w:color w:val="auto"/>
                <w:spacing w:val="-10"/>
                <w:szCs w:val="21"/>
                <w:highlight w:val="none"/>
              </w:rPr>
              <w:t>）</w:t>
            </w:r>
          </w:p>
        </w:tc>
        <w:tc>
          <w:tcPr>
            <w:tcW w:w="925" w:type="dxa"/>
            <w:shd w:val="clear" w:color="auto" w:fill="auto"/>
            <w:noWrap/>
            <w:vAlign w:val="center"/>
          </w:tcPr>
          <w:p w14:paraId="4B61B781">
            <w:pPr>
              <w:snapToGrid w:val="0"/>
              <w:spacing w:line="240" w:lineRule="auto"/>
              <w:ind w:firstLine="0" w:firstLineChars="0"/>
              <w:jc w:val="center"/>
              <w:rPr>
                <w:rFonts w:hint="default" w:ascii="Times New Roman" w:hAnsi="Times New Roman" w:eastAsia="宋体" w:cs="Times New Roman"/>
                <w:bCs/>
                <w:color w:val="auto"/>
                <w:spacing w:val="-10"/>
                <w:kern w:val="2"/>
                <w:sz w:val="21"/>
                <w:szCs w:val="21"/>
                <w:highlight w:val="none"/>
                <w:lang w:val="en-US" w:eastAsia="zh-CN" w:bidi="ar-SA"/>
              </w:rPr>
            </w:pPr>
            <w:r>
              <w:rPr>
                <w:rFonts w:hint="default" w:ascii="Times New Roman" w:hAnsi="Times New Roman" w:cs="Times New Roman"/>
                <w:color w:val="auto"/>
                <w:highlight w:val="none"/>
              </w:rPr>
              <w:t>颗粒物</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SO</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NOx</w:t>
            </w:r>
            <w:r>
              <w:rPr>
                <w:rFonts w:hint="eastAsia" w:cs="Times New Roman"/>
                <w:color w:val="auto"/>
                <w:highlight w:val="none"/>
                <w:lang w:eastAsia="zh-CN"/>
              </w:rPr>
              <w:t>、</w:t>
            </w:r>
            <w:r>
              <w:rPr>
                <w:rFonts w:hint="eastAsia" w:ascii="Times New Roman" w:hAnsi="Times New Roman" w:cs="Times New Roman"/>
                <w:color w:val="auto"/>
                <w:sz w:val="21"/>
                <w:szCs w:val="21"/>
                <w:highlight w:val="none"/>
                <w:vertAlign w:val="baseline"/>
                <w:lang w:val="en-US" w:eastAsia="zh-CN"/>
              </w:rPr>
              <w:t>烟气黑度</w:t>
            </w:r>
          </w:p>
        </w:tc>
        <w:tc>
          <w:tcPr>
            <w:tcW w:w="1541" w:type="dxa"/>
            <w:shd w:val="clear" w:color="auto" w:fill="auto"/>
            <w:noWrap/>
            <w:vAlign w:val="center"/>
          </w:tcPr>
          <w:p w14:paraId="79B8CF3C">
            <w:pPr>
              <w:spacing w:line="240" w:lineRule="auto"/>
              <w:rPr>
                <w:rFonts w:hint="default" w:ascii="Times New Roman" w:hAnsi="Times New Roman" w:eastAsia="宋体" w:cs="Times New Roman"/>
                <w:b/>
                <w:bCs/>
                <w:color w:val="auto"/>
                <w:kern w:val="2"/>
                <w:sz w:val="21"/>
                <w:szCs w:val="24"/>
                <w:highlight w:val="yellow"/>
                <w:lang w:val="en-US" w:eastAsia="zh-CN" w:bidi="ar-SA"/>
              </w:rPr>
            </w:pPr>
            <w:r>
              <w:rPr>
                <w:rFonts w:hint="default" w:ascii="Times New Roman" w:hAnsi="Times New Roman" w:eastAsia="宋体" w:cs="Times New Roman"/>
                <w:color w:val="auto"/>
                <w:spacing w:val="-5"/>
                <w:sz w:val="21"/>
                <w:szCs w:val="21"/>
                <w:highlight w:val="none"/>
              </w:rPr>
              <w:t>安装低氮燃烧器</w:t>
            </w:r>
            <w:r>
              <w:rPr>
                <w:rFonts w:hint="default" w:ascii="Times New Roman" w:hAnsi="Times New Roman" w:cs="Times New Roman"/>
                <w:color w:val="auto"/>
                <w:spacing w:val="-5"/>
                <w:sz w:val="21"/>
                <w:szCs w:val="21"/>
                <w:highlight w:val="none"/>
                <w:lang w:eastAsia="zh-CN"/>
              </w:rPr>
              <w:t>，</w:t>
            </w:r>
            <w:r>
              <w:rPr>
                <w:rFonts w:hint="default" w:ascii="Times New Roman" w:hAnsi="Times New Roman" w:cs="Times New Roman"/>
                <w:color w:val="auto"/>
                <w:spacing w:val="-8"/>
                <w:sz w:val="21"/>
                <w:szCs w:val="21"/>
                <w:highlight w:val="none"/>
                <w:lang w:val="en-US" w:eastAsia="zh-CN"/>
              </w:rPr>
              <w:t>经1根27m高排气筒</w:t>
            </w:r>
            <w:r>
              <w:rPr>
                <w:rFonts w:hint="default" w:ascii="Times New Roman" w:hAnsi="Times New Roman" w:cs="Times New Roman"/>
                <w:color w:val="auto"/>
                <w:spacing w:val="-2"/>
                <w:sz w:val="21"/>
                <w:szCs w:val="21"/>
                <w:highlight w:val="none"/>
                <w:lang w:val="en-US" w:eastAsia="zh-CN"/>
              </w:rPr>
              <w:t>排放</w:t>
            </w:r>
            <w:r>
              <w:rPr>
                <w:rFonts w:hint="default" w:ascii="Times New Roman" w:hAnsi="Times New Roman" w:cs="Times New Roman"/>
                <w:color w:val="auto"/>
                <w:szCs w:val="21"/>
              </w:rPr>
              <w:t>，处理能力为</w:t>
            </w:r>
            <w:r>
              <w:rPr>
                <w:rFonts w:hint="default" w:ascii="Times New Roman" w:hAnsi="Times New Roman" w:cs="Times New Roman"/>
                <w:bCs/>
                <w:color w:val="auto"/>
                <w:spacing w:val="-10"/>
                <w:szCs w:val="21"/>
                <w:highlight w:val="none"/>
                <w:lang w:val="en-US" w:eastAsia="zh-CN"/>
              </w:rPr>
              <w:t>1</w:t>
            </w:r>
            <w:r>
              <w:rPr>
                <w:rFonts w:hint="eastAsia" w:ascii="Times New Roman" w:hAnsi="Times New Roman" w:cs="Times New Roman"/>
                <w:bCs/>
                <w:color w:val="auto"/>
                <w:spacing w:val="-10"/>
                <w:szCs w:val="21"/>
                <w:highlight w:val="none"/>
                <w:lang w:val="en-US" w:eastAsia="zh-CN"/>
              </w:rPr>
              <w:t>7</w:t>
            </w:r>
            <w:r>
              <w:rPr>
                <w:rFonts w:hint="default" w:ascii="Times New Roman" w:hAnsi="Times New Roman" w:cs="Times New Roman"/>
                <w:bCs/>
                <w:color w:val="auto"/>
                <w:spacing w:val="-10"/>
                <w:szCs w:val="21"/>
                <w:highlight w:val="none"/>
                <w:lang w:val="en-US" w:eastAsia="zh-CN"/>
              </w:rPr>
              <w:t>600</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/h</w:t>
            </w:r>
          </w:p>
        </w:tc>
        <w:tc>
          <w:tcPr>
            <w:tcW w:w="2954" w:type="dxa"/>
            <w:vMerge w:val="continue"/>
            <w:noWrap/>
            <w:vAlign w:val="center"/>
          </w:tcPr>
          <w:p w14:paraId="070BA6D0">
            <w:pPr>
              <w:adjustRightInd w:val="0"/>
              <w:snapToGrid w:val="0"/>
              <w:jc w:val="center"/>
              <w:rPr>
                <w:rFonts w:hint="eastAsia"/>
                <w:color w:val="auto"/>
                <w:szCs w:val="21"/>
              </w:rPr>
            </w:pPr>
          </w:p>
        </w:tc>
      </w:tr>
      <w:tr w14:paraId="1E4D4A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523" w:type="dxa"/>
            <w:vMerge w:val="continue"/>
            <w:noWrap/>
            <w:vAlign w:val="center"/>
          </w:tcPr>
          <w:p w14:paraId="0DF64F09">
            <w:pPr>
              <w:adjustRightInd w:val="0"/>
              <w:snapToGrid w:val="0"/>
              <w:jc w:val="center"/>
              <w:rPr>
                <w:color w:val="auto"/>
              </w:rPr>
            </w:pPr>
          </w:p>
        </w:tc>
        <w:tc>
          <w:tcPr>
            <w:tcW w:w="582" w:type="dxa"/>
            <w:vMerge w:val="continue"/>
            <w:noWrap/>
            <w:vAlign w:val="center"/>
          </w:tcPr>
          <w:p w14:paraId="0A8DAD28">
            <w:pPr>
              <w:adjustRightInd w:val="0"/>
              <w:snapToGrid w:val="0"/>
              <w:jc w:val="center"/>
              <w:rPr>
                <w:color w:val="auto"/>
              </w:rPr>
            </w:pPr>
          </w:p>
        </w:tc>
        <w:tc>
          <w:tcPr>
            <w:tcW w:w="1275" w:type="dxa"/>
            <w:shd w:val="clear" w:color="auto" w:fill="auto"/>
            <w:vAlign w:val="center"/>
          </w:tcPr>
          <w:p w14:paraId="3FE68647">
            <w:pPr>
              <w:snapToGrid w:val="0"/>
              <w:jc w:val="center"/>
              <w:rPr>
                <w:rFonts w:hint="default" w:ascii="Times New Roman" w:hAnsi="Times New Roman" w:eastAsia="宋体" w:cs="Times New Roman"/>
                <w:bCs/>
                <w:color w:val="auto"/>
                <w:spacing w:val="-10"/>
                <w:kern w:val="2"/>
                <w:sz w:val="21"/>
                <w:szCs w:val="21"/>
                <w:highlight w:val="yellow"/>
                <w:lang w:val="en-US" w:eastAsia="zh-CN" w:bidi="ar-SA"/>
              </w:rPr>
            </w:pPr>
            <w:r>
              <w:rPr>
                <w:rFonts w:hint="default" w:ascii="Times New Roman" w:hAnsi="Times New Roman" w:cs="Times New Roman"/>
                <w:color w:val="auto"/>
                <w:sz w:val="21"/>
                <w:szCs w:val="21"/>
                <w:highlight w:val="none"/>
                <w:lang w:val="en-US" w:eastAsia="zh-CN"/>
              </w:rPr>
              <w:t>自由锻生产线</w:t>
            </w:r>
            <w:r>
              <w:rPr>
                <w:rFonts w:hint="eastAsia" w:ascii="Times New Roman" w:hAnsi="Times New Roman" w:cs="Times New Roman"/>
                <w:color w:val="auto"/>
                <w:sz w:val="21"/>
                <w:szCs w:val="21"/>
                <w:highlight w:val="none"/>
                <w:lang w:val="en-US" w:eastAsia="zh-CN"/>
              </w:rPr>
              <w:t>回火炉</w:t>
            </w:r>
            <w:r>
              <w:rPr>
                <w:rFonts w:hint="default" w:ascii="Times New Roman" w:hAnsi="Times New Roman" w:cs="Times New Roman"/>
                <w:bCs/>
                <w:color w:val="auto"/>
                <w:spacing w:val="-10"/>
                <w:szCs w:val="21"/>
                <w:highlight w:val="none"/>
              </w:rPr>
              <w:t>（DA00</w:t>
            </w:r>
            <w:r>
              <w:rPr>
                <w:rFonts w:hint="eastAsia" w:ascii="Times New Roman" w:hAnsi="Times New Roman" w:cs="Times New Roman"/>
                <w:bCs/>
                <w:color w:val="auto"/>
                <w:spacing w:val="-10"/>
                <w:szCs w:val="21"/>
                <w:highlight w:val="none"/>
                <w:lang w:val="en-US" w:eastAsia="zh-CN"/>
              </w:rPr>
              <w:t>7</w:t>
            </w:r>
            <w:r>
              <w:rPr>
                <w:rFonts w:hint="default" w:ascii="Times New Roman" w:hAnsi="Times New Roman" w:cs="Times New Roman"/>
                <w:bCs/>
                <w:color w:val="auto"/>
                <w:spacing w:val="-10"/>
                <w:szCs w:val="21"/>
                <w:highlight w:val="none"/>
              </w:rPr>
              <w:t>）</w:t>
            </w:r>
          </w:p>
        </w:tc>
        <w:tc>
          <w:tcPr>
            <w:tcW w:w="925" w:type="dxa"/>
            <w:shd w:val="clear" w:color="auto" w:fill="auto"/>
            <w:noWrap/>
            <w:vAlign w:val="center"/>
          </w:tcPr>
          <w:p w14:paraId="067D415C">
            <w:pPr>
              <w:snapToGrid w:val="0"/>
              <w:spacing w:line="240" w:lineRule="auto"/>
              <w:ind w:firstLine="0" w:firstLineChars="0"/>
              <w:jc w:val="center"/>
              <w:rPr>
                <w:rFonts w:hint="eastAsia" w:ascii="Times New Roman" w:hAnsi="Times New Roman" w:eastAsia="宋体" w:cs="Times New Roman"/>
                <w:bCs/>
                <w:color w:val="auto"/>
                <w:spacing w:val="-10"/>
                <w:kern w:val="2"/>
                <w:sz w:val="21"/>
                <w:szCs w:val="21"/>
                <w:highlight w:val="none"/>
                <w:lang w:val="en-US" w:eastAsia="zh-CN" w:bidi="ar-SA"/>
              </w:rPr>
            </w:pPr>
            <w:r>
              <w:rPr>
                <w:rFonts w:hint="default" w:ascii="Times New Roman" w:hAnsi="Times New Roman" w:cs="Times New Roman"/>
                <w:color w:val="auto"/>
                <w:highlight w:val="none"/>
              </w:rPr>
              <w:t>颗粒物</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SO</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NOx</w:t>
            </w:r>
            <w:r>
              <w:rPr>
                <w:rFonts w:hint="eastAsia" w:cs="Times New Roman"/>
                <w:color w:val="auto"/>
                <w:highlight w:val="none"/>
                <w:lang w:eastAsia="zh-CN"/>
              </w:rPr>
              <w:t>、</w:t>
            </w:r>
            <w:r>
              <w:rPr>
                <w:rFonts w:hint="eastAsia" w:ascii="Times New Roman" w:hAnsi="Times New Roman" w:cs="Times New Roman"/>
                <w:color w:val="auto"/>
                <w:sz w:val="21"/>
                <w:szCs w:val="21"/>
                <w:highlight w:val="none"/>
                <w:vertAlign w:val="baseline"/>
                <w:lang w:val="en-US" w:eastAsia="zh-CN"/>
              </w:rPr>
              <w:t>烟气黑度</w:t>
            </w:r>
          </w:p>
        </w:tc>
        <w:tc>
          <w:tcPr>
            <w:tcW w:w="1541" w:type="dxa"/>
            <w:shd w:val="clear" w:color="auto" w:fill="auto"/>
            <w:noWrap/>
            <w:vAlign w:val="center"/>
          </w:tcPr>
          <w:p w14:paraId="53256B1B">
            <w:pPr>
              <w:spacing w:line="240" w:lineRule="auto"/>
              <w:rPr>
                <w:rFonts w:hint="default" w:ascii="Times New Roman" w:hAnsi="Times New Roman" w:eastAsia="宋体" w:cs="Times New Roman"/>
                <w:b/>
                <w:bCs/>
                <w:color w:val="auto"/>
                <w:kern w:val="2"/>
                <w:sz w:val="21"/>
                <w:szCs w:val="24"/>
                <w:highlight w:val="yellow"/>
                <w:lang w:val="en-US" w:eastAsia="zh-CN" w:bidi="ar-SA"/>
              </w:rPr>
            </w:pPr>
            <w:r>
              <w:rPr>
                <w:rFonts w:hint="default" w:ascii="Times New Roman" w:hAnsi="Times New Roman" w:eastAsia="宋体" w:cs="Times New Roman"/>
                <w:color w:val="auto"/>
                <w:spacing w:val="-5"/>
                <w:sz w:val="21"/>
                <w:szCs w:val="21"/>
                <w:highlight w:val="none"/>
              </w:rPr>
              <w:t>安装低氮燃烧器</w:t>
            </w:r>
            <w:r>
              <w:rPr>
                <w:rFonts w:hint="default" w:ascii="Times New Roman" w:hAnsi="Times New Roman" w:cs="Times New Roman"/>
                <w:color w:val="auto"/>
                <w:spacing w:val="-5"/>
                <w:sz w:val="21"/>
                <w:szCs w:val="21"/>
                <w:highlight w:val="none"/>
                <w:lang w:eastAsia="zh-CN"/>
              </w:rPr>
              <w:t>，</w:t>
            </w:r>
            <w:r>
              <w:rPr>
                <w:rFonts w:hint="default" w:ascii="Times New Roman" w:hAnsi="Times New Roman" w:cs="Times New Roman"/>
                <w:color w:val="auto"/>
                <w:spacing w:val="-8"/>
                <w:sz w:val="21"/>
                <w:szCs w:val="21"/>
                <w:highlight w:val="none"/>
                <w:lang w:val="en-US" w:eastAsia="zh-CN"/>
              </w:rPr>
              <w:t>经1根27m高排气筒</w:t>
            </w:r>
            <w:r>
              <w:rPr>
                <w:rFonts w:hint="default" w:ascii="Times New Roman" w:hAnsi="Times New Roman" w:cs="Times New Roman"/>
                <w:color w:val="auto"/>
                <w:spacing w:val="-2"/>
                <w:sz w:val="21"/>
                <w:szCs w:val="21"/>
                <w:highlight w:val="none"/>
                <w:lang w:val="en-US" w:eastAsia="zh-CN"/>
              </w:rPr>
              <w:t>排放</w:t>
            </w:r>
            <w:r>
              <w:rPr>
                <w:rFonts w:hint="default" w:ascii="Times New Roman" w:hAnsi="Times New Roman" w:cs="Times New Roman"/>
                <w:color w:val="auto"/>
                <w:szCs w:val="21"/>
              </w:rPr>
              <w:t>，处理能力为</w:t>
            </w:r>
            <w:r>
              <w:rPr>
                <w:rFonts w:hint="eastAsia" w:ascii="Times New Roman" w:hAnsi="Times New Roman" w:cs="Times New Roman"/>
                <w:color w:val="auto"/>
                <w:szCs w:val="21"/>
                <w:lang w:val="en-US" w:eastAsia="zh-CN"/>
              </w:rPr>
              <w:t>720</w:t>
            </w:r>
            <w:r>
              <w:rPr>
                <w:rFonts w:hint="default" w:ascii="Times New Roman" w:hAnsi="Times New Roman" w:cs="Times New Roman"/>
                <w:bCs/>
                <w:color w:val="auto"/>
                <w:spacing w:val="-10"/>
                <w:szCs w:val="21"/>
                <w:highlight w:val="none"/>
                <w:lang w:val="en-US" w:eastAsia="zh-CN"/>
              </w:rPr>
              <w:t>0</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/h</w:t>
            </w:r>
          </w:p>
        </w:tc>
        <w:tc>
          <w:tcPr>
            <w:tcW w:w="2954" w:type="dxa"/>
            <w:vMerge w:val="continue"/>
            <w:noWrap/>
            <w:vAlign w:val="center"/>
          </w:tcPr>
          <w:p w14:paraId="387AAEA1">
            <w:pPr>
              <w:adjustRightInd w:val="0"/>
              <w:snapToGrid w:val="0"/>
              <w:jc w:val="center"/>
              <w:rPr>
                <w:rFonts w:hint="eastAsia"/>
                <w:color w:val="auto"/>
                <w:szCs w:val="21"/>
              </w:rPr>
            </w:pPr>
          </w:p>
        </w:tc>
      </w:tr>
      <w:tr w14:paraId="13F7DD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523" w:type="dxa"/>
            <w:vMerge w:val="continue"/>
            <w:noWrap/>
            <w:vAlign w:val="center"/>
          </w:tcPr>
          <w:p w14:paraId="5D2E6876">
            <w:pPr>
              <w:adjustRightInd w:val="0"/>
              <w:snapToGrid w:val="0"/>
              <w:jc w:val="center"/>
              <w:rPr>
                <w:rFonts w:hint="eastAsia"/>
                <w:color w:val="auto"/>
                <w:szCs w:val="21"/>
              </w:rPr>
            </w:pPr>
          </w:p>
        </w:tc>
        <w:tc>
          <w:tcPr>
            <w:tcW w:w="582" w:type="dxa"/>
            <w:vMerge w:val="continue"/>
            <w:noWrap/>
            <w:vAlign w:val="center"/>
          </w:tcPr>
          <w:p w14:paraId="328D2361">
            <w:pPr>
              <w:adjustRightInd w:val="0"/>
              <w:snapToGrid w:val="0"/>
              <w:jc w:val="center"/>
              <w:rPr>
                <w:rFonts w:hint="eastAsia"/>
                <w:color w:val="auto"/>
                <w:szCs w:val="21"/>
              </w:rPr>
            </w:pPr>
          </w:p>
        </w:tc>
        <w:tc>
          <w:tcPr>
            <w:tcW w:w="1275" w:type="dxa"/>
            <w:shd w:val="clear" w:color="auto" w:fill="auto"/>
            <w:vAlign w:val="center"/>
          </w:tcPr>
          <w:p w14:paraId="1C0F0B43">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重型车间抛丸废气（DA004）</w:t>
            </w:r>
          </w:p>
        </w:tc>
        <w:tc>
          <w:tcPr>
            <w:tcW w:w="925" w:type="dxa"/>
            <w:shd w:val="clear" w:color="auto" w:fill="auto"/>
            <w:noWrap/>
            <w:vAlign w:val="center"/>
          </w:tcPr>
          <w:p w14:paraId="1D12987F">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颗粒物</w:t>
            </w:r>
          </w:p>
        </w:tc>
        <w:tc>
          <w:tcPr>
            <w:tcW w:w="1541" w:type="dxa"/>
            <w:shd w:val="clear" w:color="auto" w:fill="auto"/>
            <w:noWrap/>
            <w:vAlign w:val="center"/>
          </w:tcPr>
          <w:p w14:paraId="5387175E">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二级滤筒除尘器+</w:t>
            </w:r>
            <w:r>
              <w:rPr>
                <w:rFonts w:hint="eastAsia"/>
                <w:color w:val="auto"/>
                <w:szCs w:val="21"/>
                <w:lang w:val="en-US" w:eastAsia="zh-CN"/>
              </w:rPr>
              <w:t>25</w:t>
            </w:r>
            <w:r>
              <w:rPr>
                <w:color w:val="auto"/>
                <w:szCs w:val="21"/>
              </w:rPr>
              <w:t>m</w:t>
            </w:r>
            <w:r>
              <w:rPr>
                <w:rFonts w:hint="eastAsia"/>
                <w:color w:val="auto"/>
                <w:szCs w:val="21"/>
              </w:rPr>
              <w:t>高</w:t>
            </w:r>
            <w:r>
              <w:rPr>
                <w:color w:val="auto"/>
                <w:szCs w:val="21"/>
              </w:rPr>
              <w:t>排气筒</w:t>
            </w:r>
            <w:r>
              <w:rPr>
                <w:rFonts w:hint="eastAsia"/>
                <w:color w:val="auto"/>
                <w:szCs w:val="21"/>
              </w:rPr>
              <w:t>，处理能力</w:t>
            </w:r>
            <w:r>
              <w:rPr>
                <w:color w:val="auto"/>
                <w:szCs w:val="21"/>
              </w:rPr>
              <w:t>为</w:t>
            </w:r>
            <w:r>
              <w:rPr>
                <w:rFonts w:hint="eastAsia"/>
                <w:color w:val="auto"/>
                <w:szCs w:val="21"/>
              </w:rPr>
              <w:t>24</w:t>
            </w:r>
            <w:r>
              <w:rPr>
                <w:color w:val="auto"/>
                <w:szCs w:val="21"/>
              </w:rPr>
              <w:t>000m</w:t>
            </w:r>
            <w:r>
              <w:rPr>
                <w:color w:val="auto"/>
                <w:szCs w:val="21"/>
                <w:vertAlign w:val="superscript"/>
              </w:rPr>
              <w:t>3</w:t>
            </w:r>
            <w:r>
              <w:rPr>
                <w:color w:val="auto"/>
                <w:szCs w:val="21"/>
              </w:rPr>
              <w:t>/h</w:t>
            </w:r>
          </w:p>
        </w:tc>
        <w:tc>
          <w:tcPr>
            <w:tcW w:w="2954" w:type="dxa"/>
            <w:shd w:val="clear" w:color="auto" w:fill="auto"/>
            <w:noWrap/>
            <w:vAlign w:val="center"/>
          </w:tcPr>
          <w:p w14:paraId="7A94957F">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《钢铁工业大气污染物超低排放标准》（DB13/2169-2018）表1轧钢</w:t>
            </w:r>
            <w:r>
              <w:rPr>
                <w:rFonts w:hint="eastAsia"/>
                <w:color w:val="auto"/>
                <w:szCs w:val="21"/>
              </w:rPr>
              <w:t>（</w:t>
            </w:r>
            <w:r>
              <w:rPr>
                <w:color w:val="auto"/>
                <w:szCs w:val="21"/>
              </w:rPr>
              <w:t>热处理炉、拉矫、精整、抛丸、修磨、焊接机及其他生产设施</w:t>
            </w:r>
            <w:r>
              <w:rPr>
                <w:rFonts w:hint="eastAsia"/>
                <w:color w:val="auto"/>
                <w:szCs w:val="21"/>
              </w:rPr>
              <w:t>）</w:t>
            </w:r>
            <w:r>
              <w:rPr>
                <w:color w:val="auto"/>
                <w:szCs w:val="21"/>
              </w:rPr>
              <w:t>颗粒物排放限值</w:t>
            </w:r>
          </w:p>
        </w:tc>
      </w:tr>
      <w:tr w14:paraId="12DF6E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75" w:hRule="atLeast"/>
          <w:jc w:val="center"/>
        </w:trPr>
        <w:tc>
          <w:tcPr>
            <w:tcW w:w="1523" w:type="dxa"/>
            <w:vMerge w:val="continue"/>
            <w:noWrap/>
            <w:vAlign w:val="center"/>
          </w:tcPr>
          <w:p w14:paraId="7CA17721">
            <w:pPr>
              <w:adjustRightInd w:val="0"/>
              <w:snapToGrid w:val="0"/>
              <w:jc w:val="center"/>
              <w:rPr>
                <w:color w:val="auto"/>
                <w:szCs w:val="21"/>
              </w:rPr>
            </w:pPr>
          </w:p>
        </w:tc>
        <w:tc>
          <w:tcPr>
            <w:tcW w:w="582" w:type="dxa"/>
            <w:noWrap/>
            <w:vAlign w:val="center"/>
          </w:tcPr>
          <w:p w14:paraId="1A42ACC3">
            <w:pPr>
              <w:adjustRightInd w:val="0"/>
              <w:snapToGrid w:val="0"/>
              <w:jc w:val="center"/>
              <w:rPr>
                <w:snapToGrid w:val="0"/>
                <w:color w:val="auto"/>
                <w:szCs w:val="21"/>
              </w:rPr>
            </w:pPr>
            <w:r>
              <w:rPr>
                <w:rFonts w:hint="eastAsia"/>
                <w:snapToGrid w:val="0"/>
                <w:color w:val="auto"/>
                <w:szCs w:val="21"/>
              </w:rPr>
              <w:t>无组织</w:t>
            </w:r>
          </w:p>
        </w:tc>
        <w:tc>
          <w:tcPr>
            <w:tcW w:w="1275" w:type="dxa"/>
            <w:vAlign w:val="center"/>
          </w:tcPr>
          <w:p w14:paraId="78B86CB5">
            <w:pPr>
              <w:adjustRightInd w:val="0"/>
              <w:snapToGrid w:val="0"/>
              <w:jc w:val="center"/>
              <w:rPr>
                <w:snapToGrid w:val="0"/>
                <w:color w:val="auto"/>
                <w:szCs w:val="21"/>
              </w:rPr>
            </w:pPr>
            <w:r>
              <w:rPr>
                <w:snapToGrid w:val="0"/>
                <w:color w:val="auto"/>
                <w:szCs w:val="21"/>
              </w:rPr>
              <w:t>厂界</w:t>
            </w:r>
          </w:p>
        </w:tc>
        <w:tc>
          <w:tcPr>
            <w:tcW w:w="925" w:type="dxa"/>
            <w:noWrap/>
            <w:vAlign w:val="center"/>
          </w:tcPr>
          <w:p w14:paraId="216B934A">
            <w:pPr>
              <w:adjustRightInd w:val="0"/>
              <w:snapToGrid w:val="0"/>
              <w:jc w:val="center"/>
              <w:rPr>
                <w:snapToGrid w:val="0"/>
                <w:color w:val="auto"/>
                <w:szCs w:val="21"/>
              </w:rPr>
            </w:pPr>
            <w:r>
              <w:rPr>
                <w:rFonts w:hint="eastAsia"/>
                <w:snapToGrid w:val="0"/>
                <w:color w:val="auto"/>
                <w:szCs w:val="21"/>
              </w:rPr>
              <w:t>颗粒物</w:t>
            </w:r>
          </w:p>
        </w:tc>
        <w:tc>
          <w:tcPr>
            <w:tcW w:w="1541" w:type="dxa"/>
            <w:noWrap/>
            <w:vAlign w:val="center"/>
          </w:tcPr>
          <w:p w14:paraId="4C767879">
            <w:pPr>
              <w:adjustRightInd w:val="0"/>
              <w:snapToGrid w:val="0"/>
              <w:jc w:val="center"/>
              <w:rPr>
                <w:color w:val="auto"/>
                <w:szCs w:val="21"/>
              </w:rPr>
            </w:pPr>
            <w:r>
              <w:rPr>
                <w:rFonts w:hint="eastAsia"/>
                <w:color w:val="auto"/>
                <w:szCs w:val="21"/>
              </w:rPr>
              <w:t>车间封闭</w:t>
            </w:r>
          </w:p>
        </w:tc>
        <w:tc>
          <w:tcPr>
            <w:tcW w:w="2954" w:type="dxa"/>
            <w:noWrap/>
            <w:vAlign w:val="center"/>
          </w:tcPr>
          <w:p w14:paraId="1FF68F07">
            <w:pPr>
              <w:adjustRightInd w:val="0"/>
              <w:snapToGrid w:val="0"/>
              <w:jc w:val="center"/>
              <w:rPr>
                <w:color w:val="auto"/>
                <w:szCs w:val="21"/>
              </w:rPr>
            </w:pPr>
            <w:r>
              <w:rPr>
                <w:color w:val="auto"/>
                <w:szCs w:val="21"/>
              </w:rPr>
              <w:t>《钢铁工业大气污染物超低排放标准》（DB13/2169-2018）表</w:t>
            </w:r>
            <w:r>
              <w:rPr>
                <w:rFonts w:hint="eastAsia"/>
                <w:color w:val="auto"/>
                <w:szCs w:val="21"/>
              </w:rPr>
              <w:t>5企业大气污染物无组织排放浓度限值</w:t>
            </w:r>
          </w:p>
        </w:tc>
      </w:tr>
      <w:tr w14:paraId="05162D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23" w:type="dxa"/>
            <w:noWrap/>
            <w:vAlign w:val="center"/>
          </w:tcPr>
          <w:p w14:paraId="0229C7F9">
            <w:pPr>
              <w:adjustRightInd w:val="0"/>
              <w:snapToGrid w:val="0"/>
              <w:jc w:val="center"/>
              <w:rPr>
                <w:color w:val="auto"/>
                <w:szCs w:val="21"/>
              </w:rPr>
            </w:pPr>
            <w:r>
              <w:rPr>
                <w:color w:val="auto"/>
                <w:szCs w:val="21"/>
              </w:rPr>
              <w:t>地表水环境</w:t>
            </w:r>
          </w:p>
        </w:tc>
        <w:tc>
          <w:tcPr>
            <w:tcW w:w="1857" w:type="dxa"/>
            <w:gridSpan w:val="2"/>
            <w:noWrap/>
            <w:vAlign w:val="center"/>
          </w:tcPr>
          <w:p w14:paraId="19F11BFB">
            <w:pPr>
              <w:adjustRightInd w:val="0"/>
              <w:snapToGrid w:val="0"/>
              <w:jc w:val="center"/>
              <w:rPr>
                <w:color w:val="auto"/>
                <w:szCs w:val="21"/>
              </w:rPr>
            </w:pPr>
            <w:r>
              <w:rPr>
                <w:rFonts w:hint="eastAsia"/>
                <w:color w:val="auto"/>
                <w:szCs w:val="21"/>
              </w:rPr>
              <w:t>/</w:t>
            </w:r>
          </w:p>
        </w:tc>
        <w:tc>
          <w:tcPr>
            <w:tcW w:w="925" w:type="dxa"/>
            <w:noWrap/>
            <w:vAlign w:val="center"/>
          </w:tcPr>
          <w:p w14:paraId="28F0DC82">
            <w:pPr>
              <w:adjustRightInd w:val="0"/>
              <w:snapToGrid w:val="0"/>
              <w:jc w:val="center"/>
              <w:rPr>
                <w:color w:val="auto"/>
                <w:szCs w:val="21"/>
              </w:rPr>
            </w:pPr>
            <w:r>
              <w:rPr>
                <w:color w:val="auto"/>
                <w:szCs w:val="21"/>
              </w:rPr>
              <w:t>/</w:t>
            </w:r>
          </w:p>
        </w:tc>
        <w:tc>
          <w:tcPr>
            <w:tcW w:w="1541" w:type="dxa"/>
            <w:noWrap/>
            <w:vAlign w:val="center"/>
          </w:tcPr>
          <w:p w14:paraId="11E674A1">
            <w:pPr>
              <w:adjustRightInd w:val="0"/>
              <w:snapToGrid w:val="0"/>
              <w:jc w:val="center"/>
              <w:rPr>
                <w:color w:val="auto"/>
                <w:szCs w:val="21"/>
              </w:rPr>
            </w:pPr>
            <w:r>
              <w:rPr>
                <w:rFonts w:hint="eastAsia"/>
                <w:color w:val="auto"/>
                <w:szCs w:val="21"/>
              </w:rPr>
              <w:t>/</w:t>
            </w:r>
          </w:p>
        </w:tc>
        <w:tc>
          <w:tcPr>
            <w:tcW w:w="2954" w:type="dxa"/>
            <w:noWrap/>
            <w:vAlign w:val="center"/>
          </w:tcPr>
          <w:p w14:paraId="6009BB87">
            <w:pPr>
              <w:adjustRightInd w:val="0"/>
              <w:snapToGrid w:val="0"/>
              <w:jc w:val="center"/>
              <w:rPr>
                <w:color w:val="auto"/>
                <w:szCs w:val="21"/>
              </w:rPr>
            </w:pPr>
            <w:r>
              <w:rPr>
                <w:color w:val="auto"/>
                <w:szCs w:val="21"/>
              </w:rPr>
              <w:t>/</w:t>
            </w:r>
          </w:p>
        </w:tc>
      </w:tr>
      <w:tr w14:paraId="1551FB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99" w:hRule="atLeast"/>
          <w:jc w:val="center"/>
        </w:trPr>
        <w:tc>
          <w:tcPr>
            <w:tcW w:w="1523" w:type="dxa"/>
            <w:noWrap/>
            <w:vAlign w:val="center"/>
          </w:tcPr>
          <w:p w14:paraId="32F41C30">
            <w:pPr>
              <w:adjustRightInd w:val="0"/>
              <w:snapToGrid w:val="0"/>
              <w:jc w:val="center"/>
              <w:rPr>
                <w:color w:val="auto"/>
                <w:szCs w:val="21"/>
              </w:rPr>
            </w:pPr>
            <w:r>
              <w:rPr>
                <w:color w:val="auto"/>
                <w:szCs w:val="21"/>
              </w:rPr>
              <w:t>声环境</w:t>
            </w:r>
          </w:p>
        </w:tc>
        <w:tc>
          <w:tcPr>
            <w:tcW w:w="1857" w:type="dxa"/>
            <w:gridSpan w:val="2"/>
            <w:noWrap/>
            <w:vAlign w:val="center"/>
          </w:tcPr>
          <w:p w14:paraId="6D8CE6A3">
            <w:pPr>
              <w:adjustRightInd w:val="0"/>
              <w:snapToGrid w:val="0"/>
              <w:jc w:val="center"/>
              <w:rPr>
                <w:color w:val="auto"/>
                <w:szCs w:val="21"/>
              </w:rPr>
            </w:pPr>
            <w:r>
              <w:rPr>
                <w:color w:val="auto"/>
                <w:szCs w:val="21"/>
              </w:rPr>
              <w:t>生产设备等运行时产生的噪声</w:t>
            </w:r>
          </w:p>
        </w:tc>
        <w:tc>
          <w:tcPr>
            <w:tcW w:w="925" w:type="dxa"/>
            <w:noWrap/>
            <w:vAlign w:val="center"/>
          </w:tcPr>
          <w:p w14:paraId="23B59E47">
            <w:pPr>
              <w:adjustRightInd w:val="0"/>
              <w:snapToGrid w:val="0"/>
              <w:jc w:val="center"/>
              <w:rPr>
                <w:color w:val="auto"/>
                <w:szCs w:val="21"/>
              </w:rPr>
            </w:pPr>
            <w:r>
              <w:rPr>
                <w:color w:val="auto"/>
                <w:szCs w:val="21"/>
              </w:rPr>
              <w:t>噪声</w:t>
            </w:r>
          </w:p>
        </w:tc>
        <w:tc>
          <w:tcPr>
            <w:tcW w:w="1541" w:type="dxa"/>
            <w:noWrap/>
            <w:vAlign w:val="center"/>
          </w:tcPr>
          <w:p w14:paraId="475C9B43">
            <w:pPr>
              <w:adjustRightInd w:val="0"/>
              <w:snapToGrid w:val="0"/>
              <w:jc w:val="center"/>
              <w:rPr>
                <w:color w:val="auto"/>
                <w:szCs w:val="21"/>
              </w:rPr>
            </w:pPr>
            <w:r>
              <w:rPr>
                <w:color w:val="auto"/>
                <w:szCs w:val="21"/>
              </w:rPr>
              <w:t>设备</w:t>
            </w:r>
            <w:r>
              <w:rPr>
                <w:rFonts w:hint="eastAsia"/>
                <w:snapToGrid w:val="0"/>
                <w:color w:val="auto"/>
                <w:szCs w:val="21"/>
              </w:rPr>
              <w:t>置于</w:t>
            </w:r>
            <w:r>
              <w:rPr>
                <w:snapToGrid w:val="0"/>
                <w:color w:val="auto"/>
                <w:szCs w:val="21"/>
              </w:rPr>
              <w:t>封闭车间内</w:t>
            </w:r>
            <w:r>
              <w:rPr>
                <w:color w:val="auto"/>
                <w:szCs w:val="21"/>
              </w:rPr>
              <w:t>，采取低噪声设备，设备基础减震，建筑隔声等措施</w:t>
            </w:r>
          </w:p>
        </w:tc>
        <w:tc>
          <w:tcPr>
            <w:tcW w:w="2954" w:type="dxa"/>
            <w:noWrap/>
            <w:vAlign w:val="center"/>
          </w:tcPr>
          <w:p w14:paraId="1369799D">
            <w:pPr>
              <w:widowControl/>
              <w:adjustRightInd w:val="0"/>
              <w:snapToGrid w:val="0"/>
              <w:jc w:val="center"/>
              <w:rPr>
                <w:color w:val="auto"/>
                <w:szCs w:val="21"/>
              </w:rPr>
            </w:pPr>
            <w:r>
              <w:rPr>
                <w:snapToGrid w:val="0"/>
                <w:color w:val="auto"/>
                <w:szCs w:val="21"/>
              </w:rPr>
              <w:t>《工业企业厂界环境噪声排放标准》（GB12348-2008）</w:t>
            </w:r>
            <w:r>
              <w:rPr>
                <w:rFonts w:hint="eastAsia"/>
                <w:snapToGrid w:val="0"/>
                <w:color w:val="auto"/>
                <w:szCs w:val="21"/>
              </w:rPr>
              <w:t>3</w:t>
            </w:r>
            <w:r>
              <w:rPr>
                <w:snapToGrid w:val="0"/>
                <w:color w:val="auto"/>
                <w:szCs w:val="21"/>
              </w:rPr>
              <w:t>类</w:t>
            </w:r>
            <w:r>
              <w:rPr>
                <w:rFonts w:hint="eastAsia"/>
                <w:snapToGrid w:val="0"/>
                <w:color w:val="auto"/>
                <w:szCs w:val="21"/>
              </w:rPr>
              <w:t>、4类</w:t>
            </w:r>
            <w:r>
              <w:rPr>
                <w:snapToGrid w:val="0"/>
                <w:color w:val="auto"/>
                <w:szCs w:val="21"/>
              </w:rPr>
              <w:t>标准</w:t>
            </w:r>
            <w:r>
              <w:rPr>
                <w:color w:val="auto"/>
                <w:szCs w:val="21"/>
              </w:rPr>
              <w:t xml:space="preserve"> </w:t>
            </w:r>
          </w:p>
        </w:tc>
      </w:tr>
      <w:tr w14:paraId="6BC50D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523" w:type="dxa"/>
            <w:noWrap/>
            <w:vAlign w:val="center"/>
          </w:tcPr>
          <w:p w14:paraId="44FB6E42">
            <w:pPr>
              <w:adjustRightInd w:val="0"/>
              <w:snapToGrid w:val="0"/>
              <w:jc w:val="center"/>
              <w:rPr>
                <w:color w:val="auto"/>
                <w:szCs w:val="21"/>
              </w:rPr>
            </w:pPr>
            <w:r>
              <w:rPr>
                <w:color w:val="auto"/>
                <w:szCs w:val="21"/>
              </w:rPr>
              <w:t>电磁辐射</w:t>
            </w:r>
          </w:p>
        </w:tc>
        <w:tc>
          <w:tcPr>
            <w:tcW w:w="1857" w:type="dxa"/>
            <w:gridSpan w:val="2"/>
            <w:noWrap/>
            <w:vAlign w:val="center"/>
          </w:tcPr>
          <w:p w14:paraId="01BFC4AE">
            <w:pPr>
              <w:adjustRightInd w:val="0"/>
              <w:snapToGrid w:val="0"/>
              <w:jc w:val="center"/>
              <w:rPr>
                <w:color w:val="auto"/>
                <w:szCs w:val="21"/>
              </w:rPr>
            </w:pPr>
            <w:r>
              <w:rPr>
                <w:color w:val="auto"/>
                <w:szCs w:val="21"/>
              </w:rPr>
              <w:t>/</w:t>
            </w:r>
          </w:p>
        </w:tc>
        <w:tc>
          <w:tcPr>
            <w:tcW w:w="925" w:type="dxa"/>
            <w:noWrap/>
            <w:vAlign w:val="center"/>
          </w:tcPr>
          <w:p w14:paraId="2D1601AE">
            <w:pPr>
              <w:adjustRightInd w:val="0"/>
              <w:snapToGrid w:val="0"/>
              <w:jc w:val="center"/>
              <w:rPr>
                <w:color w:val="auto"/>
                <w:szCs w:val="21"/>
              </w:rPr>
            </w:pPr>
            <w:r>
              <w:rPr>
                <w:color w:val="auto"/>
                <w:szCs w:val="21"/>
              </w:rPr>
              <w:t>/</w:t>
            </w:r>
          </w:p>
        </w:tc>
        <w:tc>
          <w:tcPr>
            <w:tcW w:w="1541" w:type="dxa"/>
            <w:noWrap/>
            <w:vAlign w:val="center"/>
          </w:tcPr>
          <w:p w14:paraId="7E0795E5">
            <w:pPr>
              <w:adjustRightInd w:val="0"/>
              <w:snapToGrid w:val="0"/>
              <w:jc w:val="center"/>
              <w:rPr>
                <w:color w:val="auto"/>
                <w:szCs w:val="21"/>
              </w:rPr>
            </w:pPr>
            <w:r>
              <w:rPr>
                <w:color w:val="auto"/>
                <w:szCs w:val="21"/>
              </w:rPr>
              <w:t>/</w:t>
            </w:r>
          </w:p>
        </w:tc>
        <w:tc>
          <w:tcPr>
            <w:tcW w:w="2954" w:type="dxa"/>
            <w:noWrap/>
            <w:vAlign w:val="center"/>
          </w:tcPr>
          <w:p w14:paraId="2BEFBF36">
            <w:pPr>
              <w:adjustRightInd w:val="0"/>
              <w:snapToGrid w:val="0"/>
              <w:jc w:val="center"/>
              <w:rPr>
                <w:color w:val="auto"/>
                <w:szCs w:val="21"/>
              </w:rPr>
            </w:pPr>
            <w:r>
              <w:rPr>
                <w:color w:val="auto"/>
                <w:szCs w:val="21"/>
              </w:rPr>
              <w:t>/</w:t>
            </w:r>
          </w:p>
        </w:tc>
      </w:tr>
      <w:tr w14:paraId="10FDB8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91" w:hRule="atLeast"/>
          <w:jc w:val="center"/>
        </w:trPr>
        <w:tc>
          <w:tcPr>
            <w:tcW w:w="1523" w:type="dxa"/>
            <w:noWrap/>
            <w:vAlign w:val="center"/>
          </w:tcPr>
          <w:p w14:paraId="25623A2F">
            <w:pPr>
              <w:adjustRightInd w:val="0"/>
              <w:snapToGrid w:val="0"/>
              <w:jc w:val="center"/>
              <w:rPr>
                <w:color w:val="auto"/>
                <w:szCs w:val="21"/>
              </w:rPr>
            </w:pPr>
            <w:r>
              <w:rPr>
                <w:color w:val="auto"/>
                <w:szCs w:val="21"/>
              </w:rPr>
              <w:t>固体废物</w:t>
            </w:r>
          </w:p>
        </w:tc>
        <w:tc>
          <w:tcPr>
            <w:tcW w:w="7277" w:type="dxa"/>
            <w:gridSpan w:val="5"/>
            <w:noWrap/>
            <w:vAlign w:val="center"/>
          </w:tcPr>
          <w:p w14:paraId="632AE3A7">
            <w:pPr>
              <w:adjustRightInd w:val="0"/>
              <w:snapToGrid w:val="0"/>
              <w:jc w:val="left"/>
              <w:rPr>
                <w:color w:val="auto"/>
                <w:szCs w:val="21"/>
              </w:rPr>
            </w:pPr>
            <w:r>
              <w:rPr>
                <w:rFonts w:hint="eastAsia"/>
                <w:color w:val="auto"/>
                <w:szCs w:val="21"/>
              </w:rPr>
              <w:t>一般工业固体废物：</w:t>
            </w:r>
            <w:r>
              <w:rPr>
                <w:rFonts w:hint="eastAsia"/>
                <w:color w:val="auto"/>
                <w:szCs w:val="21"/>
                <w:lang w:val="en-US" w:eastAsia="zh-CN"/>
              </w:rPr>
              <w:t>下料、</w:t>
            </w:r>
            <w:r>
              <w:rPr>
                <w:rFonts w:hint="eastAsia"/>
                <w:color w:val="auto"/>
                <w:highlight w:val="none"/>
                <w:lang w:val="en-US" w:eastAsia="zh-CN"/>
              </w:rPr>
              <w:t>打磨工序产生的氧化铁屑，抛丸工序产生的废钢丸、氧化铁屑，生产过程中产生的不合格产品，滤筒除尘器产生的除尘灰、废滤筒，集中收集后外售</w:t>
            </w:r>
            <w:r>
              <w:rPr>
                <w:rFonts w:hint="eastAsia"/>
                <w:color w:val="auto"/>
                <w:szCs w:val="21"/>
              </w:rPr>
              <w:t>。</w:t>
            </w:r>
          </w:p>
          <w:p w14:paraId="6B577E1B">
            <w:pPr>
              <w:adjustRightInd w:val="0"/>
              <w:snapToGrid w:val="0"/>
              <w:jc w:val="left"/>
              <w:rPr>
                <w:color w:val="auto"/>
                <w:szCs w:val="21"/>
              </w:rPr>
            </w:pPr>
            <w:r>
              <w:rPr>
                <w:color w:val="auto"/>
                <w:szCs w:val="21"/>
              </w:rPr>
              <w:t>危险废物</w:t>
            </w:r>
            <w:r>
              <w:rPr>
                <w:rFonts w:hint="eastAsia"/>
                <w:color w:val="auto"/>
                <w:szCs w:val="21"/>
              </w:rPr>
              <w:t>：</w:t>
            </w:r>
            <w:r>
              <w:rPr>
                <w:rFonts w:hint="eastAsia"/>
                <w:color w:val="auto"/>
                <w:szCs w:val="21"/>
                <w:lang w:eastAsia="zh-CN"/>
              </w:rPr>
              <w:t>废润滑油、废液压油、废油桶、</w:t>
            </w:r>
            <w:r>
              <w:rPr>
                <w:rFonts w:hint="eastAsia"/>
                <w:color w:val="auto"/>
                <w:highlight w:val="none"/>
                <w:lang w:eastAsia="zh-CN"/>
              </w:rPr>
              <w:t>废含油抹布</w:t>
            </w:r>
            <w:r>
              <w:rPr>
                <w:color w:val="auto"/>
                <w:szCs w:val="21"/>
              </w:rPr>
              <w:t>，暂存于危废间，交由有资质单位集中处理</w:t>
            </w:r>
            <w:r>
              <w:rPr>
                <w:rFonts w:hint="eastAsia"/>
                <w:color w:val="auto"/>
                <w:szCs w:val="21"/>
              </w:rPr>
              <w:t>。</w:t>
            </w:r>
          </w:p>
        </w:tc>
      </w:tr>
      <w:tr w14:paraId="1ED553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1523" w:type="dxa"/>
            <w:noWrap/>
            <w:vAlign w:val="center"/>
          </w:tcPr>
          <w:p w14:paraId="652FDC80">
            <w:pPr>
              <w:adjustRightInd w:val="0"/>
              <w:snapToGrid w:val="0"/>
              <w:jc w:val="center"/>
              <w:rPr>
                <w:color w:val="auto"/>
                <w:szCs w:val="21"/>
              </w:rPr>
            </w:pPr>
            <w:r>
              <w:rPr>
                <w:color w:val="auto"/>
                <w:szCs w:val="21"/>
              </w:rPr>
              <w:t>土壤及地下水</w:t>
            </w:r>
          </w:p>
          <w:p w14:paraId="613220FB">
            <w:pPr>
              <w:adjustRightInd w:val="0"/>
              <w:snapToGrid w:val="0"/>
              <w:jc w:val="center"/>
              <w:rPr>
                <w:color w:val="auto"/>
                <w:szCs w:val="21"/>
              </w:rPr>
            </w:pPr>
            <w:r>
              <w:rPr>
                <w:color w:val="auto"/>
                <w:szCs w:val="21"/>
              </w:rPr>
              <w:t>污染防治措施</w:t>
            </w:r>
          </w:p>
        </w:tc>
        <w:tc>
          <w:tcPr>
            <w:tcW w:w="7277" w:type="dxa"/>
            <w:gridSpan w:val="5"/>
            <w:noWrap/>
            <w:vAlign w:val="center"/>
          </w:tcPr>
          <w:p w14:paraId="53C2A425">
            <w:pPr>
              <w:pStyle w:val="1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color w:val="auto"/>
                <w:szCs w:val="21"/>
              </w:rPr>
            </w:pPr>
            <w:r>
              <w:rPr>
                <w:color w:val="auto"/>
                <w:szCs w:val="21"/>
              </w:rPr>
              <w:t>分区防渗措施</w:t>
            </w:r>
          </w:p>
          <w:p w14:paraId="437C4B64">
            <w:pPr>
              <w:pStyle w:val="1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cs="宋体"/>
                <w:color w:val="auto"/>
              </w:rPr>
            </w:pPr>
            <w:r>
              <w:rPr>
                <w:rFonts w:hint="eastAsia" w:cs="宋体"/>
                <w:color w:val="auto"/>
              </w:rPr>
              <w:t>简单防渗区：如办公区等其他辅助区域，只需进行地面硬化或绿化，不要求防渗系数。本项目依托企业</w:t>
            </w:r>
            <w:r>
              <w:rPr>
                <w:rFonts w:cs="宋体"/>
                <w:color w:val="auto"/>
              </w:rPr>
              <w:t>现有办公楼</w:t>
            </w:r>
            <w:r>
              <w:rPr>
                <w:rFonts w:hint="eastAsia" w:cs="宋体"/>
                <w:color w:val="auto"/>
              </w:rPr>
              <w:t>，</w:t>
            </w:r>
            <w:r>
              <w:rPr>
                <w:rFonts w:cs="宋体"/>
                <w:color w:val="auto"/>
              </w:rPr>
              <w:t>已做简单防渗处理</w:t>
            </w:r>
            <w:r>
              <w:rPr>
                <w:rFonts w:hint="eastAsia" w:cs="宋体"/>
                <w:color w:val="auto"/>
              </w:rPr>
              <w:t>，</w:t>
            </w:r>
            <w:r>
              <w:rPr>
                <w:rFonts w:cs="宋体"/>
                <w:color w:val="auto"/>
              </w:rPr>
              <w:t>满足要求</w:t>
            </w:r>
            <w:r>
              <w:rPr>
                <w:rFonts w:hint="eastAsia" w:cs="宋体"/>
                <w:color w:val="auto"/>
              </w:rPr>
              <w:t>。</w:t>
            </w:r>
          </w:p>
          <w:p w14:paraId="784E053A">
            <w:pPr>
              <w:pStyle w:val="1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cs="宋体"/>
                <w:color w:val="auto"/>
              </w:rPr>
            </w:pPr>
            <w:r>
              <w:rPr>
                <w:rFonts w:hint="eastAsia" w:cs="宋体"/>
                <w:color w:val="auto"/>
              </w:rPr>
              <w:t>一般污染防渗区：项目生产车间</w:t>
            </w:r>
            <w:r>
              <w:rPr>
                <w:rFonts w:hint="eastAsia" w:cs="宋体"/>
                <w:color w:val="auto"/>
                <w:lang w:eastAsia="zh-CN"/>
              </w:rPr>
              <w:t>、</w:t>
            </w:r>
            <w:r>
              <w:rPr>
                <w:rFonts w:hint="eastAsia" w:cs="宋体"/>
                <w:color w:val="auto"/>
                <w:lang w:val="en-US" w:eastAsia="zh-CN"/>
              </w:rPr>
              <w:t>成品库</w:t>
            </w:r>
            <w:r>
              <w:rPr>
                <w:rFonts w:hint="eastAsia" w:cs="宋体"/>
                <w:color w:val="auto"/>
                <w:highlight w:val="none"/>
                <w:lang w:val="en-US" w:eastAsia="zh-CN"/>
              </w:rPr>
              <w:t>、热处理水池</w:t>
            </w:r>
            <w:r>
              <w:rPr>
                <w:rFonts w:hint="eastAsia" w:cs="宋体"/>
                <w:color w:val="auto"/>
                <w:lang w:val="en-US" w:eastAsia="zh-CN"/>
              </w:rPr>
              <w:t>等</w:t>
            </w:r>
            <w:r>
              <w:rPr>
                <w:rFonts w:hint="eastAsia" w:cs="宋体"/>
                <w:color w:val="auto"/>
              </w:rPr>
              <w:t>，防渗性能等效黏土防渗层Mb≥1.5m，渗透系数k≤1×10</w:t>
            </w:r>
            <w:r>
              <w:rPr>
                <w:rFonts w:hint="eastAsia" w:cs="宋体"/>
                <w:color w:val="auto"/>
                <w:vertAlign w:val="superscript"/>
              </w:rPr>
              <w:t>-7</w:t>
            </w:r>
            <w:r>
              <w:rPr>
                <w:rFonts w:hint="eastAsia" w:cs="宋体"/>
                <w:color w:val="auto"/>
              </w:rPr>
              <w:t>cm/s。</w:t>
            </w:r>
          </w:p>
          <w:p w14:paraId="477A4EC0">
            <w:pPr>
              <w:rPr>
                <w:color w:val="auto"/>
                <w:szCs w:val="21"/>
              </w:rPr>
            </w:pPr>
            <w:r>
              <w:rPr>
                <w:rFonts w:hint="eastAsia" w:cs="宋体"/>
                <w:color w:val="auto"/>
              </w:rPr>
              <w:t>重点污染防渗区：危废间，依托现有危废间，危废间采用坚固的材料建造，表面无裂缝，地面与裙角采取了表面防渗措施，铺设防渗材料，渗透系数k≤1×10</w:t>
            </w:r>
            <w:r>
              <w:rPr>
                <w:rFonts w:hint="eastAsia" w:cs="宋体"/>
                <w:color w:val="auto"/>
                <w:vertAlign w:val="superscript"/>
              </w:rPr>
              <w:t>-10</w:t>
            </w:r>
            <w:r>
              <w:rPr>
                <w:rFonts w:hint="eastAsia" w:cs="宋体"/>
                <w:color w:val="auto"/>
              </w:rPr>
              <w:t>cm/s，满足防渗要求。</w:t>
            </w:r>
          </w:p>
        </w:tc>
      </w:tr>
      <w:tr w14:paraId="30956B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1523" w:type="dxa"/>
            <w:noWrap/>
            <w:vAlign w:val="center"/>
          </w:tcPr>
          <w:p w14:paraId="4C012BBC">
            <w:pPr>
              <w:adjustRightInd w:val="0"/>
              <w:snapToGrid w:val="0"/>
              <w:jc w:val="center"/>
              <w:rPr>
                <w:color w:val="auto"/>
                <w:szCs w:val="21"/>
              </w:rPr>
            </w:pPr>
            <w:r>
              <w:rPr>
                <w:color w:val="auto"/>
                <w:szCs w:val="21"/>
              </w:rPr>
              <w:t>生态保护措施</w:t>
            </w:r>
          </w:p>
        </w:tc>
        <w:tc>
          <w:tcPr>
            <w:tcW w:w="7277" w:type="dxa"/>
            <w:gridSpan w:val="5"/>
            <w:noWrap/>
            <w:vAlign w:val="center"/>
          </w:tcPr>
          <w:p w14:paraId="3144E887">
            <w:pPr>
              <w:adjustRightInd w:val="0"/>
              <w:snapToGrid w:val="0"/>
              <w:jc w:val="left"/>
              <w:rPr>
                <w:color w:val="auto"/>
                <w:szCs w:val="21"/>
              </w:rPr>
            </w:pPr>
            <w:r>
              <w:rPr>
                <w:rFonts w:hint="eastAsia"/>
                <w:color w:val="auto"/>
                <w:sz w:val="21"/>
                <w:szCs w:val="21"/>
              </w:rPr>
              <w:t>厂区地面非绿即硬，可以有效减少水土流失，对生态环境影响较小</w:t>
            </w:r>
            <w:r>
              <w:rPr>
                <w:color w:val="auto"/>
                <w:sz w:val="21"/>
                <w:szCs w:val="21"/>
              </w:rPr>
              <w:t>。</w:t>
            </w:r>
          </w:p>
        </w:tc>
      </w:tr>
      <w:tr w14:paraId="40FD55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523" w:type="dxa"/>
            <w:noWrap/>
            <w:vAlign w:val="center"/>
          </w:tcPr>
          <w:p w14:paraId="36A46E45">
            <w:pPr>
              <w:adjustRightInd w:val="0"/>
              <w:snapToGrid w:val="0"/>
              <w:jc w:val="center"/>
              <w:rPr>
                <w:color w:val="auto"/>
                <w:spacing w:val="-8"/>
                <w:szCs w:val="21"/>
              </w:rPr>
            </w:pPr>
            <w:r>
              <w:rPr>
                <w:color w:val="auto"/>
                <w:spacing w:val="-8"/>
                <w:szCs w:val="21"/>
              </w:rPr>
              <w:t>环境风险</w:t>
            </w:r>
          </w:p>
          <w:p w14:paraId="471D8EC4">
            <w:pPr>
              <w:adjustRightInd w:val="0"/>
              <w:snapToGrid w:val="0"/>
              <w:jc w:val="center"/>
              <w:rPr>
                <w:color w:val="auto"/>
                <w:spacing w:val="-8"/>
                <w:szCs w:val="21"/>
              </w:rPr>
            </w:pPr>
            <w:r>
              <w:rPr>
                <w:color w:val="auto"/>
                <w:spacing w:val="-8"/>
                <w:szCs w:val="21"/>
              </w:rPr>
              <w:t>防范措施</w:t>
            </w:r>
          </w:p>
        </w:tc>
        <w:tc>
          <w:tcPr>
            <w:tcW w:w="7277" w:type="dxa"/>
            <w:gridSpan w:val="5"/>
            <w:noWrap/>
            <w:vAlign w:val="center"/>
          </w:tcPr>
          <w:p w14:paraId="3D58766C">
            <w:pPr>
              <w:ind w:firstLine="420" w:firstLineChars="200"/>
              <w:rPr>
                <w:color w:val="auto"/>
                <w:szCs w:val="21"/>
              </w:rPr>
            </w:pPr>
            <w:r>
              <w:rPr>
                <w:rFonts w:hint="eastAsia"/>
                <w:color w:val="auto"/>
                <w:szCs w:val="21"/>
              </w:rPr>
              <w:t>/</w:t>
            </w:r>
          </w:p>
        </w:tc>
      </w:tr>
      <w:tr w14:paraId="115AB0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523" w:type="dxa"/>
            <w:noWrap/>
            <w:vAlign w:val="center"/>
          </w:tcPr>
          <w:p w14:paraId="7DFCF976">
            <w:pPr>
              <w:adjustRightInd w:val="0"/>
              <w:snapToGrid w:val="0"/>
              <w:jc w:val="center"/>
              <w:rPr>
                <w:color w:val="auto"/>
                <w:spacing w:val="-8"/>
                <w:szCs w:val="21"/>
              </w:rPr>
            </w:pPr>
            <w:r>
              <w:rPr>
                <w:color w:val="auto"/>
                <w:spacing w:val="-8"/>
                <w:szCs w:val="21"/>
              </w:rPr>
              <w:t>其他环境</w:t>
            </w:r>
          </w:p>
          <w:p w14:paraId="3393562C">
            <w:pPr>
              <w:adjustRightInd w:val="0"/>
              <w:snapToGrid w:val="0"/>
              <w:jc w:val="center"/>
              <w:rPr>
                <w:color w:val="auto"/>
                <w:spacing w:val="-8"/>
                <w:szCs w:val="21"/>
              </w:rPr>
            </w:pPr>
            <w:r>
              <w:rPr>
                <w:color w:val="auto"/>
                <w:spacing w:val="-8"/>
                <w:szCs w:val="21"/>
              </w:rPr>
              <w:t>管理要求</w:t>
            </w:r>
          </w:p>
        </w:tc>
        <w:tc>
          <w:tcPr>
            <w:tcW w:w="7277" w:type="dxa"/>
            <w:gridSpan w:val="5"/>
            <w:noWrap/>
            <w:vAlign w:val="center"/>
          </w:tcPr>
          <w:p w14:paraId="18D0BC96">
            <w:pPr>
              <w:widowControl/>
              <w:adjustRightInd w:val="0"/>
              <w:snapToGrid w:val="0"/>
              <w:spacing w:line="360" w:lineRule="auto"/>
              <w:jc w:val="left"/>
              <w:rPr>
                <w:b/>
                <w:bCs/>
                <w:color w:val="auto"/>
                <w:szCs w:val="21"/>
              </w:rPr>
            </w:pPr>
            <w:r>
              <w:rPr>
                <w:rFonts w:hint="eastAsia"/>
                <w:b/>
                <w:bCs/>
                <w:color w:val="auto"/>
                <w:szCs w:val="21"/>
              </w:rPr>
              <w:t>1、环境监测及排污口规范化</w:t>
            </w:r>
          </w:p>
          <w:p w14:paraId="0CBE29F5">
            <w:pPr>
              <w:widowControl/>
              <w:adjustRightInd w:val="0"/>
              <w:snapToGrid w:val="0"/>
              <w:spacing w:line="360" w:lineRule="auto"/>
              <w:jc w:val="left"/>
              <w:rPr>
                <w:bCs/>
                <w:color w:val="auto"/>
                <w:szCs w:val="21"/>
              </w:rPr>
            </w:pPr>
            <w:r>
              <w:rPr>
                <w:rFonts w:hint="eastAsia"/>
                <w:bCs/>
                <w:color w:val="auto"/>
                <w:szCs w:val="21"/>
              </w:rPr>
              <w:t>（1）环境监测</w:t>
            </w:r>
          </w:p>
          <w:p w14:paraId="5429A489">
            <w:pPr>
              <w:pStyle w:val="116"/>
              <w:ind w:firstLine="420"/>
              <w:rPr>
                <w:color w:val="auto"/>
              </w:rPr>
            </w:pPr>
            <w:r>
              <w:rPr>
                <w:rFonts w:hint="eastAsia"/>
                <w:color w:val="auto"/>
              </w:rPr>
              <w:t>环境监测是环境保护的基础，是进行污染源治理及环保设施运行管理的依据，因此企业应定期对废气、噪声等环保设施运行情况进行监测。项目实施后，建议企业委托当地有资质的环境监测机构承担项目的环境监测工作。</w:t>
            </w:r>
          </w:p>
          <w:p w14:paraId="7BBA042A">
            <w:pPr>
              <w:widowControl/>
              <w:adjustRightInd w:val="0"/>
              <w:snapToGrid w:val="0"/>
              <w:spacing w:line="360" w:lineRule="auto"/>
              <w:jc w:val="left"/>
              <w:rPr>
                <w:bCs/>
                <w:color w:val="auto"/>
                <w:szCs w:val="21"/>
              </w:rPr>
            </w:pPr>
            <w:r>
              <w:rPr>
                <w:rFonts w:hint="eastAsia"/>
                <w:bCs/>
                <w:color w:val="auto"/>
                <w:szCs w:val="21"/>
              </w:rPr>
              <w:t>（2）排污口规范化要求</w:t>
            </w:r>
          </w:p>
          <w:p w14:paraId="2407D268">
            <w:pPr>
              <w:widowControl/>
              <w:spacing w:line="360" w:lineRule="auto"/>
              <w:ind w:firstLine="420" w:firstLineChars="200"/>
              <w:jc w:val="left"/>
              <w:rPr>
                <w:rFonts w:hAnsi="宋体"/>
                <w:bCs/>
                <w:color w:val="auto"/>
                <w:szCs w:val="21"/>
              </w:rPr>
            </w:pPr>
            <w:r>
              <w:rPr>
                <w:rFonts w:hint="eastAsia" w:hAnsi="宋体"/>
                <w:bCs/>
                <w:color w:val="auto"/>
                <w:szCs w:val="21"/>
              </w:rPr>
              <w:t>①有组织排放废气的排气筒高度应符合国家大气污染物排放标准的有关规定。排气筒应设置便于采样、监测的采样口和采样监测平台。采样平台、采样孔、点数目、位置及设置要求应按《固定源废气监测技术规范》(HJ/T397 -2007)、《排污单位污染物排放口监测点位设置技术规范》（HJ1405-2024）的规定进行。</w:t>
            </w:r>
          </w:p>
          <w:p w14:paraId="5B46DE61">
            <w:pPr>
              <w:widowControl/>
              <w:spacing w:line="360" w:lineRule="auto"/>
              <w:ind w:firstLine="420" w:firstLineChars="200"/>
              <w:jc w:val="left"/>
              <w:rPr>
                <w:rFonts w:hAnsi="宋体"/>
                <w:bCs/>
                <w:color w:val="auto"/>
                <w:szCs w:val="21"/>
              </w:rPr>
            </w:pPr>
            <w:r>
              <w:rPr>
                <w:rFonts w:hint="eastAsia" w:hAnsi="宋体"/>
                <w:bCs/>
                <w:color w:val="auto"/>
                <w:szCs w:val="21"/>
              </w:rPr>
              <w:t>②在各排放口处设置标志牌，图形和要求如下表所示：</w:t>
            </w:r>
          </w:p>
          <w:p w14:paraId="79BAE124">
            <w:pPr>
              <w:pStyle w:val="10"/>
              <w:rPr>
                <w:color w:val="auto"/>
              </w:rPr>
            </w:pPr>
            <w:r>
              <w:rPr>
                <w:rFonts w:hint="eastAsia"/>
                <w:color w:val="auto"/>
              </w:rPr>
              <w:t>表5</w:t>
            </w:r>
            <w:r>
              <w:rPr>
                <w:rFonts w:hint="eastAsia"/>
                <w:color w:val="auto"/>
                <w:lang w:eastAsia="zh-CN"/>
              </w:rPr>
              <w:t>-</w:t>
            </w:r>
            <w:r>
              <w:rPr>
                <w:color w:val="auto"/>
              </w:rPr>
              <w:fldChar w:fldCharType="begin"/>
            </w:r>
            <w:r>
              <w:rPr>
                <w:color w:val="auto"/>
              </w:rPr>
              <w:instrText xml:space="preserve"> </w:instrText>
            </w:r>
            <w:r>
              <w:rPr>
                <w:rFonts w:hint="eastAsia"/>
                <w:color w:val="auto"/>
              </w:rPr>
              <w:instrText xml:space="preserve">SEQ 表5- \* ARABIC</w:instrText>
            </w:r>
            <w:r>
              <w:rPr>
                <w:color w:val="auto"/>
              </w:rPr>
              <w:instrText xml:space="preserve"> </w:instrText>
            </w:r>
            <w:r>
              <w:rPr>
                <w:color w:val="auto"/>
              </w:rPr>
              <w:fldChar w:fldCharType="separate"/>
            </w:r>
            <w:r>
              <w:rPr>
                <w:color w:val="auto"/>
              </w:rPr>
              <w:t>1</w:t>
            </w:r>
            <w:r>
              <w:rPr>
                <w:color w:val="auto"/>
              </w:rPr>
              <w:fldChar w:fldCharType="end"/>
            </w:r>
            <w:r>
              <w:rPr>
                <w:rFonts w:hint="eastAsia" w:hAnsi="Cambria"/>
                <w:color w:val="auto"/>
              </w:rPr>
              <w:t>厂区排放口标志牌示例</w:t>
            </w:r>
          </w:p>
          <w:tbl>
            <w:tblPr>
              <w:tblStyle w:val="3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15"/>
              <w:gridCol w:w="2785"/>
              <w:gridCol w:w="2761"/>
            </w:tblGrid>
            <w:tr w14:paraId="5DEFB22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073" w:type="pct"/>
                  <w:vAlign w:val="center"/>
                </w:tcPr>
                <w:p w14:paraId="243852E7">
                  <w:pPr>
                    <w:adjustRightInd w:val="0"/>
                    <w:snapToGrid w:val="0"/>
                    <w:jc w:val="center"/>
                    <w:rPr>
                      <w:b/>
                      <w:snapToGrid w:val="0"/>
                      <w:color w:val="auto"/>
                      <w:szCs w:val="21"/>
                    </w:rPr>
                  </w:pPr>
                  <w:r>
                    <w:rPr>
                      <w:b/>
                      <w:snapToGrid w:val="0"/>
                      <w:color w:val="auto"/>
                      <w:szCs w:val="21"/>
                    </w:rPr>
                    <w:t>排放口名称</w:t>
                  </w:r>
                </w:p>
              </w:tc>
              <w:tc>
                <w:tcPr>
                  <w:tcW w:w="1972" w:type="pct"/>
                  <w:vAlign w:val="center"/>
                </w:tcPr>
                <w:p w14:paraId="1D2ED8C0">
                  <w:pPr>
                    <w:adjustRightInd w:val="0"/>
                    <w:snapToGrid w:val="0"/>
                    <w:jc w:val="center"/>
                    <w:rPr>
                      <w:b/>
                      <w:snapToGrid w:val="0"/>
                      <w:color w:val="auto"/>
                      <w:szCs w:val="21"/>
                    </w:rPr>
                  </w:pPr>
                  <w:r>
                    <w:rPr>
                      <w:b/>
                      <w:snapToGrid w:val="0"/>
                      <w:color w:val="auto"/>
                      <w:szCs w:val="21"/>
                    </w:rPr>
                    <w:t>图形标志</w:t>
                  </w:r>
                </w:p>
              </w:tc>
              <w:tc>
                <w:tcPr>
                  <w:tcW w:w="1955" w:type="pct"/>
                  <w:vAlign w:val="center"/>
                </w:tcPr>
                <w:p w14:paraId="1B137F9A">
                  <w:pPr>
                    <w:adjustRightInd w:val="0"/>
                    <w:snapToGrid w:val="0"/>
                    <w:jc w:val="center"/>
                    <w:rPr>
                      <w:b/>
                      <w:snapToGrid w:val="0"/>
                      <w:color w:val="auto"/>
                      <w:szCs w:val="21"/>
                    </w:rPr>
                  </w:pPr>
                  <w:r>
                    <w:rPr>
                      <w:b/>
                      <w:snapToGrid w:val="0"/>
                      <w:color w:val="auto"/>
                      <w:szCs w:val="21"/>
                    </w:rPr>
                    <w:t>要求</w:t>
                  </w:r>
                </w:p>
              </w:tc>
            </w:tr>
            <w:tr w14:paraId="3A47E6F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8" w:hRule="atLeast"/>
                <w:jc w:val="center"/>
              </w:trPr>
              <w:tc>
                <w:tcPr>
                  <w:tcW w:w="1073" w:type="pct"/>
                  <w:vAlign w:val="center"/>
                </w:tcPr>
                <w:p w14:paraId="42747750">
                  <w:pPr>
                    <w:adjustRightInd w:val="0"/>
                    <w:snapToGrid w:val="0"/>
                    <w:jc w:val="center"/>
                    <w:rPr>
                      <w:snapToGrid w:val="0"/>
                      <w:color w:val="auto"/>
                      <w:szCs w:val="21"/>
                    </w:rPr>
                  </w:pPr>
                  <w:r>
                    <w:rPr>
                      <w:snapToGrid w:val="0"/>
                      <w:color w:val="auto"/>
                      <w:szCs w:val="21"/>
                    </w:rPr>
                    <w:t>排气筒</w:t>
                  </w:r>
                </w:p>
              </w:tc>
              <w:tc>
                <w:tcPr>
                  <w:tcW w:w="1972" w:type="pct"/>
                  <w:vAlign w:val="center"/>
                </w:tcPr>
                <w:p w14:paraId="3B86D69D">
                  <w:pPr>
                    <w:adjustRightInd w:val="0"/>
                    <w:snapToGrid w:val="0"/>
                    <w:jc w:val="center"/>
                    <w:rPr>
                      <w:snapToGrid w:val="0"/>
                      <w:color w:val="auto"/>
                      <w:szCs w:val="21"/>
                    </w:rPr>
                  </w:pPr>
                  <w:r>
                    <w:rPr>
                      <w:color w:val="auto"/>
                      <w:szCs w:val="21"/>
                    </w:rPr>
                    <w:drawing>
                      <wp:inline distT="0" distB="0" distL="0" distR="0">
                        <wp:extent cx="1682115" cy="1052195"/>
                        <wp:effectExtent l="0" t="0" r="3810" b="5080"/>
                        <wp:docPr id="39" name="图片 39" descr="废气排放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废气排放口"/>
                                <pic:cNvPicPr>
                                  <a:picLocks noChangeAspect="1" noChangeArrowheads="1"/>
                                </pic:cNvPicPr>
                              </pic:nvPicPr>
                              <pic:blipFill>
                                <a:blip r:embed="rId55" cstate="print"/>
                                <a:srcRect/>
                                <a:stretch>
                                  <a:fillRect/>
                                </a:stretch>
                              </pic:blipFill>
                              <pic:spPr>
                                <a:xfrm>
                                  <a:off x="0" y="0"/>
                                  <a:ext cx="1682115" cy="1052195"/>
                                </a:xfrm>
                                <a:prstGeom prst="rect">
                                  <a:avLst/>
                                </a:prstGeom>
                                <a:noFill/>
                                <a:ln w="9525">
                                  <a:noFill/>
                                  <a:miter lim="800000"/>
                                  <a:headEnd/>
                                  <a:tailEnd/>
                                </a:ln>
                              </pic:spPr>
                            </pic:pic>
                          </a:graphicData>
                        </a:graphic>
                      </wp:inline>
                    </w:drawing>
                  </w:r>
                </w:p>
              </w:tc>
              <w:tc>
                <w:tcPr>
                  <w:tcW w:w="1955" w:type="pct"/>
                  <w:vMerge w:val="restart"/>
                  <w:vAlign w:val="center"/>
                </w:tcPr>
                <w:p w14:paraId="00A82409">
                  <w:pPr>
                    <w:widowControl/>
                    <w:jc w:val="left"/>
                    <w:rPr>
                      <w:rFonts w:cs="宋体"/>
                      <w:b/>
                      <w:bCs/>
                      <w:color w:val="auto"/>
                      <w:szCs w:val="21"/>
                    </w:rPr>
                  </w:pPr>
                  <w:r>
                    <w:rPr>
                      <w:rFonts w:hint="eastAsia" w:cs="宋体"/>
                      <w:b/>
                      <w:bCs/>
                      <w:color w:val="auto"/>
                      <w:szCs w:val="21"/>
                    </w:rPr>
                    <w:t>图形颜色：</w:t>
                  </w:r>
                  <w:r>
                    <w:rPr>
                      <w:rFonts w:hint="eastAsia" w:cs="宋体"/>
                      <w:bCs/>
                      <w:color w:val="auto"/>
                      <w:szCs w:val="21"/>
                    </w:rPr>
                    <w:t>底为绿色，图案、边框和文字为白色。</w:t>
                  </w:r>
                </w:p>
                <w:p w14:paraId="58F2877C">
                  <w:pPr>
                    <w:widowControl/>
                    <w:jc w:val="left"/>
                    <w:rPr>
                      <w:color w:val="auto"/>
                      <w:szCs w:val="21"/>
                    </w:rPr>
                  </w:pPr>
                  <w:r>
                    <w:rPr>
                      <w:rFonts w:cs="宋体"/>
                      <w:b/>
                      <w:bCs/>
                      <w:color w:val="auto"/>
                      <w:szCs w:val="21"/>
                    </w:rPr>
                    <w:t>辅助标志内容</w:t>
                  </w:r>
                  <w:r>
                    <w:rPr>
                      <w:rFonts w:hint="eastAsia" w:cs="宋体"/>
                      <w:b/>
                      <w:bCs/>
                      <w:color w:val="auto"/>
                      <w:szCs w:val="21"/>
                    </w:rPr>
                    <w:t>：</w:t>
                  </w:r>
                  <w:r>
                    <w:rPr>
                      <w:color w:val="auto"/>
                      <w:szCs w:val="21"/>
                    </w:rPr>
                    <w:t>（1）排放口标志名称；（2）单位名称；（3）编号；（4）污染物种类；（5）国家生态环境部监制。</w:t>
                  </w:r>
                </w:p>
                <w:p w14:paraId="24CB054E">
                  <w:pPr>
                    <w:adjustRightInd w:val="0"/>
                    <w:snapToGrid w:val="0"/>
                    <w:rPr>
                      <w:color w:val="auto"/>
                      <w:szCs w:val="21"/>
                    </w:rPr>
                  </w:pPr>
                  <w:r>
                    <w:rPr>
                      <w:b/>
                      <w:color w:val="auto"/>
                      <w:szCs w:val="21"/>
                    </w:rPr>
                    <w:t>辅助标志字型</w:t>
                  </w:r>
                  <w:r>
                    <w:rPr>
                      <w:color w:val="auto"/>
                      <w:szCs w:val="21"/>
                    </w:rPr>
                    <w:t>：黑体字</w:t>
                  </w:r>
                </w:p>
                <w:p w14:paraId="30C0C75B">
                  <w:pPr>
                    <w:adjustRightInd w:val="0"/>
                    <w:snapToGrid w:val="0"/>
                    <w:rPr>
                      <w:color w:val="auto"/>
                      <w:szCs w:val="21"/>
                    </w:rPr>
                  </w:pPr>
                  <w:r>
                    <w:rPr>
                      <w:b/>
                      <w:color w:val="auto"/>
                      <w:szCs w:val="21"/>
                    </w:rPr>
                    <w:t>标志牌尺寸：</w:t>
                  </w:r>
                  <w:r>
                    <w:rPr>
                      <w:color w:val="auto"/>
                      <w:szCs w:val="21"/>
                    </w:rPr>
                    <w:t xml:space="preserve"> 480×300mm；</w:t>
                  </w:r>
                </w:p>
                <w:p w14:paraId="3E9163BF">
                  <w:pPr>
                    <w:adjustRightInd w:val="0"/>
                    <w:snapToGrid w:val="0"/>
                    <w:rPr>
                      <w:color w:val="auto"/>
                      <w:szCs w:val="21"/>
                    </w:rPr>
                  </w:pPr>
                  <w:r>
                    <w:rPr>
                      <w:b/>
                      <w:color w:val="auto"/>
                      <w:szCs w:val="21"/>
                    </w:rPr>
                    <w:t>标志牌材料：</w:t>
                  </w:r>
                  <w:r>
                    <w:rPr>
                      <w:color w:val="auto"/>
                      <w:szCs w:val="21"/>
                    </w:rPr>
                    <w:t>1.5~2mm冷轧钢板，表面采用搪瓷或反光贴膜</w:t>
                  </w:r>
                  <w:r>
                    <w:rPr>
                      <w:rFonts w:hint="eastAsia"/>
                      <w:color w:val="auto"/>
                      <w:szCs w:val="21"/>
                    </w:rPr>
                    <w:t>。</w:t>
                  </w:r>
                </w:p>
              </w:tc>
            </w:tr>
            <w:tr w14:paraId="1B3FC50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073" w:type="pct"/>
                  <w:vAlign w:val="center"/>
                </w:tcPr>
                <w:p w14:paraId="19AE0472">
                  <w:pPr>
                    <w:adjustRightInd w:val="0"/>
                    <w:snapToGrid w:val="0"/>
                    <w:jc w:val="center"/>
                    <w:rPr>
                      <w:snapToGrid w:val="0"/>
                      <w:color w:val="auto"/>
                      <w:szCs w:val="21"/>
                    </w:rPr>
                  </w:pPr>
                  <w:r>
                    <w:rPr>
                      <w:snapToGrid w:val="0"/>
                      <w:color w:val="auto"/>
                      <w:szCs w:val="21"/>
                    </w:rPr>
                    <w:t>噪声源</w:t>
                  </w:r>
                </w:p>
              </w:tc>
              <w:tc>
                <w:tcPr>
                  <w:tcW w:w="1972" w:type="pct"/>
                  <w:vAlign w:val="center"/>
                </w:tcPr>
                <w:p w14:paraId="59F5FADD">
                  <w:pPr>
                    <w:adjustRightInd w:val="0"/>
                    <w:snapToGrid w:val="0"/>
                    <w:jc w:val="center"/>
                    <w:rPr>
                      <w:snapToGrid w:val="0"/>
                      <w:color w:val="auto"/>
                      <w:szCs w:val="21"/>
                    </w:rPr>
                  </w:pPr>
                  <w:r>
                    <w:rPr>
                      <w:color w:val="auto"/>
                      <w:szCs w:val="21"/>
                    </w:rPr>
                    <w:drawing>
                      <wp:inline distT="0" distB="0" distL="0" distR="0">
                        <wp:extent cx="1682115" cy="1052195"/>
                        <wp:effectExtent l="19050" t="0" r="0" b="0"/>
                        <wp:docPr id="40" name="图片 40" descr="噪声排放源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噪声排放源2"/>
                                <pic:cNvPicPr>
                                  <a:picLocks noChangeAspect="1" noChangeArrowheads="1"/>
                                </pic:cNvPicPr>
                              </pic:nvPicPr>
                              <pic:blipFill>
                                <a:blip r:embed="rId56" cstate="print"/>
                                <a:srcRect/>
                                <a:stretch>
                                  <a:fillRect/>
                                </a:stretch>
                              </pic:blipFill>
                              <pic:spPr>
                                <a:xfrm>
                                  <a:off x="0" y="0"/>
                                  <a:ext cx="1682115" cy="1052195"/>
                                </a:xfrm>
                                <a:prstGeom prst="rect">
                                  <a:avLst/>
                                </a:prstGeom>
                                <a:noFill/>
                                <a:ln w="9525">
                                  <a:noFill/>
                                  <a:miter lim="800000"/>
                                  <a:headEnd/>
                                  <a:tailEnd/>
                                </a:ln>
                              </pic:spPr>
                            </pic:pic>
                          </a:graphicData>
                        </a:graphic>
                      </wp:inline>
                    </w:drawing>
                  </w:r>
                </w:p>
              </w:tc>
              <w:tc>
                <w:tcPr>
                  <w:tcW w:w="1955" w:type="pct"/>
                  <w:vMerge w:val="continue"/>
                  <w:vAlign w:val="center"/>
                </w:tcPr>
                <w:p w14:paraId="00158EB6">
                  <w:pPr>
                    <w:adjustRightInd w:val="0"/>
                    <w:snapToGrid w:val="0"/>
                    <w:ind w:firstLine="86"/>
                    <w:jc w:val="center"/>
                    <w:rPr>
                      <w:color w:val="auto"/>
                      <w:szCs w:val="21"/>
                    </w:rPr>
                  </w:pPr>
                </w:p>
              </w:tc>
            </w:tr>
            <w:tr w14:paraId="5C4701A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96" w:hRule="atLeast"/>
                <w:jc w:val="center"/>
              </w:trPr>
              <w:tc>
                <w:tcPr>
                  <w:tcW w:w="1073" w:type="pct"/>
                  <w:vAlign w:val="center"/>
                </w:tcPr>
                <w:p w14:paraId="75820139">
                  <w:pPr>
                    <w:adjustRightInd w:val="0"/>
                    <w:snapToGrid w:val="0"/>
                    <w:jc w:val="center"/>
                    <w:rPr>
                      <w:snapToGrid w:val="0"/>
                      <w:color w:val="auto"/>
                      <w:szCs w:val="21"/>
                    </w:rPr>
                  </w:pPr>
                  <w:r>
                    <w:rPr>
                      <w:snapToGrid w:val="0"/>
                      <w:color w:val="auto"/>
                      <w:szCs w:val="21"/>
                    </w:rPr>
                    <w:t>固废堆放场所</w:t>
                  </w:r>
                </w:p>
              </w:tc>
              <w:tc>
                <w:tcPr>
                  <w:tcW w:w="1972" w:type="pct"/>
                  <w:vAlign w:val="center"/>
                </w:tcPr>
                <w:p w14:paraId="265AD832">
                  <w:pPr>
                    <w:adjustRightInd w:val="0"/>
                    <w:snapToGrid w:val="0"/>
                    <w:rPr>
                      <w:snapToGrid w:val="0"/>
                      <w:color w:val="auto"/>
                      <w:szCs w:val="21"/>
                    </w:rPr>
                  </w:pPr>
                  <w:r>
                    <w:rPr>
                      <w:color w:val="auto"/>
                      <w:szCs w:val="21"/>
                    </w:rPr>
                    <w:drawing>
                      <wp:inline distT="0" distB="0" distL="0" distR="0">
                        <wp:extent cx="1647825" cy="1216025"/>
                        <wp:effectExtent l="19050" t="0" r="9525" b="0"/>
                        <wp:docPr id="41" name="图片 41" descr="一般固体废物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一般固体废物2"/>
                                <pic:cNvPicPr>
                                  <a:picLocks noChangeAspect="1" noChangeArrowheads="1"/>
                                </pic:cNvPicPr>
                              </pic:nvPicPr>
                              <pic:blipFill>
                                <a:blip r:embed="rId57"/>
                                <a:srcRect/>
                                <a:stretch>
                                  <a:fillRect/>
                                </a:stretch>
                              </pic:blipFill>
                              <pic:spPr>
                                <a:xfrm>
                                  <a:off x="0" y="0"/>
                                  <a:ext cx="1647825" cy="1216025"/>
                                </a:xfrm>
                                <a:prstGeom prst="rect">
                                  <a:avLst/>
                                </a:prstGeom>
                                <a:noFill/>
                                <a:ln w="9525">
                                  <a:noFill/>
                                  <a:miter lim="800000"/>
                                  <a:headEnd/>
                                  <a:tailEnd/>
                                </a:ln>
                              </pic:spPr>
                            </pic:pic>
                          </a:graphicData>
                        </a:graphic>
                      </wp:inline>
                    </w:drawing>
                  </w:r>
                </w:p>
              </w:tc>
              <w:tc>
                <w:tcPr>
                  <w:tcW w:w="1955" w:type="pct"/>
                  <w:vMerge w:val="continue"/>
                  <w:vAlign w:val="center"/>
                </w:tcPr>
                <w:p w14:paraId="27A8148D">
                  <w:pPr>
                    <w:adjustRightInd w:val="0"/>
                    <w:snapToGrid w:val="0"/>
                    <w:ind w:firstLine="102"/>
                    <w:jc w:val="center"/>
                    <w:rPr>
                      <w:color w:val="auto"/>
                      <w:szCs w:val="21"/>
                    </w:rPr>
                  </w:pPr>
                </w:p>
              </w:tc>
            </w:tr>
          </w:tbl>
          <w:p w14:paraId="28CC58F6">
            <w:pPr>
              <w:widowControl/>
              <w:spacing w:line="360" w:lineRule="auto"/>
              <w:ind w:firstLine="420" w:firstLineChars="200"/>
              <w:jc w:val="left"/>
              <w:rPr>
                <w:rFonts w:hAnsi="宋体"/>
                <w:bCs/>
                <w:color w:val="auto"/>
                <w:szCs w:val="21"/>
              </w:rPr>
            </w:pPr>
            <w:r>
              <w:rPr>
                <w:rFonts w:hint="eastAsia" w:hAnsi="宋体"/>
                <w:bCs/>
                <w:color w:val="auto"/>
                <w:szCs w:val="21"/>
              </w:rPr>
              <w:t>③</w:t>
            </w:r>
            <w:r>
              <w:rPr>
                <w:rFonts w:hAnsi="宋体"/>
                <w:bCs/>
                <w:color w:val="auto"/>
                <w:szCs w:val="21"/>
              </w:rPr>
              <w:t>建立规范化排污口档案，记录设施运行及日常现场监督检查记录等</w:t>
            </w:r>
            <w:r>
              <w:rPr>
                <w:rFonts w:hint="eastAsia" w:hAnsi="宋体"/>
                <w:bCs/>
                <w:color w:val="auto"/>
                <w:szCs w:val="21"/>
              </w:rPr>
              <w:t>相关</w:t>
            </w:r>
            <w:r>
              <w:rPr>
                <w:rFonts w:hAnsi="宋体"/>
                <w:bCs/>
                <w:color w:val="auto"/>
                <w:szCs w:val="21"/>
              </w:rPr>
              <w:t>信息</w:t>
            </w:r>
            <w:r>
              <w:rPr>
                <w:rFonts w:hint="eastAsia" w:hAnsi="宋体"/>
                <w:bCs/>
                <w:color w:val="auto"/>
                <w:szCs w:val="21"/>
              </w:rPr>
              <w:t>。</w:t>
            </w:r>
          </w:p>
          <w:p w14:paraId="5E447DA2">
            <w:pPr>
              <w:pStyle w:val="116"/>
              <w:ind w:firstLine="0" w:firstLineChars="0"/>
              <w:rPr>
                <w:b/>
                <w:color w:val="auto"/>
              </w:rPr>
            </w:pPr>
            <w:r>
              <w:rPr>
                <w:rFonts w:hint="eastAsia"/>
                <w:b/>
                <w:color w:val="auto"/>
              </w:rPr>
              <w:t>2、</w:t>
            </w:r>
            <w:r>
              <w:rPr>
                <w:b/>
                <w:color w:val="auto"/>
              </w:rPr>
              <w:t>危废</w:t>
            </w:r>
            <w:r>
              <w:rPr>
                <w:rFonts w:hint="eastAsia"/>
                <w:b/>
                <w:color w:val="auto"/>
              </w:rPr>
              <w:t>标识</w:t>
            </w:r>
            <w:r>
              <w:rPr>
                <w:b/>
                <w:color w:val="auto"/>
              </w:rPr>
              <w:t>要求</w:t>
            </w:r>
          </w:p>
          <w:p w14:paraId="317F6EB1">
            <w:pPr>
              <w:pStyle w:val="116"/>
              <w:ind w:firstLine="420"/>
              <w:rPr>
                <w:color w:val="auto"/>
              </w:rPr>
            </w:pPr>
            <w:r>
              <w:rPr>
                <w:rFonts w:hint="eastAsia"/>
                <w:color w:val="auto"/>
              </w:rPr>
              <w:t>本项目危险废物相关标识执行《</w:t>
            </w:r>
            <w:r>
              <w:rPr>
                <w:color w:val="auto"/>
              </w:rPr>
              <w:t>危险废物贮存污染控制标准</w:t>
            </w:r>
            <w:r>
              <w:rPr>
                <w:rFonts w:hint="eastAsia"/>
                <w:color w:val="auto"/>
              </w:rPr>
              <w:t>》</w:t>
            </w:r>
            <w:r>
              <w:rPr>
                <w:color w:val="auto"/>
              </w:rPr>
              <w:t>(GB18597</w:t>
            </w:r>
            <w:r>
              <w:rPr>
                <w:rFonts w:hint="eastAsia"/>
                <w:color w:val="auto"/>
              </w:rPr>
              <w:t xml:space="preserve"> </w:t>
            </w:r>
            <w:r>
              <w:rPr>
                <w:color w:val="auto"/>
              </w:rPr>
              <w:t>-20</w:t>
            </w:r>
            <w:r>
              <w:rPr>
                <w:rFonts w:hint="eastAsia"/>
                <w:color w:val="auto"/>
              </w:rPr>
              <w:t>23</w:t>
            </w:r>
            <w:r>
              <w:rPr>
                <w:color w:val="auto"/>
              </w:rPr>
              <w:t>)及</w:t>
            </w:r>
            <w:r>
              <w:rPr>
                <w:rFonts w:hint="eastAsia"/>
                <w:color w:val="auto"/>
              </w:rPr>
              <w:t>《</w:t>
            </w:r>
            <w:r>
              <w:rPr>
                <w:color w:val="auto"/>
              </w:rPr>
              <w:t>危险废物识别标志设置技术规范</w:t>
            </w:r>
            <w:r>
              <w:rPr>
                <w:rFonts w:hint="eastAsia"/>
                <w:color w:val="auto"/>
              </w:rPr>
              <w:t>》</w:t>
            </w:r>
            <w:r>
              <w:rPr>
                <w:color w:val="auto"/>
              </w:rPr>
              <w:t>(</w:t>
            </w:r>
            <w:r>
              <w:rPr>
                <w:rFonts w:hint="eastAsia"/>
                <w:color w:val="auto"/>
              </w:rPr>
              <w:t>HJ1276</w:t>
            </w:r>
            <w:r>
              <w:rPr>
                <w:color w:val="auto"/>
              </w:rPr>
              <w:t>-20</w:t>
            </w:r>
            <w:r>
              <w:rPr>
                <w:rFonts w:hint="eastAsia"/>
                <w:color w:val="auto"/>
              </w:rPr>
              <w:t>22</w:t>
            </w:r>
            <w:r>
              <w:rPr>
                <w:color w:val="auto"/>
              </w:rPr>
              <w:t>)</w:t>
            </w:r>
            <w:r>
              <w:rPr>
                <w:rFonts w:hint="eastAsia"/>
                <w:color w:val="auto"/>
              </w:rPr>
              <w:t>的相关要求。</w:t>
            </w:r>
          </w:p>
          <w:p w14:paraId="761B60E9">
            <w:pPr>
              <w:pStyle w:val="116"/>
              <w:ind w:firstLine="420"/>
              <w:rPr>
                <w:color w:val="auto"/>
              </w:rPr>
            </w:pPr>
            <w:r>
              <w:rPr>
                <w:rFonts w:hint="eastAsia"/>
                <w:color w:val="auto"/>
              </w:rPr>
              <w:t>本项目产生的危险废物依托现有工程危废间暂存，现有工程危废间已按要求设置危险废物贮存设施标志并进行分区。</w:t>
            </w:r>
          </w:p>
          <w:p w14:paraId="1AFF596E">
            <w:pPr>
              <w:pStyle w:val="116"/>
              <w:ind w:firstLine="420"/>
              <w:rPr>
                <w:color w:val="auto"/>
              </w:rPr>
            </w:pPr>
            <w:r>
              <w:rPr>
                <w:rFonts w:hint="eastAsia"/>
                <w:color w:val="auto"/>
              </w:rPr>
              <w:t>危险废物标签需按照相关要求设置，要求如下：</w:t>
            </w:r>
          </w:p>
          <w:p w14:paraId="0A4DAB03">
            <w:pPr>
              <w:pStyle w:val="116"/>
              <w:ind w:firstLine="420"/>
              <w:rPr>
                <w:color w:val="auto"/>
              </w:rPr>
            </w:pPr>
            <w:r>
              <w:rPr>
                <w:rFonts w:hint="eastAsia"/>
                <w:color w:val="auto"/>
              </w:rPr>
              <w:t>a）危险废物标签的要求</w:t>
            </w:r>
          </w:p>
          <w:p w14:paraId="07F4E576">
            <w:pPr>
              <w:pStyle w:val="116"/>
              <w:ind w:firstLine="420"/>
              <w:rPr>
                <w:color w:val="auto"/>
              </w:rPr>
            </w:pPr>
            <w:r>
              <w:rPr>
                <w:rFonts w:hint="eastAsia"/>
                <w:color w:val="auto"/>
              </w:rPr>
              <w:t>危险废物标签背景色应采用醒目的橘黄色，</w:t>
            </w:r>
            <w:r>
              <w:rPr>
                <w:color w:val="auto"/>
              </w:rPr>
              <w:t>RGB</w:t>
            </w:r>
            <w:r>
              <w:rPr>
                <w:rFonts w:hint="eastAsia"/>
                <w:color w:val="auto"/>
              </w:rPr>
              <w:t>颜色值为（</w:t>
            </w:r>
            <w:r>
              <w:rPr>
                <w:color w:val="auto"/>
              </w:rPr>
              <w:t>255,150,0</w:t>
            </w:r>
            <w:r>
              <w:rPr>
                <w:rFonts w:hint="eastAsia"/>
                <w:color w:val="auto"/>
              </w:rPr>
              <w:t>）。标签边框和字体颜色为黑色，</w:t>
            </w:r>
            <w:r>
              <w:rPr>
                <w:color w:val="auto"/>
              </w:rPr>
              <w:t>RGB</w:t>
            </w:r>
            <w:r>
              <w:rPr>
                <w:rFonts w:hint="eastAsia"/>
                <w:color w:val="auto"/>
              </w:rPr>
              <w:t>颜色值为（</w:t>
            </w:r>
            <w:r>
              <w:rPr>
                <w:color w:val="auto"/>
              </w:rPr>
              <w:t>0, 0, 0</w:t>
            </w:r>
            <w:r>
              <w:rPr>
                <w:rFonts w:hint="eastAsia"/>
                <w:color w:val="auto"/>
              </w:rPr>
              <w:t>）。危险废物标签字体宜采用黑体字，其中“危险废物”字样应加粗放大。危险废物标签所选用的材质宜具有一定的耐用性和防水性。危险废物标签印刷的油墨应均匀，图案和文字应清晰、完整。危险废物标签的文字边缘宜加黑色边框，边框宽度不小于</w:t>
            </w:r>
            <w:r>
              <w:rPr>
                <w:color w:val="auto"/>
              </w:rPr>
              <w:t>1mm</w:t>
            </w:r>
            <w:r>
              <w:rPr>
                <w:rFonts w:hint="eastAsia"/>
                <w:color w:val="auto"/>
              </w:rPr>
              <w:t>，边框外宜留不小于</w:t>
            </w:r>
            <w:r>
              <w:rPr>
                <w:color w:val="auto"/>
              </w:rPr>
              <w:t>3mm</w:t>
            </w:r>
            <w:r>
              <w:rPr>
                <w:rFonts w:hint="eastAsia"/>
                <w:color w:val="auto"/>
              </w:rPr>
              <w:t>的空白。</w:t>
            </w:r>
          </w:p>
          <w:p w14:paraId="0B23F647">
            <w:pPr>
              <w:pStyle w:val="116"/>
              <w:ind w:firstLine="420"/>
              <w:rPr>
                <w:color w:val="auto"/>
              </w:rPr>
            </w:pPr>
            <w:r>
              <w:rPr>
                <w:rFonts w:hint="eastAsia"/>
                <w:color w:val="auto"/>
              </w:rPr>
              <w:t>危险废物标签的尺寸宜根据容器或包装物的容积设置，要求如下：</w:t>
            </w:r>
          </w:p>
          <w:p w14:paraId="021C6E82">
            <w:pPr>
              <w:pStyle w:val="10"/>
              <w:rPr>
                <w:color w:val="auto"/>
              </w:rPr>
            </w:pPr>
            <w:r>
              <w:rPr>
                <w:rFonts w:hint="eastAsia"/>
                <w:color w:val="auto"/>
              </w:rPr>
              <w:t>表5</w:t>
            </w:r>
            <w:r>
              <w:rPr>
                <w:rFonts w:hint="eastAsia"/>
                <w:color w:val="auto"/>
                <w:lang w:eastAsia="zh-CN"/>
              </w:rPr>
              <w:t>-</w:t>
            </w:r>
            <w:r>
              <w:rPr>
                <w:color w:val="auto"/>
              </w:rPr>
              <w:fldChar w:fldCharType="begin"/>
            </w:r>
            <w:r>
              <w:rPr>
                <w:color w:val="auto"/>
              </w:rPr>
              <w:instrText xml:space="preserve"> </w:instrText>
            </w:r>
            <w:r>
              <w:rPr>
                <w:rFonts w:hint="eastAsia"/>
                <w:color w:val="auto"/>
              </w:rPr>
              <w:instrText xml:space="preserve">SEQ 表5- \* ARABIC</w:instrText>
            </w:r>
            <w:r>
              <w:rPr>
                <w:color w:val="auto"/>
              </w:rPr>
              <w:instrText xml:space="preserve"> </w:instrText>
            </w:r>
            <w:r>
              <w:rPr>
                <w:color w:val="auto"/>
              </w:rPr>
              <w:fldChar w:fldCharType="separate"/>
            </w:r>
            <w:r>
              <w:rPr>
                <w:color w:val="auto"/>
              </w:rPr>
              <w:t>2</w:t>
            </w:r>
            <w:r>
              <w:rPr>
                <w:color w:val="auto"/>
              </w:rPr>
              <w:fldChar w:fldCharType="end"/>
            </w:r>
            <w:r>
              <w:rPr>
                <w:rFonts w:hint="eastAsia"/>
                <w:color w:val="auto"/>
              </w:rPr>
              <w:t>危险废物标签的尺寸要求</w:t>
            </w:r>
          </w:p>
          <w:tbl>
            <w:tblPr>
              <w:tblStyle w:val="3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57"/>
              <w:gridCol w:w="2212"/>
              <w:gridCol w:w="2127"/>
              <w:gridCol w:w="1765"/>
            </w:tblGrid>
            <w:tr w14:paraId="5B2BC11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7" w:type="pct"/>
                  <w:vAlign w:val="center"/>
                </w:tcPr>
                <w:p w14:paraId="1DC37383">
                  <w:pPr>
                    <w:pStyle w:val="116"/>
                    <w:spacing w:line="240" w:lineRule="auto"/>
                    <w:ind w:firstLine="0" w:firstLineChars="0"/>
                    <w:jc w:val="center"/>
                    <w:rPr>
                      <w:color w:val="auto"/>
                    </w:rPr>
                  </w:pPr>
                  <w:r>
                    <w:rPr>
                      <w:rFonts w:hint="eastAsia"/>
                      <w:color w:val="auto"/>
                    </w:rPr>
                    <w:t>序号</w:t>
                  </w:r>
                </w:p>
              </w:tc>
              <w:tc>
                <w:tcPr>
                  <w:tcW w:w="1566" w:type="pct"/>
                  <w:vAlign w:val="center"/>
                </w:tcPr>
                <w:p w14:paraId="720D32D2">
                  <w:pPr>
                    <w:pStyle w:val="116"/>
                    <w:spacing w:line="240" w:lineRule="auto"/>
                    <w:ind w:firstLine="0" w:firstLineChars="0"/>
                    <w:jc w:val="center"/>
                    <w:rPr>
                      <w:color w:val="auto"/>
                    </w:rPr>
                  </w:pPr>
                  <w:r>
                    <w:rPr>
                      <w:rFonts w:hint="eastAsia"/>
                      <w:color w:val="auto"/>
                    </w:rPr>
                    <w:t>容器或包装物容积（L）</w:t>
                  </w:r>
                </w:p>
              </w:tc>
              <w:tc>
                <w:tcPr>
                  <w:tcW w:w="1506" w:type="pct"/>
                  <w:vAlign w:val="center"/>
                </w:tcPr>
                <w:p w14:paraId="04930BF2">
                  <w:pPr>
                    <w:pStyle w:val="116"/>
                    <w:spacing w:line="240" w:lineRule="auto"/>
                    <w:ind w:firstLine="0" w:firstLineChars="0"/>
                    <w:jc w:val="center"/>
                    <w:rPr>
                      <w:color w:val="auto"/>
                    </w:rPr>
                  </w:pPr>
                  <w:r>
                    <w:rPr>
                      <w:rFonts w:hint="eastAsia"/>
                      <w:color w:val="auto"/>
                    </w:rPr>
                    <w:t>标签最小尺寸</w:t>
                  </w:r>
                </w:p>
                <w:p w14:paraId="08E8857B">
                  <w:pPr>
                    <w:pStyle w:val="116"/>
                    <w:spacing w:line="240" w:lineRule="auto"/>
                    <w:ind w:firstLine="0" w:firstLineChars="0"/>
                    <w:jc w:val="center"/>
                    <w:rPr>
                      <w:color w:val="auto"/>
                    </w:rPr>
                  </w:pPr>
                  <w:r>
                    <w:rPr>
                      <w:rFonts w:hint="eastAsia"/>
                      <w:color w:val="auto"/>
                    </w:rPr>
                    <w:t>（mm×mm）</w:t>
                  </w:r>
                </w:p>
              </w:tc>
              <w:tc>
                <w:tcPr>
                  <w:tcW w:w="1250" w:type="pct"/>
                  <w:vAlign w:val="center"/>
                </w:tcPr>
                <w:p w14:paraId="155E7214">
                  <w:pPr>
                    <w:pStyle w:val="116"/>
                    <w:spacing w:line="240" w:lineRule="auto"/>
                    <w:ind w:firstLine="0" w:firstLineChars="0"/>
                    <w:jc w:val="center"/>
                    <w:rPr>
                      <w:color w:val="auto"/>
                    </w:rPr>
                  </w:pPr>
                  <w:r>
                    <w:rPr>
                      <w:rFonts w:hint="eastAsia"/>
                      <w:color w:val="auto"/>
                    </w:rPr>
                    <w:t>最低文字高度（mm）</w:t>
                  </w:r>
                </w:p>
              </w:tc>
            </w:tr>
            <w:tr w14:paraId="4B96476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7" w:type="pct"/>
                  <w:vAlign w:val="center"/>
                </w:tcPr>
                <w:p w14:paraId="1F7879DA">
                  <w:pPr>
                    <w:pStyle w:val="116"/>
                    <w:spacing w:line="240" w:lineRule="auto"/>
                    <w:ind w:firstLine="0" w:firstLineChars="0"/>
                    <w:jc w:val="center"/>
                    <w:rPr>
                      <w:color w:val="auto"/>
                    </w:rPr>
                  </w:pPr>
                  <w:r>
                    <w:rPr>
                      <w:rFonts w:hint="eastAsia"/>
                      <w:color w:val="auto"/>
                    </w:rPr>
                    <w:t>1</w:t>
                  </w:r>
                </w:p>
              </w:tc>
              <w:tc>
                <w:tcPr>
                  <w:tcW w:w="1566" w:type="pct"/>
                  <w:vAlign w:val="center"/>
                </w:tcPr>
                <w:p w14:paraId="79DF4851">
                  <w:pPr>
                    <w:pStyle w:val="116"/>
                    <w:spacing w:line="240" w:lineRule="auto"/>
                    <w:ind w:firstLine="0" w:firstLineChars="0"/>
                    <w:jc w:val="center"/>
                    <w:rPr>
                      <w:color w:val="auto"/>
                    </w:rPr>
                  </w:pPr>
                  <w:r>
                    <w:rPr>
                      <w:rFonts w:hint="eastAsia"/>
                      <w:color w:val="auto"/>
                    </w:rPr>
                    <w:t>≤50</w:t>
                  </w:r>
                </w:p>
              </w:tc>
              <w:tc>
                <w:tcPr>
                  <w:tcW w:w="1506" w:type="pct"/>
                  <w:vAlign w:val="center"/>
                </w:tcPr>
                <w:p w14:paraId="7CC3BF20">
                  <w:pPr>
                    <w:pStyle w:val="116"/>
                    <w:spacing w:line="240" w:lineRule="auto"/>
                    <w:ind w:firstLine="0" w:firstLineChars="0"/>
                    <w:jc w:val="center"/>
                    <w:rPr>
                      <w:color w:val="auto"/>
                    </w:rPr>
                  </w:pPr>
                  <w:r>
                    <w:rPr>
                      <w:rFonts w:hint="eastAsia"/>
                      <w:color w:val="auto"/>
                    </w:rPr>
                    <w:t>100×100</w:t>
                  </w:r>
                </w:p>
              </w:tc>
              <w:tc>
                <w:tcPr>
                  <w:tcW w:w="1250" w:type="pct"/>
                  <w:vAlign w:val="center"/>
                </w:tcPr>
                <w:p w14:paraId="2CAD8782">
                  <w:pPr>
                    <w:pStyle w:val="116"/>
                    <w:spacing w:line="240" w:lineRule="auto"/>
                    <w:ind w:firstLine="0" w:firstLineChars="0"/>
                    <w:jc w:val="center"/>
                    <w:rPr>
                      <w:color w:val="auto"/>
                    </w:rPr>
                  </w:pPr>
                  <w:r>
                    <w:rPr>
                      <w:rFonts w:hint="eastAsia"/>
                      <w:color w:val="auto"/>
                    </w:rPr>
                    <w:t>3</w:t>
                  </w:r>
                </w:p>
              </w:tc>
            </w:tr>
            <w:tr w14:paraId="6461942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7" w:type="pct"/>
                  <w:vAlign w:val="center"/>
                </w:tcPr>
                <w:p w14:paraId="150FA4E7">
                  <w:pPr>
                    <w:pStyle w:val="116"/>
                    <w:spacing w:line="240" w:lineRule="auto"/>
                    <w:ind w:firstLine="0" w:firstLineChars="0"/>
                    <w:jc w:val="center"/>
                    <w:rPr>
                      <w:color w:val="auto"/>
                    </w:rPr>
                  </w:pPr>
                  <w:r>
                    <w:rPr>
                      <w:rFonts w:hint="eastAsia"/>
                      <w:color w:val="auto"/>
                    </w:rPr>
                    <w:t>2</w:t>
                  </w:r>
                </w:p>
              </w:tc>
              <w:tc>
                <w:tcPr>
                  <w:tcW w:w="1566" w:type="pct"/>
                  <w:vAlign w:val="center"/>
                </w:tcPr>
                <w:p w14:paraId="4954CB45">
                  <w:pPr>
                    <w:pStyle w:val="116"/>
                    <w:spacing w:line="240" w:lineRule="auto"/>
                    <w:ind w:firstLine="0" w:firstLineChars="0"/>
                    <w:jc w:val="center"/>
                    <w:rPr>
                      <w:color w:val="auto"/>
                    </w:rPr>
                  </w:pPr>
                  <w:r>
                    <w:rPr>
                      <w:rFonts w:hint="eastAsia"/>
                      <w:color w:val="auto"/>
                    </w:rPr>
                    <w:t>＞50~≤450</w:t>
                  </w:r>
                </w:p>
              </w:tc>
              <w:tc>
                <w:tcPr>
                  <w:tcW w:w="1506" w:type="pct"/>
                  <w:vAlign w:val="center"/>
                </w:tcPr>
                <w:p w14:paraId="6479E456">
                  <w:pPr>
                    <w:pStyle w:val="116"/>
                    <w:spacing w:line="240" w:lineRule="auto"/>
                    <w:ind w:firstLine="0" w:firstLineChars="0"/>
                    <w:jc w:val="center"/>
                    <w:rPr>
                      <w:color w:val="auto"/>
                    </w:rPr>
                  </w:pPr>
                  <w:r>
                    <w:rPr>
                      <w:rFonts w:hint="eastAsia"/>
                      <w:color w:val="auto"/>
                    </w:rPr>
                    <w:t>150×150</w:t>
                  </w:r>
                </w:p>
              </w:tc>
              <w:tc>
                <w:tcPr>
                  <w:tcW w:w="1250" w:type="pct"/>
                  <w:vAlign w:val="center"/>
                </w:tcPr>
                <w:p w14:paraId="744C9A15">
                  <w:pPr>
                    <w:pStyle w:val="116"/>
                    <w:spacing w:line="240" w:lineRule="auto"/>
                    <w:ind w:firstLine="0" w:firstLineChars="0"/>
                    <w:jc w:val="center"/>
                    <w:rPr>
                      <w:color w:val="auto"/>
                    </w:rPr>
                  </w:pPr>
                  <w:r>
                    <w:rPr>
                      <w:rFonts w:hint="eastAsia"/>
                      <w:color w:val="auto"/>
                    </w:rPr>
                    <w:t>5</w:t>
                  </w:r>
                </w:p>
              </w:tc>
            </w:tr>
            <w:tr w14:paraId="2560D5F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7" w:type="pct"/>
                  <w:vAlign w:val="center"/>
                </w:tcPr>
                <w:p w14:paraId="13A6A9E0">
                  <w:pPr>
                    <w:pStyle w:val="116"/>
                    <w:spacing w:line="240" w:lineRule="auto"/>
                    <w:ind w:firstLine="0" w:firstLineChars="0"/>
                    <w:jc w:val="center"/>
                    <w:rPr>
                      <w:color w:val="auto"/>
                    </w:rPr>
                  </w:pPr>
                  <w:r>
                    <w:rPr>
                      <w:rFonts w:hint="eastAsia"/>
                      <w:color w:val="auto"/>
                    </w:rPr>
                    <w:t>3</w:t>
                  </w:r>
                </w:p>
              </w:tc>
              <w:tc>
                <w:tcPr>
                  <w:tcW w:w="1566" w:type="pct"/>
                  <w:vAlign w:val="center"/>
                </w:tcPr>
                <w:p w14:paraId="3E1C711C">
                  <w:pPr>
                    <w:pStyle w:val="116"/>
                    <w:spacing w:line="240" w:lineRule="auto"/>
                    <w:ind w:firstLine="0" w:firstLineChars="0"/>
                    <w:jc w:val="center"/>
                    <w:rPr>
                      <w:color w:val="auto"/>
                    </w:rPr>
                  </w:pPr>
                  <w:r>
                    <w:rPr>
                      <w:rFonts w:hint="eastAsia"/>
                      <w:color w:val="auto"/>
                    </w:rPr>
                    <w:t>＞450</w:t>
                  </w:r>
                </w:p>
              </w:tc>
              <w:tc>
                <w:tcPr>
                  <w:tcW w:w="1506" w:type="pct"/>
                  <w:vAlign w:val="center"/>
                </w:tcPr>
                <w:p w14:paraId="6ED7BF62">
                  <w:pPr>
                    <w:pStyle w:val="116"/>
                    <w:spacing w:line="240" w:lineRule="auto"/>
                    <w:ind w:firstLine="0" w:firstLineChars="0"/>
                    <w:jc w:val="center"/>
                    <w:rPr>
                      <w:color w:val="auto"/>
                    </w:rPr>
                  </w:pPr>
                  <w:r>
                    <w:rPr>
                      <w:rFonts w:hint="eastAsia"/>
                      <w:color w:val="auto"/>
                    </w:rPr>
                    <w:t>200×200</w:t>
                  </w:r>
                </w:p>
              </w:tc>
              <w:tc>
                <w:tcPr>
                  <w:tcW w:w="1250" w:type="pct"/>
                  <w:vAlign w:val="center"/>
                </w:tcPr>
                <w:p w14:paraId="7D6D79F8">
                  <w:pPr>
                    <w:pStyle w:val="116"/>
                    <w:spacing w:line="240" w:lineRule="auto"/>
                    <w:ind w:firstLine="0" w:firstLineChars="0"/>
                    <w:jc w:val="center"/>
                    <w:rPr>
                      <w:color w:val="auto"/>
                    </w:rPr>
                  </w:pPr>
                  <w:r>
                    <w:rPr>
                      <w:rFonts w:hint="eastAsia"/>
                      <w:color w:val="auto"/>
                    </w:rPr>
                    <w:t>6</w:t>
                  </w:r>
                </w:p>
              </w:tc>
            </w:tr>
          </w:tbl>
          <w:p w14:paraId="6629CEDC">
            <w:pPr>
              <w:pStyle w:val="116"/>
              <w:ind w:firstLine="420"/>
              <w:rPr>
                <w:color w:val="auto"/>
              </w:rPr>
            </w:pPr>
            <w:r>
              <w:rPr>
                <w:rFonts w:hint="eastAsia"/>
                <w:color w:val="auto"/>
              </w:rPr>
              <w:t>b）危险废物标签的样式</w:t>
            </w:r>
          </w:p>
          <w:p w14:paraId="765AC852">
            <w:pPr>
              <w:pStyle w:val="116"/>
              <w:ind w:firstLine="420"/>
              <w:jc w:val="center"/>
              <w:rPr>
                <w:color w:val="auto"/>
              </w:rPr>
            </w:pPr>
            <w:r>
              <w:rPr>
                <w:color w:val="auto"/>
              </w:rPr>
              <w:drawing>
                <wp:inline distT="0" distB="0" distL="0" distR="0">
                  <wp:extent cx="2061845" cy="2061845"/>
                  <wp:effectExtent l="19050" t="0" r="0" b="0"/>
                  <wp:docPr id="45" name="图片 46" descr="危险废物新标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6" descr="危险废物新标签"/>
                          <pic:cNvPicPr>
                            <a:picLocks noChangeAspect="1" noChangeArrowheads="1"/>
                          </pic:cNvPicPr>
                        </pic:nvPicPr>
                        <pic:blipFill>
                          <a:blip r:embed="rId58"/>
                          <a:srcRect/>
                          <a:stretch>
                            <a:fillRect/>
                          </a:stretch>
                        </pic:blipFill>
                        <pic:spPr>
                          <a:xfrm>
                            <a:off x="0" y="0"/>
                            <a:ext cx="2061845" cy="2061845"/>
                          </a:xfrm>
                          <a:prstGeom prst="rect">
                            <a:avLst/>
                          </a:prstGeom>
                          <a:noFill/>
                          <a:ln w="9525">
                            <a:noFill/>
                            <a:miter lim="800000"/>
                            <a:headEnd/>
                            <a:tailEnd/>
                          </a:ln>
                        </pic:spPr>
                      </pic:pic>
                    </a:graphicData>
                  </a:graphic>
                </wp:inline>
              </w:drawing>
            </w:r>
          </w:p>
          <w:p w14:paraId="108045EB">
            <w:pPr>
              <w:pStyle w:val="116"/>
              <w:ind w:firstLine="420"/>
              <w:jc w:val="center"/>
              <w:rPr>
                <w:color w:val="auto"/>
              </w:rPr>
            </w:pPr>
            <w:r>
              <w:rPr>
                <w:color w:val="auto"/>
              </w:rPr>
              <w:t>图5</w:t>
            </w:r>
            <w:r>
              <w:rPr>
                <w:rFonts w:hint="eastAsia"/>
                <w:color w:val="auto"/>
                <w:lang w:eastAsia="zh-CN"/>
              </w:rPr>
              <w:t>-</w:t>
            </w:r>
            <w:r>
              <w:rPr>
                <w:color w:val="auto"/>
              </w:rPr>
              <w:fldChar w:fldCharType="begin"/>
            </w:r>
            <w:r>
              <w:rPr>
                <w:color w:val="auto"/>
              </w:rPr>
              <w:instrText xml:space="preserve"> SEQ 图5- \* ARABIC </w:instrText>
            </w:r>
            <w:r>
              <w:rPr>
                <w:color w:val="auto"/>
              </w:rPr>
              <w:fldChar w:fldCharType="separate"/>
            </w:r>
            <w:r>
              <w:rPr>
                <w:color w:val="auto"/>
              </w:rPr>
              <w:t>1</w:t>
            </w:r>
            <w:r>
              <w:rPr>
                <w:color w:val="auto"/>
              </w:rPr>
              <w:fldChar w:fldCharType="end"/>
            </w:r>
            <w:r>
              <w:rPr>
                <w:rFonts w:hint="eastAsia"/>
                <w:color w:val="auto"/>
              </w:rPr>
              <w:t>危险废物标签样式示意图</w:t>
            </w:r>
          </w:p>
          <w:p w14:paraId="3CF0EA82">
            <w:pPr>
              <w:widowControl/>
              <w:adjustRightInd w:val="0"/>
              <w:snapToGrid w:val="0"/>
              <w:spacing w:line="360" w:lineRule="auto"/>
              <w:jc w:val="left"/>
              <w:rPr>
                <w:b/>
                <w:bCs/>
                <w:color w:val="auto"/>
                <w:szCs w:val="21"/>
              </w:rPr>
            </w:pPr>
            <w:r>
              <w:rPr>
                <w:rFonts w:hint="eastAsia"/>
                <w:b/>
                <w:bCs/>
                <w:color w:val="auto"/>
                <w:szCs w:val="21"/>
              </w:rPr>
              <w:t>3、台账管理制度</w:t>
            </w:r>
          </w:p>
          <w:p w14:paraId="625A04BE">
            <w:pPr>
              <w:widowControl/>
              <w:spacing w:line="360" w:lineRule="auto"/>
              <w:ind w:firstLine="420" w:firstLineChars="200"/>
              <w:jc w:val="left"/>
              <w:rPr>
                <w:rFonts w:hAnsi="宋体"/>
                <w:bCs/>
                <w:color w:val="auto"/>
                <w:szCs w:val="21"/>
              </w:rPr>
            </w:pPr>
            <w:r>
              <w:rPr>
                <w:rFonts w:hint="eastAsia" w:hAnsi="宋体"/>
                <w:bCs/>
                <w:color w:val="auto"/>
                <w:szCs w:val="21"/>
              </w:rPr>
              <w:t>企业应建立环境管理台账制度，具体要求如下：</w:t>
            </w:r>
          </w:p>
          <w:p w14:paraId="5ED0457E">
            <w:pPr>
              <w:widowControl/>
              <w:spacing w:line="360" w:lineRule="auto"/>
              <w:ind w:firstLine="420" w:firstLineChars="200"/>
              <w:jc w:val="left"/>
              <w:rPr>
                <w:rFonts w:hAnsi="宋体"/>
                <w:bCs/>
                <w:color w:val="auto"/>
                <w:szCs w:val="21"/>
              </w:rPr>
            </w:pPr>
            <w:r>
              <w:rPr>
                <w:rFonts w:hint="eastAsia" w:hAnsi="宋体"/>
                <w:bCs/>
                <w:color w:val="auto"/>
                <w:szCs w:val="21"/>
              </w:rPr>
              <w:t>①台账录入要及时、准确、清晰，便于查看。</w:t>
            </w:r>
          </w:p>
          <w:p w14:paraId="256DCDC2">
            <w:pPr>
              <w:widowControl/>
              <w:spacing w:line="360" w:lineRule="auto"/>
              <w:ind w:firstLine="420" w:firstLineChars="200"/>
              <w:jc w:val="left"/>
              <w:rPr>
                <w:rFonts w:hAnsi="宋体"/>
                <w:bCs/>
                <w:color w:val="auto"/>
                <w:szCs w:val="21"/>
              </w:rPr>
            </w:pPr>
            <w:r>
              <w:rPr>
                <w:rFonts w:hint="eastAsia" w:hAnsi="宋体"/>
                <w:bCs/>
                <w:color w:val="auto"/>
                <w:szCs w:val="21"/>
              </w:rPr>
              <w:t>②台账要专人录入，数据、信息、记录内容要真实，与实际相符。</w:t>
            </w:r>
          </w:p>
          <w:p w14:paraId="48916DA7">
            <w:pPr>
              <w:widowControl/>
              <w:spacing w:line="360" w:lineRule="auto"/>
              <w:ind w:firstLine="420" w:firstLineChars="200"/>
              <w:jc w:val="left"/>
              <w:rPr>
                <w:rFonts w:hAnsi="宋体"/>
                <w:bCs/>
                <w:color w:val="auto"/>
                <w:szCs w:val="21"/>
              </w:rPr>
            </w:pPr>
            <w:r>
              <w:rPr>
                <w:rFonts w:hint="eastAsia" w:hAnsi="宋体"/>
                <w:bCs/>
                <w:color w:val="auto"/>
                <w:szCs w:val="21"/>
              </w:rPr>
              <w:t>③台账要设专人管理，定点存放。无关人员不得随意移动、查看。</w:t>
            </w:r>
          </w:p>
          <w:p w14:paraId="1F506B6E">
            <w:pPr>
              <w:widowControl/>
              <w:spacing w:line="360" w:lineRule="auto"/>
              <w:ind w:firstLine="420" w:firstLineChars="200"/>
              <w:jc w:val="left"/>
              <w:rPr>
                <w:rFonts w:hAnsi="宋体"/>
                <w:bCs/>
                <w:color w:val="auto"/>
                <w:szCs w:val="21"/>
              </w:rPr>
            </w:pPr>
            <w:r>
              <w:rPr>
                <w:rFonts w:hint="eastAsia" w:hAnsi="宋体"/>
                <w:bCs/>
                <w:color w:val="auto"/>
                <w:szCs w:val="21"/>
              </w:rPr>
              <w:t>④重要台账必须纸版与电子版两种形式保存。</w:t>
            </w:r>
          </w:p>
          <w:p w14:paraId="0A6F400A">
            <w:pPr>
              <w:widowControl/>
              <w:spacing w:line="360" w:lineRule="auto"/>
              <w:ind w:firstLine="420" w:firstLineChars="200"/>
              <w:jc w:val="left"/>
              <w:rPr>
                <w:rFonts w:hAnsi="宋体"/>
                <w:bCs/>
                <w:color w:val="auto"/>
                <w:szCs w:val="21"/>
              </w:rPr>
            </w:pPr>
            <w:r>
              <w:rPr>
                <w:rFonts w:hint="eastAsia" w:hAnsi="宋体"/>
                <w:bCs/>
                <w:color w:val="auto"/>
                <w:szCs w:val="21"/>
              </w:rPr>
              <w:t>⑤定期对台账数据进行审核，定期检查台账录入内容，确保台账数据的准确性、及时性和完整性。</w:t>
            </w:r>
          </w:p>
          <w:p w14:paraId="013E00D5">
            <w:pPr>
              <w:widowControl/>
              <w:spacing w:line="360" w:lineRule="auto"/>
              <w:ind w:firstLine="420" w:firstLineChars="200"/>
              <w:jc w:val="left"/>
              <w:rPr>
                <w:rFonts w:hAnsi="宋体"/>
                <w:bCs/>
                <w:color w:val="auto"/>
                <w:szCs w:val="21"/>
              </w:rPr>
            </w:pPr>
            <w:r>
              <w:rPr>
                <w:rFonts w:hint="eastAsia" w:hAnsi="宋体"/>
                <w:bCs/>
                <w:color w:val="auto"/>
                <w:szCs w:val="21"/>
              </w:rPr>
              <w:t>⑥所有台账盒签必须统一打印，名称清楚、完整。</w:t>
            </w:r>
          </w:p>
          <w:p w14:paraId="3D25048B">
            <w:pPr>
              <w:pStyle w:val="122"/>
              <w:rPr>
                <w:color w:val="auto"/>
              </w:rPr>
            </w:pPr>
            <w:r>
              <w:rPr>
                <w:rFonts w:hint="eastAsia"/>
                <w:color w:val="auto"/>
              </w:rPr>
              <w:t>4、严格落实排污许可证制度</w:t>
            </w:r>
          </w:p>
          <w:p w14:paraId="00C65C5E">
            <w:pPr>
              <w:pStyle w:val="116"/>
              <w:ind w:firstLine="420"/>
              <w:rPr>
                <w:color w:val="auto"/>
              </w:rPr>
            </w:pPr>
            <w:r>
              <w:rPr>
                <w:rFonts w:hint="eastAsia"/>
                <w:color w:val="auto"/>
              </w:rPr>
              <w:t>根据《控制污染物排放许可制实施方案的通知》（国办发〔2016〕81号）、《排污许可管理办法》（生态环境部令第32号）、《排污许可管理条例》（国务院令第736号）、《关于做好环境影响评价制度与排污许可衔接相关工作的通知》（环办环评【2017】84号）、河北省环境保护厅《关于进一步规范和完善排污许可管理工作的通知》（冀环评函〔2018〕1534号）、《河北省排污许可管理办法》（河北省人民政府令〔2024〕第6号）中相关要求，</w:t>
            </w:r>
            <w:r>
              <w:rPr>
                <w:color w:val="auto"/>
              </w:rPr>
              <w:t>建设项目发生实际排污行为之前，排污单位应当按照国家环境保护相关法律法规以及排污许可证申请与核发技术规范要求申请排污许可证，不得无证排污或不按证排污，企业需按照相关要求进行排污许可申</w:t>
            </w:r>
            <w:r>
              <w:rPr>
                <w:rFonts w:hint="eastAsia"/>
                <w:color w:val="auto"/>
              </w:rPr>
              <w:t>报</w:t>
            </w:r>
            <w:r>
              <w:rPr>
                <w:color w:val="auto"/>
              </w:rPr>
              <w:t>手续</w:t>
            </w:r>
            <w:r>
              <w:rPr>
                <w:rFonts w:hint="eastAsia"/>
                <w:color w:val="auto"/>
              </w:rPr>
              <w:t>，</w:t>
            </w:r>
            <w:r>
              <w:rPr>
                <w:color w:val="auto"/>
              </w:rPr>
              <w:t>合法排污</w:t>
            </w:r>
            <w:r>
              <w:rPr>
                <w:rFonts w:hint="eastAsia"/>
                <w:color w:val="auto"/>
              </w:rPr>
              <w:t>。</w:t>
            </w:r>
          </w:p>
          <w:p w14:paraId="14F91F5F">
            <w:pPr>
              <w:pStyle w:val="122"/>
              <w:rPr>
                <w:color w:val="auto"/>
              </w:rPr>
            </w:pPr>
            <w:r>
              <w:rPr>
                <w:rFonts w:hint="eastAsia"/>
                <w:color w:val="auto"/>
              </w:rPr>
              <w:t>5、项目竣工验收</w:t>
            </w:r>
          </w:p>
          <w:p w14:paraId="785630A1">
            <w:pPr>
              <w:widowControl/>
              <w:spacing w:line="360" w:lineRule="auto"/>
              <w:ind w:firstLine="420" w:firstLineChars="200"/>
              <w:jc w:val="left"/>
              <w:rPr>
                <w:rFonts w:hAnsi="宋体"/>
                <w:bCs/>
                <w:color w:val="auto"/>
                <w:szCs w:val="21"/>
              </w:rPr>
            </w:pPr>
            <w:r>
              <w:rPr>
                <w:rFonts w:hint="eastAsia" w:hAnsi="宋体"/>
                <w:bCs/>
                <w:color w:val="auto"/>
                <w:szCs w:val="21"/>
              </w:rPr>
              <w:t>建设单位是建设项目竣工环境保护验收的责任主体，应当按照《建设项目竣工环境保护验收暂行办法》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不得在验收过程中弄虚作假。</w:t>
            </w:r>
          </w:p>
          <w:p w14:paraId="61DCB6E3">
            <w:pPr>
              <w:widowControl/>
              <w:spacing w:line="360" w:lineRule="auto"/>
              <w:ind w:firstLine="420" w:firstLineChars="200"/>
              <w:jc w:val="left"/>
              <w:rPr>
                <w:rFonts w:hAnsi="宋体"/>
                <w:bCs/>
                <w:color w:val="auto"/>
                <w:szCs w:val="21"/>
              </w:rPr>
            </w:pPr>
            <w:r>
              <w:rPr>
                <w:rFonts w:hint="eastAsia" w:hAnsi="宋体"/>
                <w:bCs/>
                <w:color w:val="auto"/>
                <w:szCs w:val="21"/>
              </w:rPr>
              <w:t>建设项目配套建设的环境保护设施经验收合格后，其主体工程方可投入生产或者使用；未经验收或者验收不合格的，不得投入生产或者使用。</w:t>
            </w:r>
          </w:p>
          <w:p w14:paraId="33F615E0">
            <w:pPr>
              <w:pStyle w:val="116"/>
              <w:ind w:firstLine="420"/>
              <w:rPr>
                <w:color w:val="auto"/>
              </w:rPr>
            </w:pPr>
          </w:p>
          <w:p w14:paraId="3C1E22A2">
            <w:pPr>
              <w:pStyle w:val="116"/>
              <w:ind w:firstLine="420"/>
              <w:rPr>
                <w:color w:val="auto"/>
              </w:rPr>
            </w:pPr>
          </w:p>
          <w:p w14:paraId="1F65DE43">
            <w:pPr>
              <w:pStyle w:val="116"/>
              <w:ind w:firstLine="420"/>
              <w:rPr>
                <w:color w:val="auto"/>
              </w:rPr>
            </w:pPr>
          </w:p>
          <w:p w14:paraId="3D9D8517">
            <w:pPr>
              <w:pStyle w:val="116"/>
              <w:ind w:firstLine="420"/>
              <w:rPr>
                <w:color w:val="auto"/>
              </w:rPr>
            </w:pPr>
          </w:p>
          <w:p w14:paraId="2960989E">
            <w:pPr>
              <w:pStyle w:val="116"/>
              <w:ind w:firstLine="420"/>
              <w:rPr>
                <w:color w:val="auto"/>
              </w:rPr>
            </w:pPr>
          </w:p>
          <w:p w14:paraId="0ADF201E">
            <w:pPr>
              <w:pStyle w:val="116"/>
              <w:ind w:firstLine="420"/>
              <w:rPr>
                <w:color w:val="auto"/>
              </w:rPr>
            </w:pPr>
          </w:p>
          <w:p w14:paraId="4A9B5E74">
            <w:pPr>
              <w:pStyle w:val="116"/>
              <w:ind w:firstLine="0" w:firstLineChars="0"/>
              <w:rPr>
                <w:color w:val="auto"/>
              </w:rPr>
            </w:pPr>
          </w:p>
        </w:tc>
      </w:tr>
    </w:tbl>
    <w:p w14:paraId="4DA9FF35">
      <w:pPr>
        <w:pStyle w:val="30"/>
        <w:spacing w:before="0" w:beforeAutospacing="0" w:after="0" w:afterAutospacing="0"/>
        <w:jc w:val="center"/>
        <w:outlineLvl w:val="0"/>
        <w:rPr>
          <w:rFonts w:ascii="Times New Roman" w:hAnsi="Times New Roman" w:eastAsia="黑体"/>
          <w:snapToGrid w:val="0"/>
          <w:color w:val="auto"/>
          <w:sz w:val="30"/>
          <w:szCs w:val="30"/>
        </w:rPr>
      </w:pPr>
      <w:r>
        <w:rPr>
          <w:rFonts w:ascii="Times New Roman" w:hAnsi="Times New Roman"/>
          <w:snapToGrid w:val="0"/>
          <w:color w:val="auto"/>
        </w:rPr>
        <w:br w:type="page"/>
      </w:r>
      <w:bookmarkStart w:id="30" w:name="_Toc7284"/>
      <w:r>
        <w:rPr>
          <w:rFonts w:ascii="Times New Roman" w:hAnsi="Times New Roman" w:eastAsia="黑体"/>
          <w:snapToGrid w:val="0"/>
          <w:color w:val="auto"/>
          <w:sz w:val="30"/>
          <w:szCs w:val="30"/>
        </w:rPr>
        <w:t>六、结论</w:t>
      </w:r>
      <w:bookmarkEnd w:id="30"/>
    </w:p>
    <w:tbl>
      <w:tblPr>
        <w:tblStyle w:val="3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3B8F28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31" w:hRule="atLeast"/>
          <w:jc w:val="center"/>
        </w:trPr>
        <w:tc>
          <w:tcPr>
            <w:tcW w:w="8865" w:type="dxa"/>
            <w:noWrap/>
          </w:tcPr>
          <w:p w14:paraId="7FB0A4D9">
            <w:pPr>
              <w:tabs>
                <w:tab w:val="left" w:pos="643"/>
              </w:tabs>
              <w:spacing w:beforeLines="50" w:line="360" w:lineRule="auto"/>
              <w:ind w:firstLine="420" w:firstLineChars="200"/>
              <w:rPr>
                <w:color w:val="auto"/>
                <w:szCs w:val="21"/>
              </w:rPr>
            </w:pPr>
            <w:r>
              <w:rPr>
                <w:rFonts w:hint="eastAsia"/>
                <w:color w:val="auto"/>
                <w:szCs w:val="21"/>
              </w:rPr>
              <w:t>综上所述，本项目符合国家产业政策，项目采取了较为完善的污染防治措施，建设单位在规范落实各项污染治理措施，加强各环节环保监督管理，保证各项污染防治措施正常运行的前提下，项目建成后各项污染物均能实现达标排放，不会对周围环境产生明显的污染影响。因此，从环保角度分析，该项目的建设可行。</w:t>
            </w:r>
          </w:p>
          <w:p w14:paraId="24E597B0">
            <w:pPr>
              <w:pStyle w:val="41"/>
              <w:ind w:left="420"/>
              <w:rPr>
                <w:color w:val="auto"/>
              </w:rPr>
            </w:pPr>
          </w:p>
        </w:tc>
      </w:tr>
    </w:tbl>
    <w:p w14:paraId="74527ECF">
      <w:pPr>
        <w:rPr>
          <w:color w:val="auto"/>
        </w:rPr>
        <w:sectPr>
          <w:pgSz w:w="11906" w:h="16838"/>
          <w:pgMar w:top="1701" w:right="1531" w:bottom="1701" w:left="1531" w:header="851" w:footer="851" w:gutter="0"/>
          <w:cols w:space="720" w:num="1"/>
          <w:docGrid w:linePitch="312" w:charSpace="0"/>
        </w:sectPr>
      </w:pPr>
    </w:p>
    <w:p w14:paraId="633D593B">
      <w:pPr>
        <w:pStyle w:val="30"/>
        <w:adjustRightInd w:val="0"/>
        <w:snapToGrid w:val="0"/>
        <w:spacing w:before="0" w:beforeAutospacing="0" w:after="0" w:afterAutospacing="0" w:line="200" w:lineRule="atLeast"/>
        <w:rPr>
          <w:rFonts w:ascii="Times New Roman" w:hAnsi="Times New Roman" w:eastAsia="黑体"/>
          <w:snapToGrid w:val="0"/>
          <w:color w:val="auto"/>
          <w:sz w:val="28"/>
          <w:szCs w:val="28"/>
        </w:rPr>
      </w:pPr>
      <w:r>
        <w:rPr>
          <w:rFonts w:ascii="Times New Roman" w:hAnsi="Times New Roman" w:eastAsia="黑体"/>
          <w:snapToGrid w:val="0"/>
          <w:color w:val="auto"/>
          <w:sz w:val="28"/>
          <w:szCs w:val="28"/>
        </w:rPr>
        <w:t>附表</w:t>
      </w:r>
    </w:p>
    <w:p w14:paraId="088CA2A3">
      <w:pPr>
        <w:pStyle w:val="30"/>
        <w:adjustRightInd w:val="0"/>
        <w:snapToGrid w:val="0"/>
        <w:spacing w:before="0" w:beforeAutospacing="0" w:after="0" w:afterAutospacing="0" w:line="600" w:lineRule="exact"/>
        <w:jc w:val="center"/>
        <w:rPr>
          <w:rFonts w:ascii="Times New Roman" w:hAnsi="Times New Roman" w:eastAsia="黑体"/>
          <w:snapToGrid w:val="0"/>
          <w:color w:val="auto"/>
          <w:sz w:val="32"/>
          <w:szCs w:val="32"/>
        </w:rPr>
      </w:pPr>
      <w:r>
        <w:rPr>
          <w:rFonts w:ascii="Times New Roman" w:hAnsi="Times New Roman"/>
          <w:snapToGrid w:val="0"/>
          <w:color w:val="auto"/>
          <w:sz w:val="38"/>
          <w:szCs w:val="38"/>
        </w:rPr>
        <w:t>建设项目污染物排放量汇总表</w:t>
      </w:r>
    </w:p>
    <w:tbl>
      <w:tblPr>
        <w:tblStyle w:val="33"/>
        <w:tblW w:w="1423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875"/>
        <w:gridCol w:w="1755"/>
        <w:gridCol w:w="1125"/>
        <w:gridCol w:w="1800"/>
        <w:gridCol w:w="1665"/>
        <w:gridCol w:w="1755"/>
        <w:gridCol w:w="2025"/>
        <w:gridCol w:w="1363"/>
      </w:tblGrid>
      <w:tr w14:paraId="6A230A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870" w:type="dxa"/>
            <w:tcBorders>
              <w:tl2br w:val="single" w:color="auto" w:sz="4" w:space="0"/>
            </w:tcBorders>
            <w:noWrap/>
            <w:tcMar>
              <w:left w:w="28" w:type="dxa"/>
              <w:right w:w="28" w:type="dxa"/>
            </w:tcMar>
            <w:vAlign w:val="center"/>
          </w:tcPr>
          <w:p w14:paraId="16AB48B1">
            <w:pPr>
              <w:pStyle w:val="63"/>
              <w:spacing w:beforeLines="0" w:afterLines="0" w:line="240" w:lineRule="auto"/>
              <w:ind w:firstLine="396"/>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项目</w:t>
            </w:r>
          </w:p>
          <w:p w14:paraId="16ECDF2E">
            <w:pPr>
              <w:pStyle w:val="63"/>
              <w:spacing w:beforeLines="0" w:afterLines="0" w:line="240" w:lineRule="auto"/>
              <w:ind w:firstLine="0" w:firstLineChars="0"/>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分类</w:t>
            </w:r>
          </w:p>
        </w:tc>
        <w:tc>
          <w:tcPr>
            <w:tcW w:w="1875" w:type="dxa"/>
            <w:noWrap/>
            <w:tcMar>
              <w:left w:w="28" w:type="dxa"/>
              <w:right w:w="28" w:type="dxa"/>
            </w:tcMar>
            <w:vAlign w:val="center"/>
          </w:tcPr>
          <w:p w14:paraId="14F45D4B">
            <w:pPr>
              <w:pStyle w:val="63"/>
              <w:spacing w:beforeLines="0" w:afterLines="0" w:line="240" w:lineRule="auto"/>
              <w:ind w:firstLine="0" w:firstLineChars="0"/>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污染物名称</w:t>
            </w:r>
          </w:p>
        </w:tc>
        <w:tc>
          <w:tcPr>
            <w:tcW w:w="1755" w:type="dxa"/>
            <w:noWrap/>
            <w:tcMar>
              <w:left w:w="28" w:type="dxa"/>
              <w:right w:w="28" w:type="dxa"/>
            </w:tcMar>
            <w:vAlign w:val="center"/>
          </w:tcPr>
          <w:p w14:paraId="49E5FA3F">
            <w:pPr>
              <w:pStyle w:val="63"/>
              <w:spacing w:beforeLines="0" w:afterLines="0" w:line="240" w:lineRule="auto"/>
              <w:ind w:firstLine="0" w:firstLineChars="0"/>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现有工程</w:t>
            </w:r>
          </w:p>
          <w:p w14:paraId="55A31318">
            <w:pPr>
              <w:pStyle w:val="63"/>
              <w:spacing w:beforeLines="0" w:afterLines="0" w:line="240" w:lineRule="auto"/>
              <w:ind w:firstLine="0" w:firstLineChars="0"/>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排放量（固体废物产生量）</w:t>
            </w:r>
            <w:r>
              <w:rPr>
                <w:rFonts w:ascii="黑体" w:hAnsi="黑体" w:eastAsia="黑体"/>
                <w:snapToGrid w:val="0"/>
                <w:color w:val="auto"/>
                <w:spacing w:val="-6"/>
                <w:kern w:val="21"/>
                <w:szCs w:val="21"/>
              </w:rPr>
              <w:fldChar w:fldCharType="begin"/>
            </w:r>
            <w:r>
              <w:rPr>
                <w:rFonts w:ascii="黑体" w:hAnsi="黑体" w:eastAsia="黑体"/>
                <w:snapToGrid w:val="0"/>
                <w:color w:val="auto"/>
                <w:spacing w:val="-6"/>
                <w:kern w:val="21"/>
                <w:szCs w:val="21"/>
              </w:rPr>
              <w:instrText xml:space="preserve"> = 1 \* GB3 \* MERGEFORMAT </w:instrText>
            </w:r>
            <w:r>
              <w:rPr>
                <w:rFonts w:ascii="黑体" w:hAnsi="黑体" w:eastAsia="黑体"/>
                <w:snapToGrid w:val="0"/>
                <w:color w:val="auto"/>
                <w:spacing w:val="-6"/>
                <w:kern w:val="21"/>
                <w:szCs w:val="21"/>
              </w:rPr>
              <w:fldChar w:fldCharType="separate"/>
            </w:r>
            <w:r>
              <w:rPr>
                <w:rFonts w:ascii="黑体" w:hAnsi="黑体" w:eastAsia="黑体"/>
                <w:color w:val="auto"/>
                <w:kern w:val="2"/>
                <w:szCs w:val="21"/>
              </w:rPr>
              <w:t>①</w:t>
            </w:r>
            <w:r>
              <w:rPr>
                <w:rFonts w:ascii="黑体" w:hAnsi="黑体" w:eastAsia="黑体"/>
                <w:snapToGrid w:val="0"/>
                <w:color w:val="auto"/>
                <w:spacing w:val="-6"/>
                <w:kern w:val="21"/>
                <w:szCs w:val="21"/>
              </w:rPr>
              <w:fldChar w:fldCharType="end"/>
            </w:r>
          </w:p>
        </w:tc>
        <w:tc>
          <w:tcPr>
            <w:tcW w:w="1125" w:type="dxa"/>
            <w:noWrap/>
            <w:tcMar>
              <w:left w:w="28" w:type="dxa"/>
              <w:right w:w="28" w:type="dxa"/>
            </w:tcMar>
            <w:vAlign w:val="center"/>
          </w:tcPr>
          <w:p w14:paraId="254D4CE5">
            <w:pPr>
              <w:pStyle w:val="63"/>
              <w:spacing w:beforeLines="0" w:afterLines="0" w:line="240" w:lineRule="auto"/>
              <w:ind w:firstLine="0" w:firstLineChars="0"/>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现有工程</w:t>
            </w:r>
          </w:p>
          <w:p w14:paraId="76F0A4CD">
            <w:pPr>
              <w:pStyle w:val="63"/>
              <w:spacing w:beforeLines="0" w:afterLines="0" w:line="240" w:lineRule="auto"/>
              <w:ind w:firstLine="0" w:firstLineChars="0"/>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许可排放量</w:t>
            </w:r>
            <w:r>
              <w:rPr>
                <w:rFonts w:ascii="黑体" w:hAnsi="黑体" w:eastAsia="黑体"/>
                <w:snapToGrid w:val="0"/>
                <w:color w:val="auto"/>
                <w:spacing w:val="-6"/>
                <w:kern w:val="21"/>
                <w:szCs w:val="21"/>
              </w:rPr>
              <w:fldChar w:fldCharType="begin"/>
            </w:r>
            <w:r>
              <w:rPr>
                <w:rFonts w:ascii="黑体" w:hAnsi="黑体" w:eastAsia="黑体"/>
                <w:snapToGrid w:val="0"/>
                <w:color w:val="auto"/>
                <w:spacing w:val="-6"/>
                <w:kern w:val="21"/>
                <w:szCs w:val="21"/>
              </w:rPr>
              <w:instrText xml:space="preserve"> = 2 \* GB3 \* MERGEFORMAT </w:instrText>
            </w:r>
            <w:r>
              <w:rPr>
                <w:rFonts w:ascii="黑体" w:hAnsi="黑体" w:eastAsia="黑体"/>
                <w:snapToGrid w:val="0"/>
                <w:color w:val="auto"/>
                <w:spacing w:val="-6"/>
                <w:kern w:val="21"/>
                <w:szCs w:val="21"/>
              </w:rPr>
              <w:fldChar w:fldCharType="separate"/>
            </w:r>
            <w:r>
              <w:rPr>
                <w:rFonts w:ascii="黑体" w:hAnsi="黑体" w:eastAsia="黑体"/>
                <w:snapToGrid w:val="0"/>
                <w:color w:val="auto"/>
                <w:spacing w:val="-6"/>
                <w:kern w:val="21"/>
                <w:szCs w:val="21"/>
              </w:rPr>
              <w:t>②</w:t>
            </w:r>
            <w:r>
              <w:rPr>
                <w:rFonts w:ascii="黑体" w:hAnsi="黑体" w:eastAsia="黑体"/>
                <w:snapToGrid w:val="0"/>
                <w:color w:val="auto"/>
                <w:spacing w:val="-6"/>
                <w:kern w:val="21"/>
                <w:szCs w:val="21"/>
              </w:rPr>
              <w:fldChar w:fldCharType="end"/>
            </w:r>
          </w:p>
        </w:tc>
        <w:tc>
          <w:tcPr>
            <w:tcW w:w="1800" w:type="dxa"/>
            <w:noWrap/>
            <w:tcMar>
              <w:left w:w="28" w:type="dxa"/>
              <w:right w:w="28" w:type="dxa"/>
            </w:tcMar>
            <w:vAlign w:val="center"/>
          </w:tcPr>
          <w:p w14:paraId="636B5901">
            <w:pPr>
              <w:pStyle w:val="63"/>
              <w:spacing w:beforeLines="0" w:afterLines="0" w:line="240" w:lineRule="auto"/>
              <w:ind w:firstLine="0" w:firstLineChars="0"/>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在建工程</w:t>
            </w:r>
          </w:p>
          <w:p w14:paraId="53C5E7D1">
            <w:pPr>
              <w:pStyle w:val="63"/>
              <w:spacing w:beforeLines="0" w:afterLines="0" w:line="240" w:lineRule="auto"/>
              <w:ind w:firstLine="0" w:firstLineChars="0"/>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排放量（固体废物产生量）</w:t>
            </w:r>
            <w:r>
              <w:rPr>
                <w:rFonts w:ascii="黑体" w:hAnsi="黑体" w:eastAsia="黑体"/>
                <w:snapToGrid w:val="0"/>
                <w:color w:val="auto"/>
                <w:spacing w:val="-6"/>
                <w:kern w:val="21"/>
                <w:szCs w:val="21"/>
              </w:rPr>
              <w:fldChar w:fldCharType="begin"/>
            </w:r>
            <w:r>
              <w:rPr>
                <w:rFonts w:ascii="黑体" w:hAnsi="黑体" w:eastAsia="黑体"/>
                <w:snapToGrid w:val="0"/>
                <w:color w:val="auto"/>
                <w:spacing w:val="-6"/>
                <w:kern w:val="21"/>
                <w:szCs w:val="21"/>
              </w:rPr>
              <w:instrText xml:space="preserve"> = 3 \* GB3 \* MERGEFORMAT </w:instrText>
            </w:r>
            <w:r>
              <w:rPr>
                <w:rFonts w:ascii="黑体" w:hAnsi="黑体" w:eastAsia="黑体"/>
                <w:snapToGrid w:val="0"/>
                <w:color w:val="auto"/>
                <w:spacing w:val="-6"/>
                <w:kern w:val="21"/>
                <w:szCs w:val="21"/>
              </w:rPr>
              <w:fldChar w:fldCharType="separate"/>
            </w:r>
            <w:r>
              <w:rPr>
                <w:rFonts w:ascii="黑体" w:hAnsi="黑体" w:eastAsia="黑体"/>
                <w:color w:val="auto"/>
                <w:kern w:val="2"/>
                <w:szCs w:val="21"/>
              </w:rPr>
              <w:t>③</w:t>
            </w:r>
            <w:r>
              <w:rPr>
                <w:rFonts w:ascii="黑体" w:hAnsi="黑体" w:eastAsia="黑体"/>
                <w:snapToGrid w:val="0"/>
                <w:color w:val="auto"/>
                <w:spacing w:val="-6"/>
                <w:kern w:val="21"/>
                <w:szCs w:val="21"/>
              </w:rPr>
              <w:fldChar w:fldCharType="end"/>
            </w:r>
          </w:p>
        </w:tc>
        <w:tc>
          <w:tcPr>
            <w:tcW w:w="1665" w:type="dxa"/>
            <w:noWrap/>
            <w:tcMar>
              <w:left w:w="28" w:type="dxa"/>
              <w:right w:w="28" w:type="dxa"/>
            </w:tcMar>
            <w:vAlign w:val="center"/>
          </w:tcPr>
          <w:p w14:paraId="0FE6E1D2">
            <w:pPr>
              <w:pStyle w:val="63"/>
              <w:spacing w:beforeLines="0" w:afterLines="0" w:line="240" w:lineRule="auto"/>
              <w:ind w:firstLine="0" w:firstLineChars="0"/>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本项目</w:t>
            </w:r>
          </w:p>
          <w:p w14:paraId="1D767CBE">
            <w:pPr>
              <w:pStyle w:val="63"/>
              <w:spacing w:beforeLines="0" w:afterLines="0" w:line="240" w:lineRule="auto"/>
              <w:ind w:firstLine="0" w:firstLineChars="0"/>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排放量（固体废物产生量）</w:t>
            </w:r>
            <w:r>
              <w:rPr>
                <w:rFonts w:ascii="黑体" w:hAnsi="黑体" w:eastAsia="黑体"/>
                <w:snapToGrid w:val="0"/>
                <w:color w:val="auto"/>
                <w:spacing w:val="-6"/>
                <w:kern w:val="21"/>
                <w:szCs w:val="21"/>
              </w:rPr>
              <w:fldChar w:fldCharType="begin"/>
            </w:r>
            <w:r>
              <w:rPr>
                <w:rFonts w:ascii="黑体" w:hAnsi="黑体" w:eastAsia="黑体"/>
                <w:snapToGrid w:val="0"/>
                <w:color w:val="auto"/>
                <w:spacing w:val="-6"/>
                <w:kern w:val="21"/>
                <w:szCs w:val="21"/>
              </w:rPr>
              <w:instrText xml:space="preserve"> = 4 \* GB3 \* MERGEFORMAT </w:instrText>
            </w:r>
            <w:r>
              <w:rPr>
                <w:rFonts w:ascii="黑体" w:hAnsi="黑体" w:eastAsia="黑体"/>
                <w:snapToGrid w:val="0"/>
                <w:color w:val="auto"/>
                <w:spacing w:val="-6"/>
                <w:kern w:val="21"/>
                <w:szCs w:val="21"/>
              </w:rPr>
              <w:fldChar w:fldCharType="separate"/>
            </w:r>
            <w:r>
              <w:rPr>
                <w:rFonts w:ascii="黑体" w:hAnsi="黑体" w:eastAsia="黑体"/>
                <w:color w:val="auto"/>
                <w:kern w:val="2"/>
                <w:szCs w:val="21"/>
              </w:rPr>
              <w:t>④</w:t>
            </w:r>
            <w:r>
              <w:rPr>
                <w:rFonts w:ascii="黑体" w:hAnsi="黑体" w:eastAsia="黑体"/>
                <w:snapToGrid w:val="0"/>
                <w:color w:val="auto"/>
                <w:spacing w:val="-6"/>
                <w:kern w:val="21"/>
                <w:szCs w:val="21"/>
              </w:rPr>
              <w:fldChar w:fldCharType="end"/>
            </w:r>
          </w:p>
        </w:tc>
        <w:tc>
          <w:tcPr>
            <w:tcW w:w="1755" w:type="dxa"/>
            <w:noWrap/>
            <w:tcMar>
              <w:left w:w="28" w:type="dxa"/>
              <w:right w:w="28" w:type="dxa"/>
            </w:tcMar>
            <w:vAlign w:val="center"/>
          </w:tcPr>
          <w:p w14:paraId="76C986D9">
            <w:pPr>
              <w:pStyle w:val="63"/>
              <w:spacing w:beforeLines="0" w:afterLines="0" w:line="240" w:lineRule="auto"/>
              <w:ind w:firstLine="0" w:firstLineChars="0"/>
              <w:rPr>
                <w:rFonts w:ascii="黑体" w:hAnsi="黑体" w:eastAsia="黑体"/>
                <w:snapToGrid w:val="0"/>
                <w:color w:val="auto"/>
                <w:spacing w:val="-16"/>
                <w:kern w:val="21"/>
                <w:szCs w:val="21"/>
              </w:rPr>
            </w:pPr>
            <w:r>
              <w:rPr>
                <w:rFonts w:ascii="黑体" w:hAnsi="黑体" w:eastAsia="黑体"/>
                <w:snapToGrid w:val="0"/>
                <w:color w:val="auto"/>
                <w:spacing w:val="-16"/>
                <w:kern w:val="21"/>
                <w:szCs w:val="21"/>
              </w:rPr>
              <w:t>以新带老削减量（新建项目不填）</w:t>
            </w:r>
            <w:r>
              <w:rPr>
                <w:rFonts w:ascii="黑体" w:hAnsi="黑体" w:eastAsia="黑体"/>
                <w:snapToGrid w:val="0"/>
                <w:color w:val="auto"/>
                <w:spacing w:val="-16"/>
                <w:kern w:val="21"/>
                <w:szCs w:val="21"/>
              </w:rPr>
              <w:fldChar w:fldCharType="begin"/>
            </w:r>
            <w:r>
              <w:rPr>
                <w:rFonts w:ascii="黑体" w:hAnsi="黑体" w:eastAsia="黑体"/>
                <w:snapToGrid w:val="0"/>
                <w:color w:val="auto"/>
                <w:spacing w:val="-16"/>
                <w:kern w:val="21"/>
                <w:szCs w:val="21"/>
              </w:rPr>
              <w:instrText xml:space="preserve"> = 5 \* GB3 \* MERGEFORMAT </w:instrText>
            </w:r>
            <w:r>
              <w:rPr>
                <w:rFonts w:ascii="黑体" w:hAnsi="黑体" w:eastAsia="黑体"/>
                <w:snapToGrid w:val="0"/>
                <w:color w:val="auto"/>
                <w:spacing w:val="-16"/>
                <w:kern w:val="21"/>
                <w:szCs w:val="21"/>
              </w:rPr>
              <w:fldChar w:fldCharType="separate"/>
            </w:r>
            <w:r>
              <w:rPr>
                <w:rFonts w:ascii="黑体" w:hAnsi="黑体" w:eastAsia="黑体"/>
                <w:color w:val="auto"/>
                <w:kern w:val="2"/>
                <w:szCs w:val="21"/>
              </w:rPr>
              <w:t>⑤</w:t>
            </w:r>
            <w:r>
              <w:rPr>
                <w:rFonts w:ascii="黑体" w:hAnsi="黑体" w:eastAsia="黑体"/>
                <w:snapToGrid w:val="0"/>
                <w:color w:val="auto"/>
                <w:spacing w:val="-16"/>
                <w:kern w:val="21"/>
                <w:szCs w:val="21"/>
              </w:rPr>
              <w:fldChar w:fldCharType="end"/>
            </w:r>
          </w:p>
        </w:tc>
        <w:tc>
          <w:tcPr>
            <w:tcW w:w="2025" w:type="dxa"/>
            <w:noWrap/>
            <w:tcMar>
              <w:left w:w="28" w:type="dxa"/>
              <w:right w:w="28" w:type="dxa"/>
            </w:tcMar>
            <w:vAlign w:val="center"/>
          </w:tcPr>
          <w:p w14:paraId="71A0A815">
            <w:pPr>
              <w:pStyle w:val="63"/>
              <w:spacing w:beforeLines="0" w:afterLines="0" w:line="240" w:lineRule="auto"/>
              <w:ind w:firstLine="0" w:firstLineChars="0"/>
              <w:rPr>
                <w:rFonts w:ascii="黑体" w:hAnsi="黑体" w:eastAsia="黑体"/>
                <w:snapToGrid w:val="0"/>
                <w:color w:val="auto"/>
                <w:spacing w:val="-16"/>
                <w:kern w:val="21"/>
                <w:szCs w:val="21"/>
              </w:rPr>
            </w:pPr>
            <w:r>
              <w:rPr>
                <w:rFonts w:ascii="黑体" w:hAnsi="黑体" w:eastAsia="黑体"/>
                <w:snapToGrid w:val="0"/>
                <w:color w:val="auto"/>
                <w:spacing w:val="-16"/>
                <w:kern w:val="21"/>
                <w:szCs w:val="21"/>
              </w:rPr>
              <w:t>本项目建成后</w:t>
            </w:r>
          </w:p>
          <w:p w14:paraId="27600339">
            <w:pPr>
              <w:pStyle w:val="63"/>
              <w:spacing w:beforeLines="0" w:afterLines="0" w:line="240" w:lineRule="auto"/>
              <w:ind w:firstLine="0" w:firstLineChars="0"/>
              <w:rPr>
                <w:rFonts w:ascii="黑体" w:hAnsi="黑体" w:eastAsia="黑体"/>
                <w:snapToGrid w:val="0"/>
                <w:color w:val="auto"/>
                <w:spacing w:val="-16"/>
                <w:kern w:val="21"/>
                <w:szCs w:val="21"/>
              </w:rPr>
            </w:pPr>
            <w:r>
              <w:rPr>
                <w:rFonts w:ascii="黑体" w:hAnsi="黑体" w:eastAsia="黑体"/>
                <w:snapToGrid w:val="0"/>
                <w:color w:val="auto"/>
                <w:spacing w:val="-16"/>
                <w:kern w:val="21"/>
                <w:szCs w:val="21"/>
              </w:rPr>
              <w:t>全厂排放量（固体废物产生量）</w:t>
            </w:r>
            <w:r>
              <w:rPr>
                <w:rFonts w:ascii="黑体" w:hAnsi="黑体" w:eastAsia="黑体"/>
                <w:snapToGrid w:val="0"/>
                <w:color w:val="auto"/>
                <w:spacing w:val="-16"/>
                <w:kern w:val="21"/>
                <w:szCs w:val="21"/>
              </w:rPr>
              <w:fldChar w:fldCharType="begin"/>
            </w:r>
            <w:r>
              <w:rPr>
                <w:rFonts w:ascii="黑体" w:hAnsi="黑体" w:eastAsia="黑体"/>
                <w:snapToGrid w:val="0"/>
                <w:color w:val="auto"/>
                <w:spacing w:val="-16"/>
                <w:kern w:val="21"/>
                <w:szCs w:val="21"/>
              </w:rPr>
              <w:instrText xml:space="preserve"> = 6 \* GB3 \* MERGEFORMAT </w:instrText>
            </w:r>
            <w:r>
              <w:rPr>
                <w:rFonts w:ascii="黑体" w:hAnsi="黑体" w:eastAsia="黑体"/>
                <w:snapToGrid w:val="0"/>
                <w:color w:val="auto"/>
                <w:spacing w:val="-16"/>
                <w:kern w:val="21"/>
                <w:szCs w:val="21"/>
              </w:rPr>
              <w:fldChar w:fldCharType="separate"/>
            </w:r>
            <w:r>
              <w:rPr>
                <w:rFonts w:ascii="黑体" w:hAnsi="黑体" w:eastAsia="黑体"/>
                <w:color w:val="auto"/>
                <w:kern w:val="2"/>
                <w:szCs w:val="21"/>
              </w:rPr>
              <w:t>⑥</w:t>
            </w:r>
            <w:r>
              <w:rPr>
                <w:rFonts w:ascii="黑体" w:hAnsi="黑体" w:eastAsia="黑体"/>
                <w:snapToGrid w:val="0"/>
                <w:color w:val="auto"/>
                <w:spacing w:val="-16"/>
                <w:kern w:val="21"/>
                <w:szCs w:val="21"/>
              </w:rPr>
              <w:fldChar w:fldCharType="end"/>
            </w:r>
          </w:p>
        </w:tc>
        <w:tc>
          <w:tcPr>
            <w:tcW w:w="1363" w:type="dxa"/>
            <w:noWrap/>
            <w:tcMar>
              <w:left w:w="28" w:type="dxa"/>
              <w:right w:w="28" w:type="dxa"/>
            </w:tcMar>
            <w:vAlign w:val="center"/>
          </w:tcPr>
          <w:p w14:paraId="43B6492B">
            <w:pPr>
              <w:pStyle w:val="63"/>
              <w:spacing w:beforeLines="0" w:afterLines="0" w:line="240" w:lineRule="auto"/>
              <w:ind w:firstLine="0" w:firstLineChars="0"/>
              <w:rPr>
                <w:rFonts w:ascii="黑体" w:hAnsi="黑体" w:eastAsia="黑体"/>
                <w:snapToGrid w:val="0"/>
                <w:color w:val="auto"/>
                <w:spacing w:val="-6"/>
                <w:kern w:val="21"/>
                <w:szCs w:val="21"/>
                <w:highlight w:val="yellow"/>
              </w:rPr>
            </w:pPr>
            <w:r>
              <w:rPr>
                <w:rFonts w:ascii="黑体" w:hAnsi="黑体" w:eastAsia="黑体"/>
                <w:snapToGrid w:val="0"/>
                <w:color w:val="auto"/>
                <w:spacing w:val="-6"/>
                <w:kern w:val="21"/>
                <w:szCs w:val="21"/>
              </w:rPr>
              <w:t>变化量</w:t>
            </w:r>
            <w:r>
              <w:rPr>
                <w:rFonts w:ascii="黑体" w:hAnsi="黑体" w:eastAsia="黑体"/>
                <w:snapToGrid w:val="0"/>
                <w:color w:val="auto"/>
                <w:spacing w:val="-6"/>
                <w:kern w:val="21"/>
                <w:szCs w:val="21"/>
              </w:rPr>
              <w:fldChar w:fldCharType="begin"/>
            </w:r>
            <w:r>
              <w:rPr>
                <w:rFonts w:ascii="黑体" w:hAnsi="黑体" w:eastAsia="黑体"/>
                <w:snapToGrid w:val="0"/>
                <w:color w:val="auto"/>
                <w:spacing w:val="-6"/>
                <w:kern w:val="21"/>
                <w:szCs w:val="21"/>
              </w:rPr>
              <w:instrText xml:space="preserve"> = 7 \* GB3 \* MERGEFORMAT </w:instrText>
            </w:r>
            <w:r>
              <w:rPr>
                <w:rFonts w:ascii="黑体" w:hAnsi="黑体" w:eastAsia="黑体"/>
                <w:snapToGrid w:val="0"/>
                <w:color w:val="auto"/>
                <w:spacing w:val="-6"/>
                <w:kern w:val="21"/>
                <w:szCs w:val="21"/>
              </w:rPr>
              <w:fldChar w:fldCharType="separate"/>
            </w:r>
            <w:r>
              <w:rPr>
                <w:rFonts w:ascii="黑体" w:hAnsi="黑体" w:eastAsia="黑体"/>
                <w:color w:val="auto"/>
                <w:kern w:val="2"/>
                <w:szCs w:val="21"/>
              </w:rPr>
              <w:t>⑦</w:t>
            </w:r>
            <w:r>
              <w:rPr>
                <w:rFonts w:ascii="黑体" w:hAnsi="黑体" w:eastAsia="黑体"/>
                <w:snapToGrid w:val="0"/>
                <w:color w:val="auto"/>
                <w:spacing w:val="-6"/>
                <w:kern w:val="21"/>
                <w:szCs w:val="21"/>
              </w:rPr>
              <w:fldChar w:fldCharType="end"/>
            </w:r>
          </w:p>
        </w:tc>
      </w:tr>
      <w:tr w14:paraId="10F2C5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870" w:type="dxa"/>
            <w:vMerge w:val="restart"/>
            <w:noWrap/>
            <w:vAlign w:val="center"/>
          </w:tcPr>
          <w:p w14:paraId="382E326D">
            <w:pPr>
              <w:pStyle w:val="63"/>
              <w:spacing w:beforeLines="0" w:afterLines="0" w:line="400" w:lineRule="exact"/>
              <w:ind w:firstLine="0" w:firstLineChars="0"/>
              <w:rPr>
                <w:rFonts w:ascii="Times New Roman"/>
                <w:snapToGrid w:val="0"/>
                <w:color w:val="auto"/>
                <w:kern w:val="21"/>
                <w:szCs w:val="21"/>
              </w:rPr>
            </w:pPr>
            <w:r>
              <w:rPr>
                <w:rFonts w:ascii="Times New Roman"/>
                <w:snapToGrid w:val="0"/>
                <w:color w:val="auto"/>
                <w:kern w:val="21"/>
                <w:szCs w:val="21"/>
              </w:rPr>
              <w:t>废气</w:t>
            </w:r>
          </w:p>
        </w:tc>
        <w:tc>
          <w:tcPr>
            <w:tcW w:w="1875" w:type="dxa"/>
            <w:noWrap/>
            <w:vAlign w:val="center"/>
          </w:tcPr>
          <w:p w14:paraId="304EF411">
            <w:pPr>
              <w:pStyle w:val="63"/>
              <w:spacing w:beforeLines="0" w:afterLines="0" w:line="400" w:lineRule="exact"/>
              <w:ind w:firstLine="0" w:firstLineChars="0"/>
              <w:rPr>
                <w:rFonts w:ascii="Times New Roman"/>
                <w:snapToGrid w:val="0"/>
                <w:color w:val="auto"/>
                <w:kern w:val="21"/>
                <w:szCs w:val="21"/>
              </w:rPr>
            </w:pPr>
            <w:r>
              <w:rPr>
                <w:rFonts w:hint="eastAsia" w:ascii="Times New Roman"/>
                <w:snapToGrid w:val="0"/>
                <w:color w:val="auto"/>
                <w:kern w:val="21"/>
                <w:szCs w:val="21"/>
              </w:rPr>
              <w:t>颗粒物</w:t>
            </w:r>
          </w:p>
        </w:tc>
        <w:tc>
          <w:tcPr>
            <w:tcW w:w="1755" w:type="dxa"/>
            <w:shd w:val="clear" w:color="auto" w:fill="auto"/>
            <w:noWrap/>
            <w:vAlign w:val="center"/>
          </w:tcPr>
          <w:p w14:paraId="7865C15A">
            <w:pPr>
              <w:pStyle w:val="63"/>
              <w:spacing w:beforeLines="0" w:afterLines="0" w:line="400" w:lineRule="exact"/>
              <w:ind w:firstLine="0" w:firstLineChars="0"/>
              <w:rPr>
                <w:rFonts w:ascii="Times New Roman" w:hAnsi="Times New Roman" w:eastAsia="宋体" w:cs="Times New Roman"/>
                <w:color w:val="auto"/>
                <w:kern w:val="2"/>
                <w:sz w:val="21"/>
                <w:szCs w:val="21"/>
                <w:lang w:val="en-US" w:eastAsia="zh-CN" w:bidi="ar-SA"/>
              </w:rPr>
            </w:pPr>
            <w:r>
              <w:rPr>
                <w:rFonts w:hint="eastAsia" w:ascii="Times New Roman"/>
                <w:color w:val="auto"/>
                <w:kern w:val="2"/>
                <w:szCs w:val="21"/>
                <w:lang w:val="en-US" w:eastAsia="zh-CN"/>
              </w:rPr>
              <w:t>0.171</w:t>
            </w:r>
            <w:r>
              <w:rPr>
                <w:rFonts w:hint="eastAsia" w:ascii="Times New Roman"/>
                <w:color w:val="auto"/>
                <w:kern w:val="2"/>
                <w:szCs w:val="21"/>
              </w:rPr>
              <w:t>t/a</w:t>
            </w:r>
          </w:p>
        </w:tc>
        <w:tc>
          <w:tcPr>
            <w:tcW w:w="1125" w:type="dxa"/>
            <w:noWrap/>
            <w:vAlign w:val="center"/>
          </w:tcPr>
          <w:p w14:paraId="594D5851">
            <w:pPr>
              <w:pStyle w:val="63"/>
              <w:spacing w:beforeLines="0" w:afterLines="0" w:line="400" w:lineRule="exact"/>
              <w:ind w:firstLine="0" w:firstLineChars="0"/>
              <w:rPr>
                <w:rFonts w:ascii="Times New Roman"/>
                <w:color w:val="auto"/>
                <w:kern w:val="2"/>
                <w:szCs w:val="21"/>
              </w:rPr>
            </w:pPr>
            <w:r>
              <w:rPr>
                <w:rFonts w:hint="eastAsia" w:ascii="Times New Roman"/>
                <w:color w:val="auto"/>
                <w:kern w:val="2"/>
                <w:szCs w:val="21"/>
              </w:rPr>
              <w:t>1.0</w:t>
            </w:r>
            <w:r>
              <w:rPr>
                <w:rFonts w:hint="eastAsia" w:ascii="Times New Roman"/>
                <w:color w:val="auto"/>
                <w:kern w:val="2"/>
                <w:szCs w:val="21"/>
                <w:lang w:val="en-US" w:eastAsia="zh-CN"/>
              </w:rPr>
              <w:t>9</w:t>
            </w:r>
            <w:r>
              <w:rPr>
                <w:rFonts w:hint="eastAsia" w:ascii="Times New Roman"/>
                <w:color w:val="auto"/>
                <w:kern w:val="2"/>
                <w:szCs w:val="21"/>
              </w:rPr>
              <w:t>t/a</w:t>
            </w:r>
          </w:p>
        </w:tc>
        <w:tc>
          <w:tcPr>
            <w:tcW w:w="1800" w:type="dxa"/>
            <w:noWrap/>
            <w:vAlign w:val="center"/>
          </w:tcPr>
          <w:p w14:paraId="6C2FEC44">
            <w:pPr>
              <w:spacing w:line="400" w:lineRule="exact"/>
              <w:jc w:val="center"/>
              <w:rPr>
                <w:color w:val="auto"/>
                <w:szCs w:val="21"/>
              </w:rPr>
            </w:pPr>
            <w:r>
              <w:rPr>
                <w:rFonts w:hint="eastAsia"/>
                <w:color w:val="auto"/>
                <w:szCs w:val="21"/>
              </w:rPr>
              <w:t>/</w:t>
            </w:r>
          </w:p>
        </w:tc>
        <w:tc>
          <w:tcPr>
            <w:tcW w:w="1665" w:type="dxa"/>
            <w:shd w:val="clear" w:color="auto" w:fill="auto"/>
            <w:noWrap/>
            <w:vAlign w:val="center"/>
          </w:tcPr>
          <w:p w14:paraId="5AEA52DA">
            <w:pPr>
              <w:pStyle w:val="116"/>
              <w:spacing w:line="240" w:lineRule="auto"/>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color w:val="auto"/>
                <w:highlight w:val="none"/>
                <w:lang w:val="en-US" w:eastAsia="zh-CN"/>
              </w:rPr>
              <w:t>0.987</w:t>
            </w:r>
            <w:r>
              <w:rPr>
                <w:rFonts w:hint="eastAsia"/>
                <w:color w:val="auto"/>
                <w:szCs w:val="21"/>
              </w:rPr>
              <w:t>t/a</w:t>
            </w:r>
          </w:p>
        </w:tc>
        <w:tc>
          <w:tcPr>
            <w:tcW w:w="1755" w:type="dxa"/>
            <w:noWrap/>
            <w:vAlign w:val="center"/>
          </w:tcPr>
          <w:p w14:paraId="671395E1">
            <w:pPr>
              <w:spacing w:line="400" w:lineRule="exact"/>
              <w:jc w:val="center"/>
              <w:rPr>
                <w:color w:val="auto"/>
                <w:szCs w:val="21"/>
              </w:rPr>
            </w:pPr>
            <w:r>
              <w:rPr>
                <w:rFonts w:hint="eastAsia"/>
                <w:color w:val="auto"/>
                <w:szCs w:val="21"/>
              </w:rPr>
              <w:t>/</w:t>
            </w:r>
          </w:p>
        </w:tc>
        <w:tc>
          <w:tcPr>
            <w:tcW w:w="2025" w:type="dxa"/>
            <w:shd w:val="clear" w:color="auto" w:fill="auto"/>
            <w:noWrap/>
            <w:vAlign w:val="center"/>
          </w:tcPr>
          <w:p w14:paraId="0CB08E05">
            <w:pPr>
              <w:pStyle w:val="116"/>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olor w:val="auto"/>
                <w:highlight w:val="none"/>
                <w:lang w:val="en-US" w:eastAsia="zh-CN"/>
              </w:rPr>
              <w:t>1.158</w:t>
            </w:r>
            <w:r>
              <w:rPr>
                <w:rFonts w:hint="eastAsia"/>
                <w:color w:val="auto"/>
                <w:szCs w:val="21"/>
              </w:rPr>
              <w:t>t/a</w:t>
            </w:r>
          </w:p>
        </w:tc>
        <w:tc>
          <w:tcPr>
            <w:tcW w:w="1363" w:type="dxa"/>
            <w:shd w:val="clear" w:color="auto" w:fill="auto"/>
            <w:noWrap/>
            <w:vAlign w:val="center"/>
          </w:tcPr>
          <w:p w14:paraId="60480377">
            <w:pPr>
              <w:pStyle w:val="116"/>
              <w:spacing w:line="240" w:lineRule="auto"/>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color w:val="auto"/>
                <w:highlight w:val="none"/>
                <w:lang w:val="en-US" w:eastAsia="zh-CN"/>
              </w:rPr>
              <w:t>+0.987</w:t>
            </w:r>
            <w:r>
              <w:rPr>
                <w:rFonts w:hint="eastAsia"/>
                <w:color w:val="auto"/>
                <w:szCs w:val="21"/>
              </w:rPr>
              <w:t>t/a</w:t>
            </w:r>
          </w:p>
        </w:tc>
      </w:tr>
      <w:tr w14:paraId="0FC5BD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870" w:type="dxa"/>
            <w:vMerge w:val="continue"/>
            <w:noWrap/>
            <w:vAlign w:val="center"/>
          </w:tcPr>
          <w:p w14:paraId="3B20058D">
            <w:pPr>
              <w:pStyle w:val="63"/>
              <w:spacing w:beforeLines="0" w:afterLines="0" w:line="400" w:lineRule="exact"/>
              <w:ind w:firstLine="0" w:firstLineChars="0"/>
              <w:rPr>
                <w:rFonts w:ascii="Times New Roman"/>
                <w:snapToGrid w:val="0"/>
                <w:color w:val="auto"/>
                <w:kern w:val="21"/>
                <w:szCs w:val="21"/>
              </w:rPr>
            </w:pPr>
          </w:p>
        </w:tc>
        <w:tc>
          <w:tcPr>
            <w:tcW w:w="1875" w:type="dxa"/>
            <w:noWrap/>
            <w:vAlign w:val="center"/>
          </w:tcPr>
          <w:p w14:paraId="6852B12A">
            <w:pPr>
              <w:pStyle w:val="63"/>
              <w:spacing w:beforeLines="0" w:afterLines="0" w:line="400" w:lineRule="exact"/>
              <w:ind w:firstLine="0" w:firstLineChars="0"/>
              <w:rPr>
                <w:rFonts w:hint="default" w:ascii="Times New Roman" w:hAnsi="Times New Roman" w:cs="Times New Roman"/>
                <w:snapToGrid w:val="0"/>
                <w:color w:val="auto"/>
                <w:kern w:val="21"/>
                <w:szCs w:val="21"/>
              </w:rPr>
            </w:pPr>
            <w:r>
              <w:rPr>
                <w:rFonts w:hint="default" w:ascii="Times New Roman" w:hAnsi="Times New Roman" w:cs="Times New Roman"/>
                <w:color w:val="auto"/>
                <w:highlight w:val="none"/>
              </w:rPr>
              <w:t>SO</w:t>
            </w:r>
            <w:r>
              <w:rPr>
                <w:rFonts w:hint="default" w:ascii="Times New Roman" w:hAnsi="Times New Roman" w:cs="Times New Roman"/>
                <w:color w:val="auto"/>
                <w:highlight w:val="none"/>
                <w:vertAlign w:val="subscript"/>
              </w:rPr>
              <w:t>2</w:t>
            </w:r>
          </w:p>
        </w:tc>
        <w:tc>
          <w:tcPr>
            <w:tcW w:w="1755" w:type="dxa"/>
            <w:shd w:val="clear" w:color="auto" w:fill="auto"/>
            <w:noWrap/>
            <w:vAlign w:val="center"/>
          </w:tcPr>
          <w:p w14:paraId="2E867AC6">
            <w:pPr>
              <w:pStyle w:val="63"/>
              <w:spacing w:beforeLines="0" w:afterLines="0" w:line="400" w:lineRule="exact"/>
              <w:ind w:firstLine="0" w:firstLineChars="0"/>
              <w:rPr>
                <w:rFonts w:hint="eastAsia" w:ascii="Times New Roman" w:eastAsia="宋体"/>
                <w:color w:val="auto"/>
                <w:kern w:val="2"/>
                <w:szCs w:val="21"/>
                <w:lang w:val="en-US" w:eastAsia="zh-CN"/>
              </w:rPr>
            </w:pPr>
            <w:r>
              <w:rPr>
                <w:rFonts w:hint="eastAsia" w:ascii="Times New Roman"/>
                <w:color w:val="auto"/>
                <w:kern w:val="2"/>
                <w:szCs w:val="21"/>
                <w:lang w:val="en-US" w:eastAsia="zh-CN"/>
              </w:rPr>
              <w:t>0</w:t>
            </w:r>
          </w:p>
        </w:tc>
        <w:tc>
          <w:tcPr>
            <w:tcW w:w="1125" w:type="dxa"/>
            <w:noWrap/>
            <w:vAlign w:val="center"/>
          </w:tcPr>
          <w:p w14:paraId="79CA3C82">
            <w:pPr>
              <w:pStyle w:val="63"/>
              <w:spacing w:beforeLines="0" w:afterLines="0" w:line="400" w:lineRule="exact"/>
              <w:ind w:firstLine="0" w:firstLineChars="0"/>
              <w:rPr>
                <w:rFonts w:hint="eastAsia" w:ascii="Times New Roman"/>
                <w:color w:val="auto"/>
                <w:kern w:val="2"/>
                <w:szCs w:val="21"/>
              </w:rPr>
            </w:pPr>
          </w:p>
        </w:tc>
        <w:tc>
          <w:tcPr>
            <w:tcW w:w="1800" w:type="dxa"/>
            <w:noWrap/>
            <w:vAlign w:val="center"/>
          </w:tcPr>
          <w:p w14:paraId="79F22A3C">
            <w:pPr>
              <w:spacing w:line="400" w:lineRule="exact"/>
              <w:jc w:val="center"/>
              <w:rPr>
                <w:rFonts w:hint="eastAsia"/>
                <w:color w:val="auto"/>
                <w:szCs w:val="21"/>
              </w:rPr>
            </w:pPr>
          </w:p>
        </w:tc>
        <w:tc>
          <w:tcPr>
            <w:tcW w:w="1665" w:type="dxa"/>
            <w:shd w:val="clear" w:color="auto" w:fill="auto"/>
            <w:noWrap/>
            <w:vAlign w:val="center"/>
          </w:tcPr>
          <w:p w14:paraId="5DC5EA58">
            <w:pPr>
              <w:pStyle w:val="116"/>
              <w:spacing w:line="240" w:lineRule="auto"/>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color w:val="auto"/>
                <w:highlight w:val="none"/>
                <w:lang w:val="en-US" w:eastAsia="zh-CN"/>
              </w:rPr>
              <w:t>0.087</w:t>
            </w:r>
            <w:r>
              <w:rPr>
                <w:rFonts w:hint="eastAsia"/>
                <w:color w:val="auto"/>
                <w:szCs w:val="21"/>
              </w:rPr>
              <w:t>t/a</w:t>
            </w:r>
          </w:p>
        </w:tc>
        <w:tc>
          <w:tcPr>
            <w:tcW w:w="1755" w:type="dxa"/>
            <w:noWrap/>
            <w:vAlign w:val="center"/>
          </w:tcPr>
          <w:p w14:paraId="3E328EAD">
            <w:pPr>
              <w:spacing w:line="400" w:lineRule="exact"/>
              <w:jc w:val="center"/>
              <w:rPr>
                <w:rFonts w:hint="eastAsia"/>
                <w:color w:val="auto"/>
                <w:szCs w:val="21"/>
              </w:rPr>
            </w:pPr>
          </w:p>
        </w:tc>
        <w:tc>
          <w:tcPr>
            <w:tcW w:w="2025" w:type="dxa"/>
            <w:shd w:val="clear" w:color="auto" w:fill="auto"/>
            <w:noWrap/>
            <w:vAlign w:val="center"/>
          </w:tcPr>
          <w:p w14:paraId="22760874">
            <w:pPr>
              <w:pStyle w:val="116"/>
              <w:spacing w:line="240" w:lineRule="auto"/>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color w:val="auto"/>
                <w:highlight w:val="none"/>
                <w:lang w:val="en-US" w:eastAsia="zh-CN"/>
              </w:rPr>
              <w:t>0.087</w:t>
            </w:r>
            <w:r>
              <w:rPr>
                <w:rFonts w:hint="eastAsia"/>
                <w:color w:val="auto"/>
                <w:szCs w:val="21"/>
              </w:rPr>
              <w:t>t/a</w:t>
            </w:r>
          </w:p>
        </w:tc>
        <w:tc>
          <w:tcPr>
            <w:tcW w:w="1363" w:type="dxa"/>
            <w:shd w:val="clear" w:color="auto" w:fill="auto"/>
            <w:noWrap/>
            <w:vAlign w:val="center"/>
          </w:tcPr>
          <w:p w14:paraId="67595C9E">
            <w:pPr>
              <w:pStyle w:val="116"/>
              <w:spacing w:line="240" w:lineRule="auto"/>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color w:val="auto"/>
                <w:highlight w:val="none"/>
                <w:lang w:val="en-US" w:eastAsia="zh-CN"/>
              </w:rPr>
              <w:t>+0.087</w:t>
            </w:r>
            <w:r>
              <w:rPr>
                <w:rFonts w:hint="eastAsia"/>
                <w:color w:val="auto"/>
                <w:szCs w:val="21"/>
              </w:rPr>
              <w:t>t/a</w:t>
            </w:r>
          </w:p>
        </w:tc>
      </w:tr>
      <w:tr w14:paraId="47A5C8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870" w:type="dxa"/>
            <w:vMerge w:val="continue"/>
            <w:noWrap/>
            <w:vAlign w:val="center"/>
          </w:tcPr>
          <w:p w14:paraId="0E320584">
            <w:pPr>
              <w:pStyle w:val="63"/>
              <w:spacing w:beforeLines="0" w:afterLines="0" w:line="400" w:lineRule="exact"/>
              <w:ind w:firstLine="0" w:firstLineChars="0"/>
              <w:rPr>
                <w:rFonts w:ascii="Times New Roman"/>
                <w:snapToGrid w:val="0"/>
                <w:color w:val="auto"/>
                <w:kern w:val="21"/>
                <w:szCs w:val="21"/>
              </w:rPr>
            </w:pPr>
          </w:p>
        </w:tc>
        <w:tc>
          <w:tcPr>
            <w:tcW w:w="1875" w:type="dxa"/>
            <w:noWrap/>
            <w:vAlign w:val="center"/>
          </w:tcPr>
          <w:p w14:paraId="7C0B927B">
            <w:pPr>
              <w:pStyle w:val="63"/>
              <w:spacing w:beforeLines="0" w:afterLines="0" w:line="400" w:lineRule="exact"/>
              <w:ind w:firstLine="0" w:firstLineChars="0"/>
              <w:rPr>
                <w:rFonts w:hint="default" w:ascii="Times New Roman" w:hAnsi="Times New Roman" w:cs="Times New Roman"/>
                <w:snapToGrid w:val="0"/>
                <w:color w:val="auto"/>
                <w:kern w:val="21"/>
                <w:szCs w:val="21"/>
              </w:rPr>
            </w:pPr>
            <w:r>
              <w:rPr>
                <w:rFonts w:hint="default" w:ascii="Times New Roman" w:hAnsi="Times New Roman" w:cs="Times New Roman"/>
                <w:color w:val="auto"/>
                <w:highlight w:val="none"/>
              </w:rPr>
              <w:t>NOx</w:t>
            </w:r>
          </w:p>
        </w:tc>
        <w:tc>
          <w:tcPr>
            <w:tcW w:w="1755" w:type="dxa"/>
            <w:shd w:val="clear" w:color="auto" w:fill="auto"/>
            <w:noWrap/>
            <w:vAlign w:val="center"/>
          </w:tcPr>
          <w:p w14:paraId="2284964D">
            <w:pPr>
              <w:pStyle w:val="63"/>
              <w:spacing w:beforeLines="0" w:afterLines="0" w:line="400" w:lineRule="exact"/>
              <w:ind w:firstLine="0" w:firstLineChars="0"/>
              <w:rPr>
                <w:rFonts w:hint="eastAsia" w:ascii="Times New Roman" w:eastAsia="宋体"/>
                <w:color w:val="auto"/>
                <w:kern w:val="2"/>
                <w:szCs w:val="21"/>
                <w:lang w:val="en-US" w:eastAsia="zh-CN"/>
              </w:rPr>
            </w:pPr>
            <w:r>
              <w:rPr>
                <w:rFonts w:hint="eastAsia" w:ascii="Times New Roman"/>
                <w:color w:val="auto"/>
                <w:kern w:val="2"/>
                <w:szCs w:val="21"/>
                <w:lang w:val="en-US" w:eastAsia="zh-CN"/>
              </w:rPr>
              <w:t>0</w:t>
            </w:r>
          </w:p>
        </w:tc>
        <w:tc>
          <w:tcPr>
            <w:tcW w:w="1125" w:type="dxa"/>
            <w:noWrap/>
            <w:vAlign w:val="center"/>
          </w:tcPr>
          <w:p w14:paraId="00B28D96">
            <w:pPr>
              <w:pStyle w:val="63"/>
              <w:spacing w:beforeLines="0" w:afterLines="0" w:line="400" w:lineRule="exact"/>
              <w:ind w:firstLine="0" w:firstLineChars="0"/>
              <w:rPr>
                <w:rFonts w:hint="eastAsia" w:ascii="Times New Roman"/>
                <w:color w:val="auto"/>
                <w:kern w:val="2"/>
                <w:szCs w:val="21"/>
              </w:rPr>
            </w:pPr>
          </w:p>
        </w:tc>
        <w:tc>
          <w:tcPr>
            <w:tcW w:w="1800" w:type="dxa"/>
            <w:noWrap/>
            <w:vAlign w:val="center"/>
          </w:tcPr>
          <w:p w14:paraId="065AF999">
            <w:pPr>
              <w:spacing w:line="400" w:lineRule="exact"/>
              <w:jc w:val="center"/>
              <w:rPr>
                <w:rFonts w:hint="eastAsia"/>
                <w:color w:val="auto"/>
                <w:szCs w:val="21"/>
              </w:rPr>
            </w:pPr>
          </w:p>
        </w:tc>
        <w:tc>
          <w:tcPr>
            <w:tcW w:w="1665" w:type="dxa"/>
            <w:shd w:val="clear" w:color="auto" w:fill="auto"/>
            <w:noWrap/>
            <w:vAlign w:val="center"/>
          </w:tcPr>
          <w:p w14:paraId="0AE7DA00">
            <w:pPr>
              <w:pStyle w:val="116"/>
              <w:spacing w:line="240" w:lineRule="auto"/>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color w:val="auto"/>
                <w:highlight w:val="none"/>
                <w:lang w:val="en-US" w:eastAsia="zh-CN"/>
              </w:rPr>
              <w:t>4.073</w:t>
            </w:r>
            <w:r>
              <w:rPr>
                <w:rFonts w:hint="eastAsia"/>
                <w:color w:val="auto"/>
                <w:szCs w:val="21"/>
              </w:rPr>
              <w:t>t/a</w:t>
            </w:r>
          </w:p>
        </w:tc>
        <w:tc>
          <w:tcPr>
            <w:tcW w:w="1755" w:type="dxa"/>
            <w:noWrap/>
            <w:vAlign w:val="center"/>
          </w:tcPr>
          <w:p w14:paraId="773ECF0B">
            <w:pPr>
              <w:spacing w:line="400" w:lineRule="exact"/>
              <w:jc w:val="center"/>
              <w:rPr>
                <w:rFonts w:hint="eastAsia"/>
                <w:color w:val="auto"/>
                <w:szCs w:val="21"/>
              </w:rPr>
            </w:pPr>
          </w:p>
        </w:tc>
        <w:tc>
          <w:tcPr>
            <w:tcW w:w="2025" w:type="dxa"/>
            <w:shd w:val="clear" w:color="auto" w:fill="auto"/>
            <w:noWrap/>
            <w:vAlign w:val="center"/>
          </w:tcPr>
          <w:p w14:paraId="436B7D2E">
            <w:pPr>
              <w:pStyle w:val="116"/>
              <w:spacing w:line="240" w:lineRule="auto"/>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color w:val="auto"/>
                <w:highlight w:val="none"/>
                <w:lang w:val="en-US" w:eastAsia="zh-CN"/>
              </w:rPr>
              <w:t>4.073</w:t>
            </w:r>
            <w:r>
              <w:rPr>
                <w:rFonts w:hint="eastAsia"/>
                <w:color w:val="auto"/>
                <w:szCs w:val="21"/>
              </w:rPr>
              <w:t>t/a</w:t>
            </w:r>
          </w:p>
        </w:tc>
        <w:tc>
          <w:tcPr>
            <w:tcW w:w="1363" w:type="dxa"/>
            <w:shd w:val="clear" w:color="auto" w:fill="auto"/>
            <w:noWrap/>
            <w:vAlign w:val="center"/>
          </w:tcPr>
          <w:p w14:paraId="50EED965">
            <w:pPr>
              <w:pStyle w:val="116"/>
              <w:spacing w:line="240" w:lineRule="auto"/>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color w:val="auto"/>
                <w:highlight w:val="none"/>
                <w:lang w:val="en-US" w:eastAsia="zh-CN"/>
              </w:rPr>
              <w:t>+4.073</w:t>
            </w:r>
            <w:r>
              <w:rPr>
                <w:rFonts w:hint="eastAsia"/>
                <w:color w:val="auto"/>
                <w:szCs w:val="21"/>
              </w:rPr>
              <w:t>t/a</w:t>
            </w:r>
          </w:p>
        </w:tc>
      </w:tr>
      <w:tr w14:paraId="66770B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870" w:type="dxa"/>
            <w:vMerge w:val="continue"/>
            <w:noWrap/>
            <w:vAlign w:val="center"/>
          </w:tcPr>
          <w:p w14:paraId="1B01C9EF">
            <w:pPr>
              <w:pStyle w:val="63"/>
              <w:spacing w:beforeLines="0" w:afterLines="0" w:line="400" w:lineRule="exact"/>
              <w:ind w:firstLine="0" w:firstLineChars="0"/>
              <w:rPr>
                <w:rFonts w:ascii="Times New Roman"/>
                <w:snapToGrid w:val="0"/>
                <w:color w:val="auto"/>
                <w:kern w:val="21"/>
                <w:szCs w:val="21"/>
              </w:rPr>
            </w:pPr>
          </w:p>
        </w:tc>
        <w:tc>
          <w:tcPr>
            <w:tcW w:w="1875" w:type="dxa"/>
            <w:noWrap/>
            <w:vAlign w:val="center"/>
          </w:tcPr>
          <w:p w14:paraId="5DE1D15B">
            <w:pPr>
              <w:pStyle w:val="63"/>
              <w:spacing w:beforeLines="0" w:afterLines="0" w:line="400" w:lineRule="exact"/>
              <w:ind w:firstLine="0" w:firstLineChars="0"/>
              <w:rPr>
                <w:rFonts w:ascii="Times New Roman"/>
                <w:snapToGrid w:val="0"/>
                <w:color w:val="auto"/>
                <w:kern w:val="21"/>
                <w:szCs w:val="21"/>
              </w:rPr>
            </w:pPr>
            <w:r>
              <w:rPr>
                <w:rFonts w:hint="eastAsia" w:ascii="Times New Roman"/>
                <w:snapToGrid w:val="0"/>
                <w:color w:val="auto"/>
                <w:kern w:val="21"/>
                <w:szCs w:val="21"/>
              </w:rPr>
              <w:t>非甲烷总烃</w:t>
            </w:r>
          </w:p>
        </w:tc>
        <w:tc>
          <w:tcPr>
            <w:tcW w:w="1755" w:type="dxa"/>
            <w:shd w:val="clear" w:color="auto" w:fill="auto"/>
            <w:noWrap/>
            <w:vAlign w:val="center"/>
          </w:tcPr>
          <w:p w14:paraId="2F08928E">
            <w:pPr>
              <w:pStyle w:val="63"/>
              <w:spacing w:beforeLines="0" w:afterLines="0" w:line="400" w:lineRule="exact"/>
              <w:ind w:firstLine="0" w:firstLineChars="0"/>
              <w:rPr>
                <w:rFonts w:ascii="Times New Roman" w:hAnsi="Times New Roman" w:eastAsia="宋体" w:cs="Times New Roman"/>
                <w:color w:val="auto"/>
                <w:kern w:val="2"/>
                <w:sz w:val="21"/>
                <w:szCs w:val="21"/>
                <w:lang w:val="en-US" w:eastAsia="zh-CN" w:bidi="ar-SA"/>
              </w:rPr>
            </w:pPr>
            <w:r>
              <w:rPr>
                <w:rFonts w:hint="eastAsia" w:ascii="Times New Roman"/>
                <w:color w:val="auto"/>
                <w:kern w:val="2"/>
                <w:szCs w:val="21"/>
              </w:rPr>
              <w:t>0.08</w:t>
            </w:r>
            <w:r>
              <w:rPr>
                <w:rFonts w:hint="eastAsia" w:ascii="Times New Roman"/>
                <w:color w:val="auto"/>
                <w:kern w:val="2"/>
                <w:szCs w:val="21"/>
                <w:lang w:val="en-US" w:eastAsia="zh-CN"/>
              </w:rPr>
              <w:t>1</w:t>
            </w:r>
            <w:r>
              <w:rPr>
                <w:rFonts w:hint="eastAsia" w:ascii="Times New Roman"/>
                <w:color w:val="auto"/>
                <w:kern w:val="2"/>
                <w:szCs w:val="21"/>
              </w:rPr>
              <w:t>t/a</w:t>
            </w:r>
          </w:p>
        </w:tc>
        <w:tc>
          <w:tcPr>
            <w:tcW w:w="1125" w:type="dxa"/>
            <w:noWrap/>
            <w:vAlign w:val="center"/>
          </w:tcPr>
          <w:p w14:paraId="5508A6C6">
            <w:pPr>
              <w:pStyle w:val="63"/>
              <w:spacing w:beforeLines="0" w:afterLines="0" w:line="400" w:lineRule="exact"/>
              <w:ind w:firstLine="0" w:firstLineChars="0"/>
              <w:rPr>
                <w:rFonts w:ascii="Times New Roman"/>
                <w:color w:val="auto"/>
                <w:kern w:val="2"/>
                <w:szCs w:val="21"/>
              </w:rPr>
            </w:pPr>
            <w:r>
              <w:rPr>
                <w:rFonts w:hint="eastAsia" w:ascii="Times New Roman"/>
                <w:color w:val="auto"/>
                <w:kern w:val="2"/>
                <w:szCs w:val="21"/>
              </w:rPr>
              <w:t>0.1755t/a</w:t>
            </w:r>
          </w:p>
        </w:tc>
        <w:tc>
          <w:tcPr>
            <w:tcW w:w="1800" w:type="dxa"/>
            <w:noWrap/>
            <w:vAlign w:val="center"/>
          </w:tcPr>
          <w:p w14:paraId="3AD17CE1">
            <w:pPr>
              <w:spacing w:line="400" w:lineRule="exact"/>
              <w:jc w:val="center"/>
              <w:rPr>
                <w:color w:val="auto"/>
                <w:szCs w:val="21"/>
              </w:rPr>
            </w:pPr>
            <w:r>
              <w:rPr>
                <w:rFonts w:hint="eastAsia"/>
                <w:color w:val="auto"/>
                <w:szCs w:val="21"/>
              </w:rPr>
              <w:t>/</w:t>
            </w:r>
          </w:p>
        </w:tc>
        <w:tc>
          <w:tcPr>
            <w:tcW w:w="1665" w:type="dxa"/>
            <w:noWrap/>
            <w:vAlign w:val="center"/>
          </w:tcPr>
          <w:p w14:paraId="113E4669">
            <w:pPr>
              <w:widowControl/>
              <w:jc w:val="center"/>
              <w:textAlignment w:val="center"/>
              <w:rPr>
                <w:color w:val="auto"/>
                <w:szCs w:val="21"/>
              </w:rPr>
            </w:pPr>
            <w:r>
              <w:rPr>
                <w:rFonts w:hint="eastAsia"/>
                <w:color w:val="auto"/>
                <w:szCs w:val="21"/>
              </w:rPr>
              <w:t>0 t/a</w:t>
            </w:r>
          </w:p>
        </w:tc>
        <w:tc>
          <w:tcPr>
            <w:tcW w:w="1755" w:type="dxa"/>
            <w:noWrap/>
            <w:vAlign w:val="center"/>
          </w:tcPr>
          <w:p w14:paraId="30FD211E">
            <w:pPr>
              <w:spacing w:line="400" w:lineRule="exact"/>
              <w:jc w:val="center"/>
              <w:rPr>
                <w:color w:val="auto"/>
                <w:szCs w:val="21"/>
              </w:rPr>
            </w:pPr>
            <w:r>
              <w:rPr>
                <w:rFonts w:hint="eastAsia"/>
                <w:color w:val="auto"/>
                <w:szCs w:val="21"/>
              </w:rPr>
              <w:t>/</w:t>
            </w:r>
          </w:p>
        </w:tc>
        <w:tc>
          <w:tcPr>
            <w:tcW w:w="2025" w:type="dxa"/>
            <w:shd w:val="clear" w:color="auto" w:fill="auto"/>
            <w:noWrap/>
            <w:vAlign w:val="center"/>
          </w:tcPr>
          <w:p w14:paraId="113011A3">
            <w:pPr>
              <w:pStyle w:val="63"/>
              <w:spacing w:beforeLines="0" w:afterLines="0" w:line="400" w:lineRule="exact"/>
              <w:ind w:firstLine="0" w:firstLineChars="0"/>
              <w:rPr>
                <w:rFonts w:ascii="Times New Roman" w:hAnsi="Times New Roman" w:eastAsia="宋体" w:cs="Times New Roman"/>
                <w:color w:val="auto"/>
                <w:kern w:val="2"/>
                <w:sz w:val="21"/>
                <w:szCs w:val="21"/>
                <w:lang w:val="en-US" w:eastAsia="zh-CN" w:bidi="ar-SA"/>
              </w:rPr>
            </w:pPr>
            <w:r>
              <w:rPr>
                <w:rFonts w:hint="eastAsia" w:ascii="Times New Roman"/>
                <w:color w:val="auto"/>
                <w:kern w:val="2"/>
                <w:szCs w:val="21"/>
              </w:rPr>
              <w:t>0.08</w:t>
            </w:r>
            <w:r>
              <w:rPr>
                <w:rFonts w:hint="eastAsia" w:ascii="Times New Roman"/>
                <w:color w:val="auto"/>
                <w:kern w:val="2"/>
                <w:szCs w:val="21"/>
                <w:lang w:val="en-US" w:eastAsia="zh-CN"/>
              </w:rPr>
              <w:t>1</w:t>
            </w:r>
            <w:r>
              <w:rPr>
                <w:rFonts w:hint="eastAsia" w:ascii="Times New Roman"/>
                <w:color w:val="auto"/>
                <w:kern w:val="2"/>
                <w:szCs w:val="21"/>
              </w:rPr>
              <w:t>t/a</w:t>
            </w:r>
          </w:p>
        </w:tc>
        <w:tc>
          <w:tcPr>
            <w:tcW w:w="1363" w:type="dxa"/>
            <w:noWrap/>
            <w:vAlign w:val="center"/>
          </w:tcPr>
          <w:p w14:paraId="21FDD7C6">
            <w:pPr>
              <w:pStyle w:val="63"/>
              <w:spacing w:beforeLines="0" w:afterLines="0" w:line="400" w:lineRule="exact"/>
              <w:ind w:firstLine="0" w:firstLineChars="0"/>
              <w:rPr>
                <w:rFonts w:ascii="Times New Roman"/>
                <w:color w:val="auto"/>
                <w:kern w:val="2"/>
                <w:szCs w:val="21"/>
              </w:rPr>
            </w:pPr>
            <w:r>
              <w:rPr>
                <w:rFonts w:ascii="Times New Roman"/>
                <w:color w:val="auto"/>
                <w:kern w:val="2"/>
                <w:szCs w:val="21"/>
              </w:rPr>
              <w:t>0t/a</w:t>
            </w:r>
          </w:p>
        </w:tc>
      </w:tr>
      <w:tr w14:paraId="27C4B7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870" w:type="dxa"/>
            <w:vMerge w:val="restart"/>
            <w:noWrap/>
            <w:vAlign w:val="center"/>
          </w:tcPr>
          <w:p w14:paraId="108A26EF">
            <w:pPr>
              <w:pStyle w:val="63"/>
              <w:spacing w:beforeLines="0" w:afterLines="0" w:line="400" w:lineRule="exact"/>
              <w:ind w:firstLine="0" w:firstLineChars="0"/>
              <w:rPr>
                <w:rFonts w:ascii="Times New Roman"/>
                <w:snapToGrid w:val="0"/>
                <w:color w:val="auto"/>
                <w:kern w:val="21"/>
                <w:szCs w:val="21"/>
              </w:rPr>
            </w:pPr>
            <w:r>
              <w:rPr>
                <w:rFonts w:ascii="Times New Roman"/>
                <w:snapToGrid w:val="0"/>
                <w:color w:val="auto"/>
                <w:kern w:val="21"/>
                <w:szCs w:val="21"/>
              </w:rPr>
              <w:t>废水</w:t>
            </w:r>
          </w:p>
        </w:tc>
        <w:tc>
          <w:tcPr>
            <w:tcW w:w="1875" w:type="dxa"/>
            <w:noWrap/>
            <w:vAlign w:val="center"/>
          </w:tcPr>
          <w:p w14:paraId="24ADAECC">
            <w:pPr>
              <w:widowControl/>
              <w:snapToGrid w:val="0"/>
              <w:spacing w:line="360" w:lineRule="exact"/>
              <w:jc w:val="center"/>
              <w:rPr>
                <w:color w:val="auto"/>
                <w:szCs w:val="21"/>
              </w:rPr>
            </w:pPr>
            <w:r>
              <w:rPr>
                <w:rStyle w:val="98"/>
                <w:rFonts w:hint="eastAsia"/>
                <w:color w:val="auto"/>
                <w:szCs w:val="21"/>
              </w:rPr>
              <w:t>COD</w:t>
            </w:r>
          </w:p>
        </w:tc>
        <w:tc>
          <w:tcPr>
            <w:tcW w:w="1755" w:type="dxa"/>
            <w:shd w:val="clear" w:color="auto" w:fill="auto"/>
            <w:noWrap/>
            <w:vAlign w:val="center"/>
          </w:tcPr>
          <w:p w14:paraId="2F6541E5">
            <w:pPr>
              <w:spacing w:line="400" w:lineRule="exact"/>
              <w:jc w:val="center"/>
              <w:rPr>
                <w:rFonts w:ascii="Times New Roman" w:hAnsi="Times New Roman" w:eastAsia="宋体" w:cs="Times New Roman"/>
                <w:color w:val="auto"/>
                <w:kern w:val="2"/>
                <w:sz w:val="21"/>
                <w:szCs w:val="21"/>
                <w:lang w:val="en-US" w:eastAsia="zh-CN" w:bidi="ar-SA"/>
              </w:rPr>
            </w:pPr>
            <w:r>
              <w:rPr>
                <w:rFonts w:hint="eastAsia"/>
                <w:color w:val="auto"/>
                <w:szCs w:val="21"/>
              </w:rPr>
              <w:t>/</w:t>
            </w:r>
          </w:p>
        </w:tc>
        <w:tc>
          <w:tcPr>
            <w:tcW w:w="1125" w:type="dxa"/>
            <w:shd w:val="clear" w:color="auto" w:fill="auto"/>
            <w:noWrap/>
            <w:vAlign w:val="center"/>
          </w:tcPr>
          <w:p w14:paraId="3D6CBBFF">
            <w:pPr>
              <w:spacing w:line="400" w:lineRule="exact"/>
              <w:jc w:val="center"/>
              <w:rPr>
                <w:rFonts w:ascii="Times New Roman" w:hAnsi="Times New Roman" w:eastAsia="宋体" w:cs="Times New Roman"/>
                <w:color w:val="auto"/>
                <w:kern w:val="2"/>
                <w:sz w:val="21"/>
                <w:szCs w:val="21"/>
                <w:lang w:val="en-US" w:eastAsia="zh-CN" w:bidi="ar-SA"/>
              </w:rPr>
            </w:pPr>
            <w:r>
              <w:rPr>
                <w:rFonts w:hint="eastAsia"/>
                <w:color w:val="auto"/>
                <w:szCs w:val="21"/>
              </w:rPr>
              <w:t>/</w:t>
            </w:r>
          </w:p>
        </w:tc>
        <w:tc>
          <w:tcPr>
            <w:tcW w:w="1800" w:type="dxa"/>
            <w:noWrap/>
            <w:vAlign w:val="center"/>
          </w:tcPr>
          <w:p w14:paraId="2A37D43C">
            <w:pPr>
              <w:spacing w:line="400" w:lineRule="exact"/>
              <w:jc w:val="center"/>
              <w:rPr>
                <w:color w:val="auto"/>
                <w:szCs w:val="21"/>
              </w:rPr>
            </w:pPr>
            <w:r>
              <w:rPr>
                <w:rFonts w:hint="eastAsia"/>
                <w:color w:val="auto"/>
                <w:szCs w:val="21"/>
              </w:rPr>
              <w:t>/</w:t>
            </w:r>
          </w:p>
        </w:tc>
        <w:tc>
          <w:tcPr>
            <w:tcW w:w="1665" w:type="dxa"/>
            <w:shd w:val="clear" w:color="auto" w:fill="auto"/>
            <w:noWrap/>
            <w:vAlign w:val="center"/>
          </w:tcPr>
          <w:p w14:paraId="2AB26C6C">
            <w:pPr>
              <w:spacing w:line="400" w:lineRule="exact"/>
              <w:jc w:val="center"/>
              <w:rPr>
                <w:rFonts w:ascii="Times New Roman" w:hAnsi="Times New Roman" w:eastAsia="宋体" w:cs="Times New Roman"/>
                <w:color w:val="auto"/>
                <w:kern w:val="2"/>
                <w:sz w:val="21"/>
                <w:szCs w:val="21"/>
                <w:lang w:val="en-US" w:eastAsia="zh-CN" w:bidi="ar-SA"/>
              </w:rPr>
            </w:pPr>
            <w:r>
              <w:rPr>
                <w:rFonts w:hint="eastAsia"/>
                <w:color w:val="auto"/>
                <w:szCs w:val="21"/>
              </w:rPr>
              <w:t>/</w:t>
            </w:r>
          </w:p>
        </w:tc>
        <w:tc>
          <w:tcPr>
            <w:tcW w:w="1755" w:type="dxa"/>
            <w:noWrap/>
            <w:vAlign w:val="center"/>
          </w:tcPr>
          <w:p w14:paraId="590AE32B">
            <w:pPr>
              <w:spacing w:line="400" w:lineRule="exact"/>
              <w:jc w:val="center"/>
              <w:rPr>
                <w:color w:val="auto"/>
                <w:szCs w:val="21"/>
              </w:rPr>
            </w:pPr>
            <w:r>
              <w:rPr>
                <w:rFonts w:hint="eastAsia"/>
                <w:color w:val="auto"/>
                <w:szCs w:val="21"/>
              </w:rPr>
              <w:t>/</w:t>
            </w:r>
          </w:p>
        </w:tc>
        <w:tc>
          <w:tcPr>
            <w:tcW w:w="2025" w:type="dxa"/>
            <w:shd w:val="clear" w:color="auto" w:fill="auto"/>
            <w:noWrap/>
            <w:vAlign w:val="center"/>
          </w:tcPr>
          <w:p w14:paraId="1725CD2A">
            <w:pPr>
              <w:spacing w:line="400" w:lineRule="exact"/>
              <w:jc w:val="center"/>
              <w:rPr>
                <w:rFonts w:ascii="Times New Roman" w:hAnsi="Times New Roman" w:eastAsia="宋体" w:cs="Times New Roman"/>
                <w:color w:val="auto"/>
                <w:kern w:val="2"/>
                <w:sz w:val="21"/>
                <w:szCs w:val="21"/>
                <w:lang w:val="en-US" w:eastAsia="zh-CN" w:bidi="ar-SA"/>
              </w:rPr>
            </w:pPr>
            <w:r>
              <w:rPr>
                <w:rFonts w:hint="eastAsia"/>
                <w:color w:val="auto"/>
                <w:szCs w:val="21"/>
              </w:rPr>
              <w:t>/</w:t>
            </w:r>
          </w:p>
        </w:tc>
        <w:tc>
          <w:tcPr>
            <w:tcW w:w="1363" w:type="dxa"/>
            <w:shd w:val="clear" w:color="auto" w:fill="auto"/>
            <w:noWrap/>
            <w:vAlign w:val="center"/>
          </w:tcPr>
          <w:p w14:paraId="3F22A8EE">
            <w:pPr>
              <w:spacing w:line="400" w:lineRule="exact"/>
              <w:jc w:val="center"/>
              <w:rPr>
                <w:rFonts w:ascii="Times New Roman" w:hAnsi="Times New Roman" w:eastAsia="宋体" w:cs="Times New Roman"/>
                <w:color w:val="auto"/>
                <w:kern w:val="2"/>
                <w:sz w:val="21"/>
                <w:szCs w:val="21"/>
                <w:lang w:val="en-US" w:eastAsia="zh-CN" w:bidi="ar-SA"/>
              </w:rPr>
            </w:pPr>
            <w:r>
              <w:rPr>
                <w:rFonts w:hint="eastAsia"/>
                <w:color w:val="auto"/>
                <w:szCs w:val="21"/>
              </w:rPr>
              <w:t>/</w:t>
            </w:r>
          </w:p>
        </w:tc>
      </w:tr>
      <w:tr w14:paraId="0F3CE9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870" w:type="dxa"/>
            <w:vMerge w:val="continue"/>
            <w:noWrap/>
            <w:vAlign w:val="center"/>
          </w:tcPr>
          <w:p w14:paraId="536DB7B9">
            <w:pPr>
              <w:pStyle w:val="63"/>
              <w:spacing w:beforeLines="0" w:afterLines="0" w:line="400" w:lineRule="exact"/>
              <w:ind w:firstLine="0" w:firstLineChars="0"/>
              <w:rPr>
                <w:rFonts w:ascii="Times New Roman"/>
                <w:snapToGrid w:val="0"/>
                <w:color w:val="auto"/>
                <w:kern w:val="21"/>
                <w:szCs w:val="21"/>
              </w:rPr>
            </w:pPr>
          </w:p>
        </w:tc>
        <w:tc>
          <w:tcPr>
            <w:tcW w:w="1875" w:type="dxa"/>
            <w:noWrap/>
            <w:vAlign w:val="center"/>
          </w:tcPr>
          <w:p w14:paraId="0954F3CC">
            <w:pPr>
              <w:widowControl/>
              <w:snapToGrid w:val="0"/>
              <w:spacing w:line="360" w:lineRule="exact"/>
              <w:jc w:val="center"/>
              <w:rPr>
                <w:color w:val="auto"/>
                <w:szCs w:val="21"/>
              </w:rPr>
            </w:pPr>
            <w:r>
              <w:rPr>
                <w:rStyle w:val="98"/>
                <w:rFonts w:hint="eastAsia"/>
                <w:color w:val="auto"/>
                <w:szCs w:val="21"/>
              </w:rPr>
              <w:t>氨氮</w:t>
            </w:r>
          </w:p>
        </w:tc>
        <w:tc>
          <w:tcPr>
            <w:tcW w:w="1755" w:type="dxa"/>
            <w:shd w:val="clear" w:color="auto" w:fill="auto"/>
            <w:noWrap/>
            <w:vAlign w:val="center"/>
          </w:tcPr>
          <w:p w14:paraId="0EE8E448">
            <w:pPr>
              <w:spacing w:line="400" w:lineRule="exact"/>
              <w:jc w:val="center"/>
              <w:rPr>
                <w:rFonts w:ascii="Times New Roman" w:hAnsi="Times New Roman" w:eastAsia="宋体" w:cs="Times New Roman"/>
                <w:color w:val="auto"/>
                <w:kern w:val="2"/>
                <w:sz w:val="21"/>
                <w:szCs w:val="21"/>
                <w:lang w:val="en-US" w:eastAsia="zh-CN" w:bidi="ar-SA"/>
              </w:rPr>
            </w:pPr>
            <w:r>
              <w:rPr>
                <w:rFonts w:hint="eastAsia"/>
                <w:color w:val="auto"/>
                <w:szCs w:val="21"/>
              </w:rPr>
              <w:t>/</w:t>
            </w:r>
          </w:p>
        </w:tc>
        <w:tc>
          <w:tcPr>
            <w:tcW w:w="1125" w:type="dxa"/>
            <w:shd w:val="clear" w:color="auto" w:fill="auto"/>
            <w:noWrap/>
            <w:vAlign w:val="center"/>
          </w:tcPr>
          <w:p w14:paraId="1875C331">
            <w:pPr>
              <w:spacing w:line="400" w:lineRule="exact"/>
              <w:jc w:val="center"/>
              <w:rPr>
                <w:rFonts w:ascii="Times New Roman" w:hAnsi="Times New Roman" w:eastAsia="宋体" w:cs="Times New Roman"/>
                <w:color w:val="auto"/>
                <w:kern w:val="2"/>
                <w:sz w:val="21"/>
                <w:szCs w:val="21"/>
                <w:lang w:val="en-US" w:eastAsia="zh-CN" w:bidi="ar-SA"/>
              </w:rPr>
            </w:pPr>
            <w:r>
              <w:rPr>
                <w:rFonts w:hint="eastAsia"/>
                <w:color w:val="auto"/>
                <w:szCs w:val="21"/>
              </w:rPr>
              <w:t>/</w:t>
            </w:r>
          </w:p>
        </w:tc>
        <w:tc>
          <w:tcPr>
            <w:tcW w:w="1800" w:type="dxa"/>
            <w:noWrap/>
            <w:vAlign w:val="center"/>
          </w:tcPr>
          <w:p w14:paraId="51DA1796">
            <w:pPr>
              <w:spacing w:line="400" w:lineRule="exact"/>
              <w:jc w:val="center"/>
              <w:rPr>
                <w:color w:val="auto"/>
                <w:szCs w:val="21"/>
              </w:rPr>
            </w:pPr>
            <w:r>
              <w:rPr>
                <w:rFonts w:hint="eastAsia"/>
                <w:color w:val="auto"/>
                <w:szCs w:val="21"/>
              </w:rPr>
              <w:t>/</w:t>
            </w:r>
          </w:p>
        </w:tc>
        <w:tc>
          <w:tcPr>
            <w:tcW w:w="1665" w:type="dxa"/>
            <w:shd w:val="clear" w:color="auto" w:fill="auto"/>
            <w:noWrap/>
            <w:vAlign w:val="center"/>
          </w:tcPr>
          <w:p w14:paraId="323FC283">
            <w:pPr>
              <w:spacing w:line="400" w:lineRule="exact"/>
              <w:jc w:val="center"/>
              <w:rPr>
                <w:rFonts w:ascii="Times New Roman" w:hAnsi="Times New Roman" w:eastAsia="宋体" w:cs="Times New Roman"/>
                <w:color w:val="auto"/>
                <w:kern w:val="2"/>
                <w:sz w:val="21"/>
                <w:szCs w:val="21"/>
                <w:lang w:val="en-US" w:eastAsia="zh-CN" w:bidi="ar-SA"/>
              </w:rPr>
            </w:pPr>
            <w:r>
              <w:rPr>
                <w:rFonts w:hint="eastAsia"/>
                <w:color w:val="auto"/>
                <w:szCs w:val="21"/>
              </w:rPr>
              <w:t>/</w:t>
            </w:r>
          </w:p>
        </w:tc>
        <w:tc>
          <w:tcPr>
            <w:tcW w:w="1755" w:type="dxa"/>
            <w:noWrap/>
            <w:vAlign w:val="center"/>
          </w:tcPr>
          <w:p w14:paraId="6033859C">
            <w:pPr>
              <w:spacing w:line="400" w:lineRule="exact"/>
              <w:jc w:val="center"/>
              <w:rPr>
                <w:color w:val="auto"/>
                <w:szCs w:val="21"/>
              </w:rPr>
            </w:pPr>
            <w:r>
              <w:rPr>
                <w:rFonts w:hint="eastAsia"/>
                <w:color w:val="auto"/>
                <w:szCs w:val="21"/>
              </w:rPr>
              <w:t>/</w:t>
            </w:r>
          </w:p>
        </w:tc>
        <w:tc>
          <w:tcPr>
            <w:tcW w:w="2025" w:type="dxa"/>
            <w:shd w:val="clear" w:color="auto" w:fill="auto"/>
            <w:noWrap/>
            <w:vAlign w:val="center"/>
          </w:tcPr>
          <w:p w14:paraId="53E417D7">
            <w:pPr>
              <w:spacing w:line="400" w:lineRule="exact"/>
              <w:jc w:val="center"/>
              <w:rPr>
                <w:rFonts w:ascii="Times New Roman" w:hAnsi="Times New Roman" w:eastAsia="宋体" w:cs="Times New Roman"/>
                <w:color w:val="auto"/>
                <w:kern w:val="2"/>
                <w:sz w:val="21"/>
                <w:szCs w:val="21"/>
                <w:lang w:val="en-US" w:eastAsia="zh-CN" w:bidi="ar-SA"/>
              </w:rPr>
            </w:pPr>
            <w:r>
              <w:rPr>
                <w:rFonts w:hint="eastAsia"/>
                <w:color w:val="auto"/>
                <w:szCs w:val="21"/>
              </w:rPr>
              <w:t>/</w:t>
            </w:r>
          </w:p>
        </w:tc>
        <w:tc>
          <w:tcPr>
            <w:tcW w:w="1363" w:type="dxa"/>
            <w:shd w:val="clear" w:color="auto" w:fill="auto"/>
            <w:noWrap/>
            <w:vAlign w:val="center"/>
          </w:tcPr>
          <w:p w14:paraId="6C86D5E7">
            <w:pPr>
              <w:spacing w:line="400" w:lineRule="exact"/>
              <w:jc w:val="center"/>
              <w:rPr>
                <w:rFonts w:ascii="Times New Roman" w:hAnsi="Times New Roman" w:eastAsia="宋体" w:cs="Times New Roman"/>
                <w:color w:val="auto"/>
                <w:kern w:val="2"/>
                <w:sz w:val="21"/>
                <w:szCs w:val="21"/>
                <w:lang w:val="en-US" w:eastAsia="zh-CN" w:bidi="ar-SA"/>
              </w:rPr>
            </w:pPr>
            <w:r>
              <w:rPr>
                <w:rFonts w:hint="eastAsia"/>
                <w:color w:val="auto"/>
                <w:szCs w:val="21"/>
              </w:rPr>
              <w:t>/</w:t>
            </w:r>
          </w:p>
        </w:tc>
      </w:tr>
      <w:tr w14:paraId="6BDD39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870" w:type="dxa"/>
            <w:vMerge w:val="restart"/>
            <w:noWrap/>
            <w:vAlign w:val="center"/>
          </w:tcPr>
          <w:p w14:paraId="75549E35">
            <w:pPr>
              <w:pStyle w:val="63"/>
              <w:spacing w:beforeLines="0" w:afterLines="0" w:line="240" w:lineRule="auto"/>
              <w:ind w:firstLine="0" w:firstLineChars="0"/>
              <w:rPr>
                <w:rFonts w:ascii="Times New Roman"/>
                <w:snapToGrid w:val="0"/>
                <w:color w:val="auto"/>
                <w:kern w:val="21"/>
                <w:szCs w:val="21"/>
              </w:rPr>
            </w:pPr>
            <w:r>
              <w:rPr>
                <w:rFonts w:ascii="Times New Roman"/>
                <w:snapToGrid w:val="0"/>
                <w:color w:val="auto"/>
                <w:kern w:val="21"/>
                <w:szCs w:val="21"/>
              </w:rPr>
              <w:t>一般固体废物</w:t>
            </w:r>
          </w:p>
        </w:tc>
        <w:tc>
          <w:tcPr>
            <w:tcW w:w="1875" w:type="dxa"/>
            <w:noWrap/>
            <w:vAlign w:val="center"/>
          </w:tcPr>
          <w:p w14:paraId="7DDB8BAF">
            <w:pPr>
              <w:jc w:val="center"/>
              <w:rPr>
                <w:color w:val="auto"/>
                <w:szCs w:val="21"/>
              </w:rPr>
            </w:pPr>
            <w:r>
              <w:rPr>
                <w:color w:val="auto"/>
                <w:szCs w:val="21"/>
              </w:rPr>
              <w:t>边角料</w:t>
            </w:r>
            <w:r>
              <w:rPr>
                <w:rFonts w:hint="eastAsia"/>
                <w:color w:val="auto"/>
                <w:szCs w:val="21"/>
              </w:rPr>
              <w:t>、废金属屑、金属氧化渣</w:t>
            </w:r>
          </w:p>
        </w:tc>
        <w:tc>
          <w:tcPr>
            <w:tcW w:w="1755" w:type="dxa"/>
            <w:shd w:val="clear" w:color="auto" w:fill="auto"/>
            <w:noWrap/>
            <w:vAlign w:val="center"/>
          </w:tcPr>
          <w:p w14:paraId="2D23AEB6">
            <w:pPr>
              <w:pStyle w:val="63"/>
              <w:spacing w:beforeLines="0" w:afterLines="0" w:line="400" w:lineRule="exact"/>
              <w:ind w:firstLine="0" w:firstLineChars="0"/>
              <w:rPr>
                <w:rFonts w:ascii="Times New Roman" w:hAnsi="Times New Roman" w:eastAsia="宋体" w:cs="Times New Roman"/>
                <w:color w:val="auto"/>
                <w:kern w:val="2"/>
                <w:sz w:val="21"/>
                <w:szCs w:val="21"/>
                <w:lang w:val="en-US" w:eastAsia="zh-CN" w:bidi="ar-SA"/>
              </w:rPr>
            </w:pPr>
            <w:r>
              <w:rPr>
                <w:rFonts w:hint="eastAsia" w:ascii="Times New Roman"/>
                <w:color w:val="auto"/>
                <w:kern w:val="2"/>
                <w:szCs w:val="21"/>
              </w:rPr>
              <w:t>8000.8t/a</w:t>
            </w:r>
          </w:p>
        </w:tc>
        <w:tc>
          <w:tcPr>
            <w:tcW w:w="1125" w:type="dxa"/>
            <w:noWrap/>
            <w:vAlign w:val="center"/>
          </w:tcPr>
          <w:p w14:paraId="2E877831">
            <w:pPr>
              <w:pStyle w:val="63"/>
              <w:spacing w:beforeLines="0" w:afterLines="0" w:line="400" w:lineRule="exact"/>
              <w:ind w:firstLine="0" w:firstLineChars="0"/>
              <w:rPr>
                <w:rFonts w:ascii="Times New Roman"/>
                <w:color w:val="auto"/>
                <w:kern w:val="2"/>
                <w:szCs w:val="21"/>
              </w:rPr>
            </w:pPr>
            <w:r>
              <w:rPr>
                <w:rFonts w:ascii="Times New Roman"/>
                <w:color w:val="auto"/>
                <w:kern w:val="2"/>
                <w:szCs w:val="21"/>
              </w:rPr>
              <w:t>/</w:t>
            </w:r>
          </w:p>
        </w:tc>
        <w:tc>
          <w:tcPr>
            <w:tcW w:w="1800" w:type="dxa"/>
            <w:noWrap/>
            <w:vAlign w:val="center"/>
          </w:tcPr>
          <w:p w14:paraId="34CC7E23">
            <w:pPr>
              <w:spacing w:line="400" w:lineRule="exact"/>
              <w:jc w:val="center"/>
              <w:rPr>
                <w:color w:val="auto"/>
                <w:szCs w:val="21"/>
              </w:rPr>
            </w:pPr>
            <w:r>
              <w:rPr>
                <w:rFonts w:hint="eastAsia"/>
                <w:color w:val="auto"/>
                <w:szCs w:val="21"/>
              </w:rPr>
              <w:t>/</w:t>
            </w:r>
          </w:p>
        </w:tc>
        <w:tc>
          <w:tcPr>
            <w:tcW w:w="1665" w:type="dxa"/>
            <w:noWrap/>
            <w:vAlign w:val="center"/>
          </w:tcPr>
          <w:p w14:paraId="70C69288">
            <w:pPr>
              <w:pStyle w:val="63"/>
              <w:spacing w:beforeLines="0" w:afterLines="0" w:line="400" w:lineRule="exact"/>
              <w:ind w:firstLine="0" w:firstLineChars="0"/>
              <w:rPr>
                <w:rFonts w:ascii="Times New Roman"/>
                <w:color w:val="auto"/>
                <w:kern w:val="2"/>
                <w:szCs w:val="21"/>
                <w:highlight w:val="none"/>
              </w:rPr>
            </w:pPr>
            <w:r>
              <w:rPr>
                <w:rFonts w:hint="eastAsia" w:ascii="Times New Roman"/>
                <w:color w:val="auto"/>
                <w:kern w:val="2"/>
                <w:szCs w:val="21"/>
                <w:highlight w:val="none"/>
              </w:rPr>
              <w:t>0.3t/a</w:t>
            </w:r>
          </w:p>
        </w:tc>
        <w:tc>
          <w:tcPr>
            <w:tcW w:w="1755" w:type="dxa"/>
            <w:noWrap/>
            <w:vAlign w:val="center"/>
          </w:tcPr>
          <w:p w14:paraId="33DA33FC">
            <w:pPr>
              <w:spacing w:line="400" w:lineRule="exact"/>
              <w:jc w:val="center"/>
              <w:rPr>
                <w:color w:val="auto"/>
                <w:szCs w:val="21"/>
              </w:rPr>
            </w:pPr>
            <w:r>
              <w:rPr>
                <w:rFonts w:hint="eastAsia"/>
                <w:color w:val="auto"/>
                <w:szCs w:val="21"/>
              </w:rPr>
              <w:t>/</w:t>
            </w:r>
          </w:p>
        </w:tc>
        <w:tc>
          <w:tcPr>
            <w:tcW w:w="2025" w:type="dxa"/>
            <w:noWrap/>
            <w:vAlign w:val="center"/>
          </w:tcPr>
          <w:p w14:paraId="6185A0C4">
            <w:pPr>
              <w:pStyle w:val="63"/>
              <w:spacing w:beforeLines="0" w:afterLines="0" w:line="400" w:lineRule="exact"/>
              <w:ind w:firstLine="0" w:firstLineChars="0"/>
              <w:rPr>
                <w:rFonts w:ascii="Times New Roman"/>
                <w:color w:val="auto"/>
                <w:kern w:val="2"/>
                <w:szCs w:val="21"/>
              </w:rPr>
            </w:pPr>
            <w:r>
              <w:rPr>
                <w:rFonts w:hint="eastAsia" w:ascii="Times New Roman"/>
                <w:color w:val="auto"/>
                <w:kern w:val="2"/>
                <w:szCs w:val="21"/>
              </w:rPr>
              <w:t>800</w:t>
            </w:r>
            <w:r>
              <w:rPr>
                <w:rFonts w:hint="eastAsia" w:ascii="Times New Roman"/>
                <w:color w:val="auto"/>
                <w:kern w:val="2"/>
                <w:szCs w:val="21"/>
                <w:lang w:val="en-US" w:eastAsia="zh-CN"/>
              </w:rPr>
              <w:t>1.1</w:t>
            </w:r>
            <w:r>
              <w:rPr>
                <w:rFonts w:hint="eastAsia" w:ascii="Times New Roman"/>
                <w:color w:val="auto"/>
                <w:kern w:val="2"/>
                <w:szCs w:val="21"/>
              </w:rPr>
              <w:t>t/a</w:t>
            </w:r>
          </w:p>
        </w:tc>
        <w:tc>
          <w:tcPr>
            <w:tcW w:w="1363" w:type="dxa"/>
            <w:noWrap/>
            <w:vAlign w:val="center"/>
          </w:tcPr>
          <w:p w14:paraId="5C08337C">
            <w:pPr>
              <w:spacing w:line="400" w:lineRule="exact"/>
              <w:jc w:val="center"/>
              <w:rPr>
                <w:snapToGrid w:val="0"/>
                <w:color w:val="auto"/>
                <w:kern w:val="21"/>
                <w:szCs w:val="21"/>
              </w:rPr>
            </w:pPr>
            <w:r>
              <w:rPr>
                <w:rFonts w:hint="eastAsia"/>
                <w:color w:val="auto"/>
                <w:szCs w:val="21"/>
              </w:rPr>
              <w:t>+</w:t>
            </w:r>
            <w:r>
              <w:rPr>
                <w:color w:val="auto"/>
                <w:szCs w:val="21"/>
              </w:rPr>
              <w:t>0</w:t>
            </w:r>
            <w:r>
              <w:rPr>
                <w:rFonts w:hint="eastAsia"/>
                <w:color w:val="auto"/>
                <w:szCs w:val="21"/>
              </w:rPr>
              <w:t>.3</w:t>
            </w:r>
            <w:r>
              <w:rPr>
                <w:color w:val="auto"/>
                <w:szCs w:val="21"/>
              </w:rPr>
              <w:t>t/a</w:t>
            </w:r>
          </w:p>
        </w:tc>
      </w:tr>
      <w:tr w14:paraId="670591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870" w:type="dxa"/>
            <w:vMerge w:val="continue"/>
            <w:noWrap/>
            <w:vAlign w:val="center"/>
          </w:tcPr>
          <w:p w14:paraId="70CD33F4">
            <w:pPr>
              <w:pStyle w:val="63"/>
              <w:spacing w:beforeLines="0" w:afterLines="0" w:line="240" w:lineRule="auto"/>
              <w:ind w:firstLine="0" w:firstLineChars="0"/>
              <w:rPr>
                <w:rFonts w:ascii="Times New Roman"/>
                <w:snapToGrid w:val="0"/>
                <w:color w:val="auto"/>
                <w:kern w:val="21"/>
                <w:szCs w:val="21"/>
              </w:rPr>
            </w:pPr>
          </w:p>
        </w:tc>
        <w:tc>
          <w:tcPr>
            <w:tcW w:w="1875" w:type="dxa"/>
            <w:noWrap/>
            <w:vAlign w:val="center"/>
          </w:tcPr>
          <w:p w14:paraId="19DF226D">
            <w:pPr>
              <w:spacing w:line="400" w:lineRule="exact"/>
              <w:jc w:val="center"/>
              <w:rPr>
                <w:color w:val="auto"/>
                <w:szCs w:val="21"/>
              </w:rPr>
            </w:pPr>
            <w:r>
              <w:rPr>
                <w:rFonts w:hint="eastAsia"/>
                <w:color w:val="auto"/>
                <w:szCs w:val="21"/>
              </w:rPr>
              <w:t>废钢丸</w:t>
            </w:r>
          </w:p>
        </w:tc>
        <w:tc>
          <w:tcPr>
            <w:tcW w:w="1755" w:type="dxa"/>
            <w:shd w:val="clear" w:color="auto" w:fill="auto"/>
            <w:noWrap/>
            <w:vAlign w:val="center"/>
          </w:tcPr>
          <w:p w14:paraId="78D047B1">
            <w:pPr>
              <w:pStyle w:val="63"/>
              <w:spacing w:beforeLines="0" w:afterLines="0" w:line="400" w:lineRule="exact"/>
              <w:ind w:firstLine="0" w:firstLineChars="0"/>
              <w:rPr>
                <w:rFonts w:ascii="Times New Roman" w:hAnsi="Times New Roman" w:eastAsia="宋体" w:cs="Times New Roman"/>
                <w:color w:val="auto"/>
                <w:kern w:val="2"/>
                <w:sz w:val="21"/>
                <w:szCs w:val="21"/>
                <w:lang w:val="en-US" w:eastAsia="zh-CN" w:bidi="ar-SA"/>
              </w:rPr>
            </w:pPr>
            <w:r>
              <w:rPr>
                <w:rFonts w:hint="eastAsia" w:ascii="Times New Roman"/>
                <w:color w:val="auto"/>
                <w:kern w:val="2"/>
                <w:szCs w:val="21"/>
              </w:rPr>
              <w:t>1t/a</w:t>
            </w:r>
          </w:p>
        </w:tc>
        <w:tc>
          <w:tcPr>
            <w:tcW w:w="1125" w:type="dxa"/>
            <w:noWrap/>
            <w:vAlign w:val="center"/>
          </w:tcPr>
          <w:p w14:paraId="5F29DA85">
            <w:pPr>
              <w:pStyle w:val="63"/>
              <w:spacing w:beforeLines="0" w:afterLines="0" w:line="400" w:lineRule="exact"/>
              <w:ind w:firstLine="0" w:firstLineChars="0"/>
              <w:rPr>
                <w:rFonts w:ascii="Times New Roman"/>
                <w:color w:val="auto"/>
                <w:kern w:val="2"/>
                <w:szCs w:val="21"/>
              </w:rPr>
            </w:pPr>
            <w:r>
              <w:rPr>
                <w:rFonts w:hint="eastAsia" w:ascii="Times New Roman"/>
                <w:color w:val="auto"/>
                <w:kern w:val="2"/>
                <w:szCs w:val="21"/>
              </w:rPr>
              <w:t>/</w:t>
            </w:r>
          </w:p>
        </w:tc>
        <w:tc>
          <w:tcPr>
            <w:tcW w:w="1800" w:type="dxa"/>
            <w:noWrap/>
            <w:vAlign w:val="center"/>
          </w:tcPr>
          <w:p w14:paraId="1D13F892">
            <w:pPr>
              <w:spacing w:line="400" w:lineRule="exact"/>
              <w:jc w:val="center"/>
              <w:rPr>
                <w:color w:val="auto"/>
                <w:szCs w:val="21"/>
              </w:rPr>
            </w:pPr>
            <w:r>
              <w:rPr>
                <w:rFonts w:hint="eastAsia"/>
                <w:color w:val="auto"/>
                <w:szCs w:val="21"/>
              </w:rPr>
              <w:t>/</w:t>
            </w:r>
          </w:p>
        </w:tc>
        <w:tc>
          <w:tcPr>
            <w:tcW w:w="1665" w:type="dxa"/>
            <w:noWrap/>
            <w:vAlign w:val="center"/>
          </w:tcPr>
          <w:p w14:paraId="2624CF4F">
            <w:pPr>
              <w:pStyle w:val="63"/>
              <w:spacing w:beforeLines="0" w:afterLines="0" w:line="400" w:lineRule="exact"/>
              <w:ind w:firstLine="0" w:firstLineChars="0"/>
              <w:rPr>
                <w:rFonts w:ascii="Times New Roman"/>
                <w:color w:val="auto"/>
                <w:kern w:val="2"/>
                <w:szCs w:val="21"/>
                <w:highlight w:val="none"/>
              </w:rPr>
            </w:pPr>
            <w:r>
              <w:rPr>
                <w:rFonts w:hint="eastAsia" w:ascii="Times New Roman"/>
                <w:color w:val="auto"/>
                <w:kern w:val="2"/>
                <w:szCs w:val="21"/>
                <w:highlight w:val="none"/>
              </w:rPr>
              <w:t>0.2t/a</w:t>
            </w:r>
          </w:p>
        </w:tc>
        <w:tc>
          <w:tcPr>
            <w:tcW w:w="1755" w:type="dxa"/>
            <w:noWrap/>
            <w:vAlign w:val="center"/>
          </w:tcPr>
          <w:p w14:paraId="25149220">
            <w:pPr>
              <w:spacing w:line="400" w:lineRule="exact"/>
              <w:jc w:val="center"/>
              <w:rPr>
                <w:color w:val="auto"/>
                <w:szCs w:val="21"/>
              </w:rPr>
            </w:pPr>
            <w:r>
              <w:rPr>
                <w:rFonts w:hint="eastAsia"/>
                <w:color w:val="auto"/>
                <w:szCs w:val="21"/>
              </w:rPr>
              <w:t>/</w:t>
            </w:r>
          </w:p>
        </w:tc>
        <w:tc>
          <w:tcPr>
            <w:tcW w:w="2025" w:type="dxa"/>
            <w:noWrap/>
            <w:vAlign w:val="center"/>
          </w:tcPr>
          <w:p w14:paraId="67E30BDC">
            <w:pPr>
              <w:pStyle w:val="63"/>
              <w:spacing w:beforeLines="0" w:afterLines="0" w:line="400" w:lineRule="exact"/>
              <w:ind w:firstLine="0" w:firstLineChars="0"/>
              <w:rPr>
                <w:rFonts w:ascii="Times New Roman"/>
                <w:color w:val="auto"/>
                <w:kern w:val="2"/>
                <w:szCs w:val="21"/>
              </w:rPr>
            </w:pPr>
            <w:r>
              <w:rPr>
                <w:rFonts w:hint="eastAsia" w:ascii="Times New Roman"/>
                <w:color w:val="auto"/>
                <w:kern w:val="2"/>
                <w:szCs w:val="21"/>
              </w:rPr>
              <w:t>1</w:t>
            </w:r>
            <w:r>
              <w:rPr>
                <w:rFonts w:hint="eastAsia" w:ascii="Times New Roman"/>
                <w:color w:val="auto"/>
                <w:kern w:val="2"/>
                <w:szCs w:val="21"/>
                <w:lang w:val="en-US" w:eastAsia="zh-CN"/>
              </w:rPr>
              <w:t>.2</w:t>
            </w:r>
            <w:r>
              <w:rPr>
                <w:rFonts w:hint="eastAsia" w:ascii="Times New Roman"/>
                <w:color w:val="auto"/>
                <w:kern w:val="2"/>
                <w:szCs w:val="21"/>
              </w:rPr>
              <w:t>t/a</w:t>
            </w:r>
          </w:p>
        </w:tc>
        <w:tc>
          <w:tcPr>
            <w:tcW w:w="1363" w:type="dxa"/>
            <w:noWrap/>
            <w:vAlign w:val="center"/>
          </w:tcPr>
          <w:p w14:paraId="38178426">
            <w:pPr>
              <w:spacing w:line="400" w:lineRule="exact"/>
              <w:jc w:val="center"/>
              <w:rPr>
                <w:color w:val="auto"/>
                <w:szCs w:val="21"/>
              </w:rPr>
            </w:pPr>
            <w:r>
              <w:rPr>
                <w:rFonts w:hint="eastAsia"/>
                <w:color w:val="auto"/>
                <w:szCs w:val="21"/>
              </w:rPr>
              <w:t>+0.2t/a</w:t>
            </w:r>
          </w:p>
        </w:tc>
      </w:tr>
      <w:tr w14:paraId="774F3C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870" w:type="dxa"/>
            <w:vMerge w:val="continue"/>
            <w:noWrap/>
            <w:vAlign w:val="center"/>
          </w:tcPr>
          <w:p w14:paraId="4254CECA">
            <w:pPr>
              <w:pStyle w:val="63"/>
              <w:spacing w:beforeLines="0" w:afterLines="0" w:line="240" w:lineRule="auto"/>
              <w:ind w:firstLine="0" w:firstLineChars="0"/>
              <w:rPr>
                <w:rFonts w:ascii="Times New Roman"/>
                <w:snapToGrid w:val="0"/>
                <w:color w:val="auto"/>
                <w:kern w:val="21"/>
                <w:szCs w:val="21"/>
              </w:rPr>
            </w:pPr>
          </w:p>
        </w:tc>
        <w:tc>
          <w:tcPr>
            <w:tcW w:w="1875" w:type="dxa"/>
            <w:noWrap/>
            <w:vAlign w:val="center"/>
          </w:tcPr>
          <w:p w14:paraId="21F292A4">
            <w:pPr>
              <w:spacing w:line="400" w:lineRule="exact"/>
              <w:jc w:val="center"/>
              <w:rPr>
                <w:color w:val="auto"/>
                <w:szCs w:val="21"/>
              </w:rPr>
            </w:pPr>
            <w:r>
              <w:rPr>
                <w:rFonts w:hint="eastAsia"/>
                <w:color w:val="auto"/>
                <w:szCs w:val="21"/>
              </w:rPr>
              <w:t>布袋除尘灰</w:t>
            </w:r>
          </w:p>
        </w:tc>
        <w:tc>
          <w:tcPr>
            <w:tcW w:w="1755" w:type="dxa"/>
            <w:shd w:val="clear" w:color="auto" w:fill="auto"/>
            <w:noWrap/>
            <w:vAlign w:val="center"/>
          </w:tcPr>
          <w:p w14:paraId="56A433B1">
            <w:pPr>
              <w:pStyle w:val="63"/>
              <w:spacing w:beforeLines="0" w:afterLines="0" w:line="400" w:lineRule="exact"/>
              <w:ind w:firstLine="0" w:firstLineChars="0"/>
              <w:rPr>
                <w:rFonts w:ascii="Times New Roman" w:hAnsi="Times New Roman" w:eastAsia="宋体" w:cs="Times New Roman"/>
                <w:color w:val="auto"/>
                <w:kern w:val="2"/>
                <w:sz w:val="21"/>
                <w:szCs w:val="21"/>
                <w:lang w:val="en-US" w:eastAsia="zh-CN" w:bidi="ar-SA"/>
              </w:rPr>
            </w:pPr>
            <w:r>
              <w:rPr>
                <w:rFonts w:hint="eastAsia" w:ascii="Times New Roman"/>
                <w:color w:val="auto"/>
                <w:kern w:val="2"/>
                <w:szCs w:val="21"/>
              </w:rPr>
              <w:t>1.44t/a</w:t>
            </w:r>
          </w:p>
        </w:tc>
        <w:tc>
          <w:tcPr>
            <w:tcW w:w="1125" w:type="dxa"/>
            <w:noWrap/>
            <w:vAlign w:val="center"/>
          </w:tcPr>
          <w:p w14:paraId="276D7B2D">
            <w:pPr>
              <w:pStyle w:val="63"/>
              <w:spacing w:beforeLines="0" w:afterLines="0" w:line="400" w:lineRule="exact"/>
              <w:ind w:firstLine="0" w:firstLineChars="0"/>
              <w:rPr>
                <w:rFonts w:ascii="Times New Roman"/>
                <w:color w:val="auto"/>
                <w:kern w:val="2"/>
                <w:szCs w:val="21"/>
              </w:rPr>
            </w:pPr>
            <w:r>
              <w:rPr>
                <w:rFonts w:ascii="Times New Roman"/>
                <w:color w:val="auto"/>
                <w:kern w:val="2"/>
                <w:szCs w:val="21"/>
              </w:rPr>
              <w:t>/</w:t>
            </w:r>
          </w:p>
        </w:tc>
        <w:tc>
          <w:tcPr>
            <w:tcW w:w="1800" w:type="dxa"/>
            <w:noWrap/>
            <w:vAlign w:val="center"/>
          </w:tcPr>
          <w:p w14:paraId="4604F3D5">
            <w:pPr>
              <w:spacing w:line="400" w:lineRule="exact"/>
              <w:jc w:val="center"/>
              <w:rPr>
                <w:color w:val="auto"/>
                <w:szCs w:val="21"/>
              </w:rPr>
            </w:pPr>
            <w:r>
              <w:rPr>
                <w:rFonts w:hint="eastAsia"/>
                <w:color w:val="auto"/>
                <w:szCs w:val="21"/>
              </w:rPr>
              <w:t>/</w:t>
            </w:r>
          </w:p>
        </w:tc>
        <w:tc>
          <w:tcPr>
            <w:tcW w:w="1665" w:type="dxa"/>
            <w:noWrap/>
            <w:vAlign w:val="center"/>
          </w:tcPr>
          <w:p w14:paraId="7148D493">
            <w:pPr>
              <w:pStyle w:val="63"/>
              <w:spacing w:beforeLines="0" w:afterLines="0" w:line="400" w:lineRule="exact"/>
              <w:ind w:firstLine="0" w:firstLineChars="0"/>
              <w:rPr>
                <w:rFonts w:ascii="Times New Roman"/>
                <w:color w:val="auto"/>
                <w:kern w:val="2"/>
                <w:szCs w:val="21"/>
                <w:highlight w:val="none"/>
              </w:rPr>
            </w:pPr>
            <w:r>
              <w:rPr>
                <w:rFonts w:hint="eastAsia" w:ascii="Times New Roman"/>
                <w:color w:val="auto"/>
                <w:kern w:val="2"/>
                <w:szCs w:val="21"/>
                <w:highlight w:val="none"/>
              </w:rPr>
              <w:t>0t/a</w:t>
            </w:r>
          </w:p>
        </w:tc>
        <w:tc>
          <w:tcPr>
            <w:tcW w:w="1755" w:type="dxa"/>
            <w:noWrap/>
            <w:vAlign w:val="center"/>
          </w:tcPr>
          <w:p w14:paraId="017C182C">
            <w:pPr>
              <w:spacing w:line="400" w:lineRule="exact"/>
              <w:jc w:val="center"/>
              <w:rPr>
                <w:color w:val="auto"/>
                <w:szCs w:val="21"/>
              </w:rPr>
            </w:pPr>
            <w:r>
              <w:rPr>
                <w:rFonts w:hint="eastAsia"/>
                <w:color w:val="auto"/>
                <w:szCs w:val="21"/>
              </w:rPr>
              <w:t>/</w:t>
            </w:r>
          </w:p>
        </w:tc>
        <w:tc>
          <w:tcPr>
            <w:tcW w:w="2025" w:type="dxa"/>
            <w:noWrap/>
            <w:vAlign w:val="center"/>
          </w:tcPr>
          <w:p w14:paraId="41DEFED3">
            <w:pPr>
              <w:pStyle w:val="63"/>
              <w:spacing w:beforeLines="0" w:afterLines="0" w:line="400" w:lineRule="exact"/>
              <w:ind w:firstLine="0" w:firstLineChars="0"/>
              <w:rPr>
                <w:rFonts w:ascii="Times New Roman"/>
                <w:color w:val="auto"/>
                <w:kern w:val="2"/>
                <w:szCs w:val="21"/>
              </w:rPr>
            </w:pPr>
            <w:r>
              <w:rPr>
                <w:rFonts w:hint="eastAsia" w:ascii="Times New Roman"/>
                <w:color w:val="auto"/>
                <w:kern w:val="2"/>
                <w:szCs w:val="21"/>
              </w:rPr>
              <w:t>1.44t/a</w:t>
            </w:r>
          </w:p>
        </w:tc>
        <w:tc>
          <w:tcPr>
            <w:tcW w:w="1363" w:type="dxa"/>
            <w:noWrap/>
            <w:vAlign w:val="center"/>
          </w:tcPr>
          <w:p w14:paraId="1D889A8D">
            <w:pPr>
              <w:spacing w:line="400" w:lineRule="exact"/>
              <w:jc w:val="center"/>
              <w:rPr>
                <w:snapToGrid w:val="0"/>
                <w:color w:val="auto"/>
                <w:kern w:val="21"/>
                <w:szCs w:val="21"/>
              </w:rPr>
            </w:pPr>
            <w:r>
              <w:rPr>
                <w:color w:val="auto"/>
                <w:szCs w:val="21"/>
              </w:rPr>
              <w:t>0t/a</w:t>
            </w:r>
          </w:p>
        </w:tc>
      </w:tr>
      <w:tr w14:paraId="274D01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870" w:type="dxa"/>
            <w:vMerge w:val="continue"/>
            <w:noWrap/>
            <w:vAlign w:val="center"/>
          </w:tcPr>
          <w:p w14:paraId="3BD206BE">
            <w:pPr>
              <w:pStyle w:val="63"/>
              <w:spacing w:beforeLines="0" w:afterLines="0" w:line="240" w:lineRule="auto"/>
              <w:ind w:firstLine="0" w:firstLineChars="0"/>
              <w:rPr>
                <w:rFonts w:ascii="Times New Roman"/>
                <w:snapToGrid w:val="0"/>
                <w:color w:val="auto"/>
                <w:kern w:val="21"/>
                <w:szCs w:val="21"/>
              </w:rPr>
            </w:pPr>
          </w:p>
        </w:tc>
        <w:tc>
          <w:tcPr>
            <w:tcW w:w="1875" w:type="dxa"/>
            <w:noWrap/>
            <w:vAlign w:val="center"/>
          </w:tcPr>
          <w:p w14:paraId="4CD48893">
            <w:pPr>
              <w:spacing w:line="400" w:lineRule="exact"/>
              <w:jc w:val="center"/>
              <w:rPr>
                <w:color w:val="auto"/>
                <w:szCs w:val="21"/>
              </w:rPr>
            </w:pPr>
            <w:r>
              <w:rPr>
                <w:rFonts w:hint="eastAsia"/>
                <w:color w:val="auto"/>
                <w:szCs w:val="21"/>
              </w:rPr>
              <w:t>废布袋</w:t>
            </w:r>
          </w:p>
        </w:tc>
        <w:tc>
          <w:tcPr>
            <w:tcW w:w="1755" w:type="dxa"/>
            <w:shd w:val="clear" w:color="auto" w:fill="auto"/>
            <w:noWrap/>
            <w:vAlign w:val="center"/>
          </w:tcPr>
          <w:p w14:paraId="060C4BDD">
            <w:pPr>
              <w:pStyle w:val="63"/>
              <w:spacing w:beforeLines="0" w:afterLines="0" w:line="400" w:lineRule="exact"/>
              <w:ind w:firstLine="0" w:firstLineChars="0"/>
              <w:rPr>
                <w:rFonts w:ascii="Times New Roman" w:hAnsi="Times New Roman" w:eastAsia="宋体" w:cs="Times New Roman"/>
                <w:color w:val="auto"/>
                <w:kern w:val="2"/>
                <w:sz w:val="21"/>
                <w:szCs w:val="21"/>
                <w:lang w:val="en-US" w:eastAsia="zh-CN" w:bidi="ar-SA"/>
              </w:rPr>
            </w:pPr>
            <w:r>
              <w:rPr>
                <w:rFonts w:hint="eastAsia" w:ascii="Times New Roman"/>
                <w:color w:val="auto"/>
                <w:kern w:val="2"/>
                <w:szCs w:val="21"/>
              </w:rPr>
              <w:t>0.2t/a</w:t>
            </w:r>
          </w:p>
        </w:tc>
        <w:tc>
          <w:tcPr>
            <w:tcW w:w="1125" w:type="dxa"/>
            <w:noWrap/>
            <w:vAlign w:val="center"/>
          </w:tcPr>
          <w:p w14:paraId="78DACBF9">
            <w:pPr>
              <w:pStyle w:val="63"/>
              <w:spacing w:beforeLines="0" w:afterLines="0" w:line="400" w:lineRule="exact"/>
              <w:ind w:firstLine="0" w:firstLineChars="0"/>
              <w:rPr>
                <w:rFonts w:ascii="Times New Roman"/>
                <w:color w:val="auto"/>
                <w:kern w:val="2"/>
                <w:szCs w:val="21"/>
              </w:rPr>
            </w:pPr>
            <w:r>
              <w:rPr>
                <w:rFonts w:hint="eastAsia" w:ascii="Times New Roman"/>
                <w:color w:val="auto"/>
                <w:kern w:val="2"/>
                <w:szCs w:val="21"/>
              </w:rPr>
              <w:t>/</w:t>
            </w:r>
          </w:p>
        </w:tc>
        <w:tc>
          <w:tcPr>
            <w:tcW w:w="1800" w:type="dxa"/>
            <w:noWrap/>
            <w:vAlign w:val="center"/>
          </w:tcPr>
          <w:p w14:paraId="615447F5">
            <w:pPr>
              <w:spacing w:line="400" w:lineRule="exact"/>
              <w:jc w:val="center"/>
              <w:rPr>
                <w:color w:val="auto"/>
                <w:szCs w:val="21"/>
              </w:rPr>
            </w:pPr>
            <w:r>
              <w:rPr>
                <w:rFonts w:hint="eastAsia"/>
                <w:color w:val="auto"/>
                <w:szCs w:val="21"/>
              </w:rPr>
              <w:t>/</w:t>
            </w:r>
          </w:p>
        </w:tc>
        <w:tc>
          <w:tcPr>
            <w:tcW w:w="1665" w:type="dxa"/>
            <w:noWrap/>
            <w:vAlign w:val="center"/>
          </w:tcPr>
          <w:p w14:paraId="3F92FB74">
            <w:pPr>
              <w:pStyle w:val="63"/>
              <w:spacing w:beforeLines="0" w:afterLines="0" w:line="400" w:lineRule="exact"/>
              <w:ind w:firstLine="0" w:firstLineChars="0"/>
              <w:rPr>
                <w:rFonts w:ascii="Times New Roman"/>
                <w:color w:val="auto"/>
                <w:kern w:val="2"/>
                <w:szCs w:val="21"/>
                <w:highlight w:val="none"/>
              </w:rPr>
            </w:pPr>
            <w:r>
              <w:rPr>
                <w:rFonts w:hint="eastAsia" w:ascii="Times New Roman"/>
                <w:color w:val="auto"/>
                <w:kern w:val="2"/>
                <w:szCs w:val="21"/>
                <w:highlight w:val="none"/>
              </w:rPr>
              <w:t>0t/a</w:t>
            </w:r>
          </w:p>
        </w:tc>
        <w:tc>
          <w:tcPr>
            <w:tcW w:w="1755" w:type="dxa"/>
            <w:noWrap/>
            <w:vAlign w:val="center"/>
          </w:tcPr>
          <w:p w14:paraId="519E4653">
            <w:pPr>
              <w:spacing w:line="400" w:lineRule="exact"/>
              <w:jc w:val="center"/>
              <w:rPr>
                <w:color w:val="auto"/>
                <w:szCs w:val="21"/>
              </w:rPr>
            </w:pPr>
            <w:r>
              <w:rPr>
                <w:rFonts w:hint="eastAsia"/>
                <w:color w:val="auto"/>
                <w:szCs w:val="21"/>
              </w:rPr>
              <w:t>/</w:t>
            </w:r>
          </w:p>
        </w:tc>
        <w:tc>
          <w:tcPr>
            <w:tcW w:w="2025" w:type="dxa"/>
            <w:noWrap/>
            <w:vAlign w:val="center"/>
          </w:tcPr>
          <w:p w14:paraId="4804BDE9">
            <w:pPr>
              <w:pStyle w:val="63"/>
              <w:spacing w:beforeLines="0" w:afterLines="0" w:line="400" w:lineRule="exact"/>
              <w:ind w:firstLine="0" w:firstLineChars="0"/>
              <w:rPr>
                <w:rFonts w:ascii="Times New Roman"/>
                <w:color w:val="auto"/>
                <w:kern w:val="2"/>
                <w:szCs w:val="21"/>
              </w:rPr>
            </w:pPr>
            <w:r>
              <w:rPr>
                <w:rFonts w:hint="eastAsia" w:ascii="Times New Roman"/>
                <w:color w:val="auto"/>
                <w:kern w:val="2"/>
                <w:szCs w:val="21"/>
              </w:rPr>
              <w:t>0.2t/a</w:t>
            </w:r>
          </w:p>
        </w:tc>
        <w:tc>
          <w:tcPr>
            <w:tcW w:w="1363" w:type="dxa"/>
            <w:noWrap/>
            <w:vAlign w:val="center"/>
          </w:tcPr>
          <w:p w14:paraId="3F967D80">
            <w:pPr>
              <w:spacing w:line="400" w:lineRule="exact"/>
              <w:jc w:val="center"/>
              <w:rPr>
                <w:color w:val="auto"/>
                <w:szCs w:val="21"/>
              </w:rPr>
            </w:pPr>
            <w:r>
              <w:rPr>
                <w:color w:val="auto"/>
                <w:szCs w:val="21"/>
              </w:rPr>
              <w:t>0t/a</w:t>
            </w:r>
          </w:p>
        </w:tc>
      </w:tr>
      <w:tr w14:paraId="40D6F6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870" w:type="dxa"/>
            <w:vMerge w:val="continue"/>
            <w:noWrap/>
            <w:vAlign w:val="center"/>
          </w:tcPr>
          <w:p w14:paraId="4E4BA685">
            <w:pPr>
              <w:pStyle w:val="63"/>
              <w:spacing w:beforeLines="0" w:afterLines="0" w:line="240" w:lineRule="auto"/>
              <w:ind w:firstLine="0" w:firstLineChars="0"/>
              <w:rPr>
                <w:rFonts w:ascii="Times New Roman"/>
                <w:snapToGrid w:val="0"/>
                <w:color w:val="auto"/>
                <w:kern w:val="21"/>
                <w:szCs w:val="21"/>
              </w:rPr>
            </w:pPr>
          </w:p>
        </w:tc>
        <w:tc>
          <w:tcPr>
            <w:tcW w:w="1875" w:type="dxa"/>
            <w:noWrap/>
            <w:vAlign w:val="center"/>
          </w:tcPr>
          <w:p w14:paraId="01FF6043">
            <w:pPr>
              <w:spacing w:line="400" w:lineRule="exact"/>
              <w:jc w:val="center"/>
              <w:rPr>
                <w:color w:val="auto"/>
                <w:szCs w:val="21"/>
              </w:rPr>
            </w:pPr>
            <w:r>
              <w:rPr>
                <w:rFonts w:hint="eastAsia"/>
                <w:color w:val="auto"/>
                <w:szCs w:val="21"/>
              </w:rPr>
              <w:t>滤筒除尘灰</w:t>
            </w:r>
          </w:p>
        </w:tc>
        <w:tc>
          <w:tcPr>
            <w:tcW w:w="1755" w:type="dxa"/>
            <w:shd w:val="clear" w:color="auto" w:fill="auto"/>
            <w:noWrap/>
            <w:vAlign w:val="center"/>
          </w:tcPr>
          <w:p w14:paraId="55888459">
            <w:pPr>
              <w:pStyle w:val="63"/>
              <w:spacing w:beforeLines="0" w:afterLines="0" w:line="400" w:lineRule="exact"/>
              <w:ind w:firstLine="0" w:firstLineChars="0"/>
              <w:rPr>
                <w:rFonts w:ascii="Times New Roman" w:hAnsi="Times New Roman" w:eastAsia="宋体" w:cs="Times New Roman"/>
                <w:color w:val="auto"/>
                <w:kern w:val="2"/>
                <w:sz w:val="21"/>
                <w:szCs w:val="21"/>
                <w:lang w:val="en-US" w:eastAsia="zh-CN" w:bidi="ar-SA"/>
              </w:rPr>
            </w:pPr>
            <w:r>
              <w:rPr>
                <w:rFonts w:hint="eastAsia" w:ascii="Times New Roman"/>
                <w:color w:val="auto"/>
                <w:kern w:val="2"/>
                <w:szCs w:val="21"/>
              </w:rPr>
              <w:t>4.28t/a</w:t>
            </w:r>
          </w:p>
        </w:tc>
        <w:tc>
          <w:tcPr>
            <w:tcW w:w="1125" w:type="dxa"/>
            <w:noWrap/>
            <w:vAlign w:val="center"/>
          </w:tcPr>
          <w:p w14:paraId="7B69D2DC">
            <w:pPr>
              <w:pStyle w:val="63"/>
              <w:spacing w:beforeLines="0" w:afterLines="0" w:line="400" w:lineRule="exact"/>
              <w:ind w:firstLine="0" w:firstLineChars="0"/>
              <w:rPr>
                <w:rFonts w:ascii="Times New Roman"/>
                <w:color w:val="auto"/>
                <w:kern w:val="2"/>
                <w:szCs w:val="21"/>
              </w:rPr>
            </w:pPr>
            <w:r>
              <w:rPr>
                <w:rFonts w:ascii="Times New Roman"/>
                <w:color w:val="auto"/>
                <w:kern w:val="2"/>
                <w:szCs w:val="21"/>
              </w:rPr>
              <w:t>/</w:t>
            </w:r>
          </w:p>
        </w:tc>
        <w:tc>
          <w:tcPr>
            <w:tcW w:w="1800" w:type="dxa"/>
            <w:noWrap/>
            <w:vAlign w:val="center"/>
          </w:tcPr>
          <w:p w14:paraId="6575864F">
            <w:pPr>
              <w:spacing w:line="400" w:lineRule="exact"/>
              <w:jc w:val="center"/>
              <w:rPr>
                <w:color w:val="auto"/>
                <w:szCs w:val="21"/>
              </w:rPr>
            </w:pPr>
            <w:r>
              <w:rPr>
                <w:rFonts w:hint="eastAsia"/>
                <w:color w:val="auto"/>
                <w:szCs w:val="21"/>
              </w:rPr>
              <w:t>/</w:t>
            </w:r>
          </w:p>
        </w:tc>
        <w:tc>
          <w:tcPr>
            <w:tcW w:w="1665" w:type="dxa"/>
            <w:noWrap/>
            <w:vAlign w:val="center"/>
          </w:tcPr>
          <w:p w14:paraId="1327B46D">
            <w:pPr>
              <w:pStyle w:val="63"/>
              <w:spacing w:beforeLines="0" w:afterLines="0" w:line="400" w:lineRule="exact"/>
              <w:ind w:firstLine="0" w:firstLineChars="0"/>
              <w:rPr>
                <w:rFonts w:ascii="Times New Roman"/>
                <w:color w:val="auto"/>
                <w:kern w:val="2"/>
                <w:szCs w:val="21"/>
                <w:highlight w:val="none"/>
              </w:rPr>
            </w:pPr>
            <w:r>
              <w:rPr>
                <w:rFonts w:hint="eastAsia" w:ascii="Times New Roman"/>
                <w:color w:val="auto"/>
                <w:kern w:val="2"/>
                <w:szCs w:val="21"/>
                <w:highlight w:val="none"/>
                <w:lang w:val="en-US" w:eastAsia="zh-CN"/>
              </w:rPr>
              <w:t>17.777</w:t>
            </w:r>
            <w:r>
              <w:rPr>
                <w:rFonts w:hint="eastAsia" w:ascii="Times New Roman"/>
                <w:color w:val="auto"/>
                <w:kern w:val="2"/>
                <w:szCs w:val="21"/>
                <w:highlight w:val="none"/>
              </w:rPr>
              <w:t>t/a</w:t>
            </w:r>
          </w:p>
        </w:tc>
        <w:tc>
          <w:tcPr>
            <w:tcW w:w="1755" w:type="dxa"/>
            <w:noWrap/>
            <w:vAlign w:val="center"/>
          </w:tcPr>
          <w:p w14:paraId="01D1851B">
            <w:pPr>
              <w:spacing w:line="400" w:lineRule="exact"/>
              <w:jc w:val="center"/>
              <w:rPr>
                <w:color w:val="auto"/>
                <w:szCs w:val="21"/>
              </w:rPr>
            </w:pPr>
            <w:r>
              <w:rPr>
                <w:rFonts w:hint="eastAsia"/>
                <w:color w:val="auto"/>
                <w:szCs w:val="21"/>
              </w:rPr>
              <w:t>/</w:t>
            </w:r>
          </w:p>
        </w:tc>
        <w:tc>
          <w:tcPr>
            <w:tcW w:w="2025" w:type="dxa"/>
            <w:noWrap/>
            <w:vAlign w:val="center"/>
          </w:tcPr>
          <w:p w14:paraId="4E353EEA">
            <w:pPr>
              <w:pStyle w:val="63"/>
              <w:spacing w:beforeLines="0" w:afterLines="0" w:line="400" w:lineRule="exact"/>
              <w:ind w:firstLine="0" w:firstLineChars="0"/>
              <w:rPr>
                <w:rFonts w:ascii="Times New Roman"/>
                <w:color w:val="auto"/>
                <w:kern w:val="2"/>
                <w:szCs w:val="21"/>
              </w:rPr>
            </w:pPr>
            <w:r>
              <w:rPr>
                <w:rFonts w:hint="eastAsia" w:ascii="Times New Roman"/>
                <w:color w:val="auto"/>
                <w:kern w:val="2"/>
                <w:szCs w:val="21"/>
                <w:lang w:val="en-US" w:eastAsia="zh-CN"/>
              </w:rPr>
              <w:t>22.057</w:t>
            </w:r>
            <w:r>
              <w:rPr>
                <w:rFonts w:hint="eastAsia" w:ascii="Times New Roman"/>
                <w:color w:val="auto"/>
                <w:kern w:val="2"/>
                <w:szCs w:val="21"/>
              </w:rPr>
              <w:t>t/a</w:t>
            </w:r>
          </w:p>
        </w:tc>
        <w:tc>
          <w:tcPr>
            <w:tcW w:w="1363" w:type="dxa"/>
            <w:noWrap/>
            <w:vAlign w:val="center"/>
          </w:tcPr>
          <w:p w14:paraId="1C7DF682">
            <w:pPr>
              <w:spacing w:line="400" w:lineRule="exact"/>
              <w:jc w:val="center"/>
              <w:rPr>
                <w:color w:val="auto"/>
                <w:szCs w:val="21"/>
              </w:rPr>
            </w:pPr>
            <w:r>
              <w:rPr>
                <w:rFonts w:hint="eastAsia" w:ascii="Times New Roman"/>
                <w:color w:val="auto"/>
                <w:kern w:val="2"/>
                <w:szCs w:val="21"/>
                <w:highlight w:val="none"/>
                <w:lang w:val="en-US" w:eastAsia="zh-CN"/>
              </w:rPr>
              <w:t>+17.777</w:t>
            </w:r>
            <w:r>
              <w:rPr>
                <w:rFonts w:hint="eastAsia" w:ascii="Times New Roman"/>
                <w:color w:val="auto"/>
                <w:kern w:val="2"/>
                <w:szCs w:val="21"/>
                <w:highlight w:val="none"/>
              </w:rPr>
              <w:t>t/a</w:t>
            </w:r>
          </w:p>
        </w:tc>
      </w:tr>
      <w:tr w14:paraId="426F4D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870" w:type="dxa"/>
            <w:vMerge w:val="continue"/>
            <w:noWrap/>
            <w:vAlign w:val="center"/>
          </w:tcPr>
          <w:p w14:paraId="642D2AC1">
            <w:pPr>
              <w:pStyle w:val="63"/>
              <w:spacing w:beforeLines="0" w:afterLines="0" w:line="240" w:lineRule="auto"/>
              <w:ind w:firstLine="0" w:firstLineChars="0"/>
              <w:rPr>
                <w:rFonts w:ascii="Times New Roman"/>
                <w:snapToGrid w:val="0"/>
                <w:color w:val="auto"/>
                <w:kern w:val="21"/>
                <w:szCs w:val="21"/>
              </w:rPr>
            </w:pPr>
          </w:p>
        </w:tc>
        <w:tc>
          <w:tcPr>
            <w:tcW w:w="1875" w:type="dxa"/>
            <w:noWrap/>
            <w:vAlign w:val="center"/>
          </w:tcPr>
          <w:p w14:paraId="78EDE26C">
            <w:pPr>
              <w:spacing w:line="400" w:lineRule="exact"/>
              <w:jc w:val="center"/>
              <w:rPr>
                <w:color w:val="auto"/>
                <w:szCs w:val="21"/>
              </w:rPr>
            </w:pPr>
            <w:r>
              <w:rPr>
                <w:color w:val="auto"/>
                <w:szCs w:val="21"/>
              </w:rPr>
              <w:t>废滤筒</w:t>
            </w:r>
          </w:p>
        </w:tc>
        <w:tc>
          <w:tcPr>
            <w:tcW w:w="1755" w:type="dxa"/>
            <w:shd w:val="clear" w:color="auto" w:fill="auto"/>
            <w:noWrap/>
            <w:vAlign w:val="center"/>
          </w:tcPr>
          <w:p w14:paraId="17E59495">
            <w:pPr>
              <w:pStyle w:val="63"/>
              <w:spacing w:beforeLines="0" w:afterLines="0" w:line="400" w:lineRule="exact"/>
              <w:ind w:firstLine="0" w:firstLineChars="0"/>
              <w:rPr>
                <w:rFonts w:ascii="Times New Roman" w:hAnsi="Times New Roman" w:eastAsia="宋体" w:cs="Times New Roman"/>
                <w:color w:val="auto"/>
                <w:kern w:val="2"/>
                <w:sz w:val="21"/>
                <w:szCs w:val="21"/>
                <w:lang w:val="en-US" w:eastAsia="zh-CN" w:bidi="ar-SA"/>
              </w:rPr>
            </w:pPr>
            <w:r>
              <w:rPr>
                <w:rFonts w:hint="eastAsia" w:ascii="Times New Roman"/>
                <w:color w:val="auto"/>
                <w:kern w:val="2"/>
                <w:szCs w:val="21"/>
              </w:rPr>
              <w:t>0.1t/a</w:t>
            </w:r>
          </w:p>
        </w:tc>
        <w:tc>
          <w:tcPr>
            <w:tcW w:w="1125" w:type="dxa"/>
            <w:noWrap/>
            <w:vAlign w:val="center"/>
          </w:tcPr>
          <w:p w14:paraId="4F18AD15">
            <w:pPr>
              <w:pStyle w:val="63"/>
              <w:spacing w:beforeLines="0" w:afterLines="0" w:line="400" w:lineRule="exact"/>
              <w:ind w:firstLine="0" w:firstLineChars="0"/>
              <w:rPr>
                <w:rFonts w:ascii="Times New Roman"/>
                <w:color w:val="auto"/>
                <w:kern w:val="2"/>
                <w:szCs w:val="21"/>
              </w:rPr>
            </w:pPr>
            <w:r>
              <w:rPr>
                <w:rFonts w:hint="eastAsia" w:ascii="Times New Roman"/>
                <w:color w:val="auto"/>
                <w:kern w:val="2"/>
                <w:szCs w:val="21"/>
              </w:rPr>
              <w:t>/</w:t>
            </w:r>
          </w:p>
        </w:tc>
        <w:tc>
          <w:tcPr>
            <w:tcW w:w="1800" w:type="dxa"/>
            <w:noWrap/>
            <w:vAlign w:val="center"/>
          </w:tcPr>
          <w:p w14:paraId="174D1E9A">
            <w:pPr>
              <w:spacing w:line="400" w:lineRule="exact"/>
              <w:jc w:val="center"/>
              <w:rPr>
                <w:color w:val="auto"/>
                <w:szCs w:val="21"/>
              </w:rPr>
            </w:pPr>
            <w:r>
              <w:rPr>
                <w:rFonts w:hint="eastAsia"/>
                <w:color w:val="auto"/>
                <w:szCs w:val="21"/>
              </w:rPr>
              <w:t>/</w:t>
            </w:r>
          </w:p>
        </w:tc>
        <w:tc>
          <w:tcPr>
            <w:tcW w:w="1665" w:type="dxa"/>
            <w:noWrap/>
            <w:vAlign w:val="center"/>
          </w:tcPr>
          <w:p w14:paraId="1FCE3E1A">
            <w:pPr>
              <w:pStyle w:val="63"/>
              <w:spacing w:beforeLines="0" w:afterLines="0" w:line="400" w:lineRule="exact"/>
              <w:ind w:firstLine="0" w:firstLineChars="0"/>
              <w:rPr>
                <w:rFonts w:ascii="Times New Roman"/>
                <w:color w:val="auto"/>
                <w:kern w:val="2"/>
                <w:szCs w:val="21"/>
                <w:highlight w:val="none"/>
              </w:rPr>
            </w:pPr>
            <w:r>
              <w:rPr>
                <w:rFonts w:hint="eastAsia" w:ascii="Times New Roman"/>
                <w:color w:val="auto"/>
                <w:kern w:val="2"/>
                <w:szCs w:val="21"/>
                <w:highlight w:val="none"/>
              </w:rPr>
              <w:t>0.1t/a</w:t>
            </w:r>
          </w:p>
        </w:tc>
        <w:tc>
          <w:tcPr>
            <w:tcW w:w="1755" w:type="dxa"/>
            <w:noWrap/>
            <w:vAlign w:val="center"/>
          </w:tcPr>
          <w:p w14:paraId="27F29A5D">
            <w:pPr>
              <w:spacing w:line="400" w:lineRule="exact"/>
              <w:jc w:val="center"/>
              <w:rPr>
                <w:color w:val="auto"/>
                <w:szCs w:val="21"/>
              </w:rPr>
            </w:pPr>
            <w:r>
              <w:rPr>
                <w:rFonts w:hint="eastAsia"/>
                <w:color w:val="auto"/>
                <w:szCs w:val="21"/>
              </w:rPr>
              <w:t>/</w:t>
            </w:r>
          </w:p>
        </w:tc>
        <w:tc>
          <w:tcPr>
            <w:tcW w:w="2025" w:type="dxa"/>
            <w:noWrap/>
            <w:vAlign w:val="center"/>
          </w:tcPr>
          <w:p w14:paraId="6C903011">
            <w:pPr>
              <w:pStyle w:val="63"/>
              <w:spacing w:beforeLines="0" w:afterLines="0" w:line="400" w:lineRule="exact"/>
              <w:ind w:firstLine="0" w:firstLineChars="0"/>
              <w:rPr>
                <w:rFonts w:ascii="Times New Roman"/>
                <w:color w:val="auto"/>
                <w:kern w:val="2"/>
                <w:szCs w:val="21"/>
              </w:rPr>
            </w:pPr>
            <w:r>
              <w:rPr>
                <w:rFonts w:hint="eastAsia" w:ascii="Times New Roman"/>
                <w:color w:val="auto"/>
                <w:kern w:val="2"/>
                <w:szCs w:val="21"/>
              </w:rPr>
              <w:t>0.</w:t>
            </w:r>
            <w:r>
              <w:rPr>
                <w:rFonts w:hint="eastAsia" w:ascii="Times New Roman"/>
                <w:color w:val="auto"/>
                <w:kern w:val="2"/>
                <w:szCs w:val="21"/>
                <w:lang w:val="en-US" w:eastAsia="zh-CN"/>
              </w:rPr>
              <w:t>2</w:t>
            </w:r>
            <w:r>
              <w:rPr>
                <w:rFonts w:hint="eastAsia" w:ascii="Times New Roman"/>
                <w:color w:val="auto"/>
                <w:kern w:val="2"/>
                <w:szCs w:val="21"/>
              </w:rPr>
              <w:t>t/a</w:t>
            </w:r>
          </w:p>
        </w:tc>
        <w:tc>
          <w:tcPr>
            <w:tcW w:w="1363" w:type="dxa"/>
            <w:noWrap/>
            <w:vAlign w:val="center"/>
          </w:tcPr>
          <w:p w14:paraId="05214D60">
            <w:pPr>
              <w:spacing w:line="400" w:lineRule="exact"/>
              <w:jc w:val="center"/>
              <w:rPr>
                <w:color w:val="auto"/>
                <w:szCs w:val="21"/>
              </w:rPr>
            </w:pPr>
            <w:r>
              <w:rPr>
                <w:rFonts w:hint="eastAsia"/>
                <w:color w:val="auto"/>
                <w:szCs w:val="21"/>
              </w:rPr>
              <w:t>+0.1t/a</w:t>
            </w:r>
          </w:p>
        </w:tc>
      </w:tr>
      <w:tr w14:paraId="59233A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870" w:type="dxa"/>
            <w:vMerge w:val="continue"/>
            <w:noWrap/>
            <w:vAlign w:val="center"/>
          </w:tcPr>
          <w:p w14:paraId="766DAAD2">
            <w:pPr>
              <w:pStyle w:val="63"/>
              <w:spacing w:beforeLines="0" w:afterLines="0" w:line="240" w:lineRule="auto"/>
              <w:ind w:firstLine="0" w:firstLineChars="0"/>
              <w:rPr>
                <w:rFonts w:ascii="Times New Roman"/>
                <w:snapToGrid w:val="0"/>
                <w:color w:val="auto"/>
                <w:kern w:val="21"/>
                <w:szCs w:val="21"/>
              </w:rPr>
            </w:pPr>
          </w:p>
        </w:tc>
        <w:tc>
          <w:tcPr>
            <w:tcW w:w="1875" w:type="dxa"/>
            <w:noWrap/>
            <w:vAlign w:val="center"/>
          </w:tcPr>
          <w:p w14:paraId="30E08D17">
            <w:pPr>
              <w:spacing w:line="400" w:lineRule="exact"/>
              <w:jc w:val="center"/>
              <w:rPr>
                <w:rFonts w:hint="eastAsia" w:eastAsia="宋体"/>
                <w:color w:val="auto"/>
                <w:szCs w:val="21"/>
                <w:lang w:val="en-US" w:eastAsia="zh-CN"/>
              </w:rPr>
            </w:pPr>
            <w:r>
              <w:rPr>
                <w:rFonts w:hint="eastAsia"/>
                <w:color w:val="auto"/>
                <w:szCs w:val="21"/>
                <w:lang w:val="en-US" w:eastAsia="zh-CN"/>
              </w:rPr>
              <w:t>不合格品</w:t>
            </w:r>
          </w:p>
        </w:tc>
        <w:tc>
          <w:tcPr>
            <w:tcW w:w="1755" w:type="dxa"/>
            <w:shd w:val="clear" w:color="auto" w:fill="auto"/>
            <w:noWrap/>
            <w:vAlign w:val="center"/>
          </w:tcPr>
          <w:p w14:paraId="337060C4">
            <w:pPr>
              <w:pStyle w:val="63"/>
              <w:spacing w:beforeLines="0" w:afterLines="0" w:line="400" w:lineRule="exact"/>
              <w:ind w:firstLine="0" w:firstLineChars="0"/>
              <w:rPr>
                <w:rFonts w:hint="eastAsia" w:ascii="Times New Roman" w:eastAsia="宋体"/>
                <w:color w:val="auto"/>
                <w:kern w:val="2"/>
                <w:szCs w:val="21"/>
                <w:lang w:val="en-US" w:eastAsia="zh-CN"/>
              </w:rPr>
            </w:pPr>
            <w:r>
              <w:rPr>
                <w:rFonts w:hint="eastAsia" w:ascii="Times New Roman"/>
                <w:color w:val="auto"/>
                <w:kern w:val="2"/>
                <w:szCs w:val="21"/>
                <w:lang w:val="en-US" w:eastAsia="zh-CN"/>
              </w:rPr>
              <w:t>0</w:t>
            </w:r>
          </w:p>
        </w:tc>
        <w:tc>
          <w:tcPr>
            <w:tcW w:w="1125" w:type="dxa"/>
            <w:noWrap/>
            <w:vAlign w:val="center"/>
          </w:tcPr>
          <w:p w14:paraId="77A76098">
            <w:pPr>
              <w:pStyle w:val="63"/>
              <w:spacing w:beforeLines="0" w:afterLines="0" w:line="400" w:lineRule="exact"/>
              <w:ind w:firstLine="0" w:firstLineChars="0"/>
              <w:rPr>
                <w:rFonts w:hint="eastAsia" w:ascii="Times New Roman"/>
                <w:color w:val="auto"/>
                <w:kern w:val="2"/>
                <w:szCs w:val="21"/>
              </w:rPr>
            </w:pPr>
          </w:p>
        </w:tc>
        <w:tc>
          <w:tcPr>
            <w:tcW w:w="1800" w:type="dxa"/>
            <w:noWrap/>
            <w:vAlign w:val="center"/>
          </w:tcPr>
          <w:p w14:paraId="16E96186">
            <w:pPr>
              <w:spacing w:line="400" w:lineRule="exact"/>
              <w:jc w:val="center"/>
              <w:rPr>
                <w:rFonts w:hint="eastAsia"/>
                <w:color w:val="auto"/>
                <w:szCs w:val="21"/>
              </w:rPr>
            </w:pPr>
          </w:p>
        </w:tc>
        <w:tc>
          <w:tcPr>
            <w:tcW w:w="1665" w:type="dxa"/>
            <w:noWrap/>
            <w:vAlign w:val="center"/>
          </w:tcPr>
          <w:p w14:paraId="06FBBEEC">
            <w:pPr>
              <w:pStyle w:val="63"/>
              <w:spacing w:beforeLines="0" w:afterLines="0" w:line="400" w:lineRule="exact"/>
              <w:ind w:firstLine="0" w:firstLineChars="0"/>
              <w:rPr>
                <w:rFonts w:hint="eastAsia" w:ascii="Times New Roman"/>
                <w:color w:val="auto"/>
                <w:kern w:val="2"/>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2714.083</w:t>
            </w:r>
            <w:r>
              <w:rPr>
                <w:rFonts w:hint="eastAsia" w:ascii="Times New Roman"/>
                <w:color w:val="auto"/>
                <w:kern w:val="2"/>
                <w:szCs w:val="21"/>
                <w:highlight w:val="none"/>
              </w:rPr>
              <w:t>t/a</w:t>
            </w:r>
          </w:p>
        </w:tc>
        <w:tc>
          <w:tcPr>
            <w:tcW w:w="1755" w:type="dxa"/>
            <w:noWrap/>
            <w:vAlign w:val="center"/>
          </w:tcPr>
          <w:p w14:paraId="11AF8604">
            <w:pPr>
              <w:spacing w:line="400" w:lineRule="exact"/>
              <w:jc w:val="center"/>
              <w:rPr>
                <w:rFonts w:hint="eastAsia"/>
                <w:color w:val="auto"/>
                <w:szCs w:val="21"/>
                <w:highlight w:val="none"/>
              </w:rPr>
            </w:pPr>
          </w:p>
        </w:tc>
        <w:tc>
          <w:tcPr>
            <w:tcW w:w="2025" w:type="dxa"/>
            <w:noWrap/>
            <w:vAlign w:val="center"/>
          </w:tcPr>
          <w:p w14:paraId="2037FEA1">
            <w:pPr>
              <w:pStyle w:val="63"/>
              <w:spacing w:beforeLines="0" w:afterLines="0" w:line="400" w:lineRule="exact"/>
              <w:ind w:firstLine="0" w:firstLineChars="0"/>
              <w:rPr>
                <w:rFonts w:hint="eastAsia" w:ascii="Times New Roman"/>
                <w:color w:val="auto"/>
                <w:kern w:val="2"/>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2714.083</w:t>
            </w:r>
            <w:r>
              <w:rPr>
                <w:rFonts w:hint="eastAsia" w:ascii="Times New Roman"/>
                <w:color w:val="auto"/>
                <w:kern w:val="2"/>
                <w:szCs w:val="21"/>
                <w:highlight w:val="none"/>
              </w:rPr>
              <w:t>t/a</w:t>
            </w:r>
          </w:p>
        </w:tc>
        <w:tc>
          <w:tcPr>
            <w:tcW w:w="1363" w:type="dxa"/>
            <w:noWrap/>
            <w:vAlign w:val="center"/>
          </w:tcPr>
          <w:p w14:paraId="55C246E7">
            <w:pPr>
              <w:spacing w:line="400" w:lineRule="exact"/>
              <w:jc w:val="center"/>
              <w:rPr>
                <w:rFonts w:hint="eastAsia"/>
                <w:color w:val="auto"/>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2714.083</w:t>
            </w:r>
            <w:r>
              <w:rPr>
                <w:rFonts w:hint="eastAsia" w:ascii="Times New Roman"/>
                <w:color w:val="auto"/>
                <w:kern w:val="2"/>
                <w:szCs w:val="21"/>
                <w:highlight w:val="none"/>
              </w:rPr>
              <w:t>t/a</w:t>
            </w:r>
          </w:p>
        </w:tc>
      </w:tr>
      <w:tr w14:paraId="03678C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870" w:type="dxa"/>
            <w:vMerge w:val="continue"/>
            <w:noWrap/>
            <w:vAlign w:val="center"/>
          </w:tcPr>
          <w:p w14:paraId="6F474F7D">
            <w:pPr>
              <w:pStyle w:val="63"/>
              <w:spacing w:beforeLines="0" w:afterLines="0" w:line="240" w:lineRule="auto"/>
              <w:ind w:firstLine="0" w:firstLineChars="0"/>
              <w:rPr>
                <w:rFonts w:ascii="Times New Roman"/>
                <w:snapToGrid w:val="0"/>
                <w:color w:val="auto"/>
                <w:kern w:val="21"/>
                <w:szCs w:val="21"/>
              </w:rPr>
            </w:pPr>
          </w:p>
        </w:tc>
        <w:tc>
          <w:tcPr>
            <w:tcW w:w="1875" w:type="dxa"/>
            <w:noWrap/>
            <w:vAlign w:val="center"/>
          </w:tcPr>
          <w:p w14:paraId="5F3C6601">
            <w:pPr>
              <w:spacing w:line="400" w:lineRule="exact"/>
              <w:jc w:val="center"/>
              <w:rPr>
                <w:color w:val="auto"/>
                <w:szCs w:val="21"/>
              </w:rPr>
            </w:pPr>
            <w:r>
              <w:rPr>
                <w:color w:val="auto"/>
                <w:szCs w:val="21"/>
              </w:rPr>
              <w:t>办公生活垃圾</w:t>
            </w:r>
          </w:p>
        </w:tc>
        <w:tc>
          <w:tcPr>
            <w:tcW w:w="1755" w:type="dxa"/>
            <w:shd w:val="clear" w:color="auto" w:fill="auto"/>
            <w:noWrap/>
            <w:vAlign w:val="center"/>
          </w:tcPr>
          <w:p w14:paraId="1997707B">
            <w:pPr>
              <w:pStyle w:val="63"/>
              <w:spacing w:beforeLines="0" w:afterLines="0" w:line="400" w:lineRule="exact"/>
              <w:ind w:firstLine="0" w:firstLineChars="0"/>
              <w:rPr>
                <w:rFonts w:ascii="Times New Roman" w:hAnsi="Times New Roman" w:eastAsia="宋体" w:cs="Times New Roman"/>
                <w:color w:val="auto"/>
                <w:kern w:val="2"/>
                <w:sz w:val="21"/>
                <w:szCs w:val="21"/>
                <w:lang w:val="en-US" w:eastAsia="zh-CN" w:bidi="ar-SA"/>
              </w:rPr>
            </w:pPr>
            <w:r>
              <w:rPr>
                <w:rFonts w:hint="eastAsia" w:ascii="Times New Roman"/>
                <w:color w:val="auto"/>
                <w:kern w:val="2"/>
                <w:szCs w:val="21"/>
              </w:rPr>
              <w:t>120t/a</w:t>
            </w:r>
          </w:p>
        </w:tc>
        <w:tc>
          <w:tcPr>
            <w:tcW w:w="1125" w:type="dxa"/>
            <w:noWrap/>
            <w:vAlign w:val="center"/>
          </w:tcPr>
          <w:p w14:paraId="793FCA23">
            <w:pPr>
              <w:pStyle w:val="63"/>
              <w:spacing w:beforeLines="0" w:afterLines="0" w:line="400" w:lineRule="exact"/>
              <w:ind w:firstLine="0" w:firstLineChars="0"/>
              <w:rPr>
                <w:rFonts w:ascii="Times New Roman"/>
                <w:color w:val="auto"/>
                <w:kern w:val="2"/>
                <w:szCs w:val="21"/>
              </w:rPr>
            </w:pPr>
            <w:r>
              <w:rPr>
                <w:rFonts w:ascii="Times New Roman"/>
                <w:color w:val="auto"/>
                <w:kern w:val="2"/>
                <w:szCs w:val="21"/>
              </w:rPr>
              <w:t>/</w:t>
            </w:r>
          </w:p>
        </w:tc>
        <w:tc>
          <w:tcPr>
            <w:tcW w:w="1800" w:type="dxa"/>
            <w:noWrap/>
            <w:vAlign w:val="center"/>
          </w:tcPr>
          <w:p w14:paraId="0A985AA9">
            <w:pPr>
              <w:spacing w:line="400" w:lineRule="exact"/>
              <w:jc w:val="center"/>
              <w:rPr>
                <w:color w:val="auto"/>
                <w:szCs w:val="21"/>
              </w:rPr>
            </w:pPr>
            <w:r>
              <w:rPr>
                <w:rFonts w:hint="eastAsia"/>
                <w:color w:val="auto"/>
                <w:szCs w:val="21"/>
              </w:rPr>
              <w:t>/</w:t>
            </w:r>
          </w:p>
        </w:tc>
        <w:tc>
          <w:tcPr>
            <w:tcW w:w="1665" w:type="dxa"/>
            <w:noWrap/>
            <w:vAlign w:val="center"/>
          </w:tcPr>
          <w:p w14:paraId="57178B23">
            <w:pPr>
              <w:pStyle w:val="63"/>
              <w:spacing w:beforeLines="0" w:afterLines="0" w:line="400" w:lineRule="exact"/>
              <w:ind w:firstLine="0" w:firstLineChars="0"/>
              <w:rPr>
                <w:rFonts w:ascii="Times New Roman"/>
                <w:color w:val="auto"/>
                <w:kern w:val="2"/>
                <w:szCs w:val="21"/>
              </w:rPr>
            </w:pPr>
            <w:r>
              <w:rPr>
                <w:rFonts w:hint="eastAsia" w:ascii="Times New Roman"/>
                <w:color w:val="auto"/>
                <w:kern w:val="2"/>
                <w:szCs w:val="21"/>
              </w:rPr>
              <w:t>0 t/a</w:t>
            </w:r>
          </w:p>
        </w:tc>
        <w:tc>
          <w:tcPr>
            <w:tcW w:w="1755" w:type="dxa"/>
            <w:noWrap/>
            <w:vAlign w:val="center"/>
          </w:tcPr>
          <w:p w14:paraId="6ECAE20E">
            <w:pPr>
              <w:spacing w:line="400" w:lineRule="exact"/>
              <w:jc w:val="center"/>
              <w:rPr>
                <w:color w:val="auto"/>
                <w:szCs w:val="21"/>
              </w:rPr>
            </w:pPr>
            <w:r>
              <w:rPr>
                <w:rFonts w:hint="eastAsia"/>
                <w:color w:val="auto"/>
                <w:szCs w:val="21"/>
              </w:rPr>
              <w:t>/</w:t>
            </w:r>
          </w:p>
        </w:tc>
        <w:tc>
          <w:tcPr>
            <w:tcW w:w="2025" w:type="dxa"/>
            <w:noWrap/>
            <w:vAlign w:val="center"/>
          </w:tcPr>
          <w:p w14:paraId="35CD6661">
            <w:pPr>
              <w:pStyle w:val="63"/>
              <w:spacing w:beforeLines="0" w:afterLines="0" w:line="400" w:lineRule="exact"/>
              <w:ind w:firstLine="0" w:firstLineChars="0"/>
              <w:rPr>
                <w:rFonts w:ascii="Times New Roman"/>
                <w:color w:val="auto"/>
                <w:kern w:val="2"/>
                <w:szCs w:val="21"/>
              </w:rPr>
            </w:pPr>
            <w:r>
              <w:rPr>
                <w:rFonts w:hint="eastAsia" w:ascii="Times New Roman"/>
                <w:color w:val="auto"/>
                <w:kern w:val="2"/>
                <w:szCs w:val="21"/>
              </w:rPr>
              <w:t>120t/a</w:t>
            </w:r>
          </w:p>
        </w:tc>
        <w:tc>
          <w:tcPr>
            <w:tcW w:w="1363" w:type="dxa"/>
            <w:noWrap/>
            <w:vAlign w:val="center"/>
          </w:tcPr>
          <w:p w14:paraId="53BED67E">
            <w:pPr>
              <w:spacing w:line="400" w:lineRule="exact"/>
              <w:jc w:val="center"/>
              <w:rPr>
                <w:color w:val="auto"/>
                <w:szCs w:val="21"/>
              </w:rPr>
            </w:pPr>
            <w:r>
              <w:rPr>
                <w:color w:val="auto"/>
                <w:szCs w:val="21"/>
              </w:rPr>
              <w:t>0t/a</w:t>
            </w:r>
          </w:p>
        </w:tc>
      </w:tr>
      <w:tr w14:paraId="66EF9B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70" w:type="dxa"/>
            <w:vMerge w:val="restart"/>
            <w:noWrap/>
            <w:vAlign w:val="center"/>
          </w:tcPr>
          <w:p w14:paraId="3976AAE0">
            <w:pPr>
              <w:pStyle w:val="63"/>
              <w:spacing w:beforeLines="0" w:afterLines="0" w:line="240" w:lineRule="auto"/>
              <w:ind w:firstLine="0" w:firstLineChars="0"/>
              <w:rPr>
                <w:rFonts w:ascii="Times New Roman"/>
                <w:snapToGrid w:val="0"/>
                <w:color w:val="auto"/>
                <w:kern w:val="21"/>
                <w:szCs w:val="21"/>
              </w:rPr>
            </w:pPr>
            <w:r>
              <w:rPr>
                <w:rFonts w:hint="eastAsia" w:ascii="Times New Roman"/>
                <w:snapToGrid w:val="0"/>
                <w:color w:val="auto"/>
                <w:kern w:val="21"/>
                <w:szCs w:val="21"/>
              </w:rPr>
              <w:t>危险废物</w:t>
            </w:r>
          </w:p>
        </w:tc>
        <w:tc>
          <w:tcPr>
            <w:tcW w:w="1875" w:type="dxa"/>
            <w:noWrap/>
            <w:vAlign w:val="center"/>
          </w:tcPr>
          <w:p w14:paraId="28CAF20E">
            <w:pPr>
              <w:spacing w:line="400" w:lineRule="exact"/>
              <w:jc w:val="center"/>
              <w:rPr>
                <w:color w:val="auto"/>
                <w:szCs w:val="21"/>
              </w:rPr>
            </w:pPr>
            <w:r>
              <w:rPr>
                <w:color w:val="auto"/>
                <w:szCs w:val="21"/>
              </w:rPr>
              <w:t>废乳化液</w:t>
            </w:r>
          </w:p>
        </w:tc>
        <w:tc>
          <w:tcPr>
            <w:tcW w:w="1755" w:type="dxa"/>
            <w:shd w:val="clear" w:color="auto" w:fill="auto"/>
            <w:noWrap/>
            <w:vAlign w:val="center"/>
          </w:tcPr>
          <w:p w14:paraId="5CE5A821">
            <w:pPr>
              <w:spacing w:line="400" w:lineRule="exact"/>
              <w:jc w:val="center"/>
              <w:rPr>
                <w:rFonts w:ascii="Times New Roman" w:hAnsi="Times New Roman" w:eastAsia="宋体" w:cs="Times New Roman"/>
                <w:color w:val="auto"/>
                <w:kern w:val="2"/>
                <w:sz w:val="21"/>
                <w:szCs w:val="21"/>
                <w:lang w:val="en-US" w:eastAsia="zh-CN" w:bidi="ar-SA"/>
              </w:rPr>
            </w:pPr>
            <w:r>
              <w:rPr>
                <w:rFonts w:hint="eastAsia"/>
                <w:color w:val="auto"/>
                <w:szCs w:val="21"/>
              </w:rPr>
              <w:t>0.7t/a</w:t>
            </w:r>
          </w:p>
        </w:tc>
        <w:tc>
          <w:tcPr>
            <w:tcW w:w="1125" w:type="dxa"/>
            <w:noWrap/>
            <w:vAlign w:val="center"/>
          </w:tcPr>
          <w:p w14:paraId="3D815EE3">
            <w:pPr>
              <w:pStyle w:val="63"/>
              <w:spacing w:beforeLines="0" w:afterLines="0" w:line="400" w:lineRule="exact"/>
              <w:ind w:firstLine="0" w:firstLineChars="0"/>
              <w:rPr>
                <w:rFonts w:ascii="Times New Roman"/>
                <w:color w:val="auto"/>
                <w:kern w:val="2"/>
                <w:szCs w:val="21"/>
              </w:rPr>
            </w:pPr>
            <w:r>
              <w:rPr>
                <w:rFonts w:ascii="Times New Roman"/>
                <w:color w:val="auto"/>
                <w:kern w:val="2"/>
                <w:szCs w:val="21"/>
              </w:rPr>
              <w:t>/</w:t>
            </w:r>
          </w:p>
        </w:tc>
        <w:tc>
          <w:tcPr>
            <w:tcW w:w="1800" w:type="dxa"/>
            <w:noWrap/>
            <w:vAlign w:val="center"/>
          </w:tcPr>
          <w:p w14:paraId="2A16FA99">
            <w:pPr>
              <w:spacing w:line="400" w:lineRule="exact"/>
              <w:jc w:val="center"/>
              <w:rPr>
                <w:color w:val="auto"/>
                <w:szCs w:val="21"/>
              </w:rPr>
            </w:pPr>
            <w:r>
              <w:rPr>
                <w:rFonts w:hint="eastAsia"/>
                <w:color w:val="auto"/>
                <w:szCs w:val="21"/>
              </w:rPr>
              <w:t>/</w:t>
            </w:r>
          </w:p>
        </w:tc>
        <w:tc>
          <w:tcPr>
            <w:tcW w:w="1665" w:type="dxa"/>
            <w:noWrap/>
            <w:vAlign w:val="center"/>
          </w:tcPr>
          <w:p w14:paraId="043B70BB">
            <w:pPr>
              <w:pStyle w:val="63"/>
              <w:spacing w:beforeLines="0" w:afterLines="0" w:line="400" w:lineRule="exact"/>
              <w:ind w:firstLine="0" w:firstLineChars="0"/>
              <w:rPr>
                <w:rFonts w:ascii="Times New Roman"/>
                <w:color w:val="auto"/>
                <w:kern w:val="2"/>
                <w:szCs w:val="21"/>
              </w:rPr>
            </w:pPr>
            <w:r>
              <w:rPr>
                <w:rFonts w:hint="eastAsia" w:ascii="Times New Roman"/>
                <w:color w:val="auto"/>
                <w:kern w:val="2"/>
                <w:szCs w:val="21"/>
              </w:rPr>
              <w:t>0 t/a</w:t>
            </w:r>
          </w:p>
        </w:tc>
        <w:tc>
          <w:tcPr>
            <w:tcW w:w="1755" w:type="dxa"/>
            <w:noWrap/>
            <w:vAlign w:val="center"/>
          </w:tcPr>
          <w:p w14:paraId="588027ED">
            <w:pPr>
              <w:spacing w:line="400" w:lineRule="exact"/>
              <w:jc w:val="center"/>
              <w:rPr>
                <w:color w:val="auto"/>
                <w:szCs w:val="21"/>
              </w:rPr>
            </w:pPr>
            <w:r>
              <w:rPr>
                <w:rFonts w:hint="eastAsia"/>
                <w:color w:val="auto"/>
                <w:szCs w:val="21"/>
              </w:rPr>
              <w:t>/</w:t>
            </w:r>
          </w:p>
        </w:tc>
        <w:tc>
          <w:tcPr>
            <w:tcW w:w="2025" w:type="dxa"/>
            <w:noWrap/>
            <w:vAlign w:val="center"/>
          </w:tcPr>
          <w:p w14:paraId="2EB824CE">
            <w:pPr>
              <w:spacing w:line="400" w:lineRule="exact"/>
              <w:jc w:val="center"/>
              <w:rPr>
                <w:color w:val="auto"/>
                <w:szCs w:val="21"/>
              </w:rPr>
            </w:pPr>
            <w:r>
              <w:rPr>
                <w:rFonts w:hint="eastAsia"/>
                <w:color w:val="auto"/>
                <w:szCs w:val="21"/>
              </w:rPr>
              <w:t>0.7t/a</w:t>
            </w:r>
          </w:p>
        </w:tc>
        <w:tc>
          <w:tcPr>
            <w:tcW w:w="1363" w:type="dxa"/>
            <w:noWrap/>
            <w:vAlign w:val="center"/>
          </w:tcPr>
          <w:p w14:paraId="2FEE123F">
            <w:pPr>
              <w:spacing w:line="400" w:lineRule="exact"/>
              <w:jc w:val="center"/>
              <w:rPr>
                <w:color w:val="auto"/>
                <w:szCs w:val="21"/>
              </w:rPr>
            </w:pPr>
            <w:r>
              <w:rPr>
                <w:rFonts w:hint="eastAsia"/>
                <w:color w:val="auto"/>
                <w:szCs w:val="21"/>
              </w:rPr>
              <w:t>0</w:t>
            </w:r>
            <w:r>
              <w:rPr>
                <w:color w:val="auto"/>
                <w:szCs w:val="21"/>
              </w:rPr>
              <w:t>t/a</w:t>
            </w:r>
          </w:p>
        </w:tc>
      </w:tr>
      <w:tr w14:paraId="1DD85D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70" w:type="dxa"/>
            <w:vMerge w:val="continue"/>
            <w:noWrap/>
            <w:vAlign w:val="center"/>
          </w:tcPr>
          <w:p w14:paraId="3FE7E667">
            <w:pPr>
              <w:pStyle w:val="63"/>
              <w:spacing w:beforeLines="0" w:afterLines="0" w:line="400" w:lineRule="exact"/>
              <w:ind w:firstLine="0" w:firstLineChars="0"/>
              <w:rPr>
                <w:rFonts w:ascii="Times New Roman"/>
                <w:snapToGrid w:val="0"/>
                <w:color w:val="auto"/>
                <w:kern w:val="21"/>
                <w:szCs w:val="21"/>
              </w:rPr>
            </w:pPr>
          </w:p>
        </w:tc>
        <w:tc>
          <w:tcPr>
            <w:tcW w:w="1875" w:type="dxa"/>
            <w:noWrap/>
            <w:vAlign w:val="center"/>
          </w:tcPr>
          <w:p w14:paraId="699C5E98">
            <w:pPr>
              <w:spacing w:line="400" w:lineRule="exact"/>
              <w:jc w:val="center"/>
              <w:rPr>
                <w:color w:val="auto"/>
                <w:szCs w:val="21"/>
              </w:rPr>
            </w:pPr>
            <w:r>
              <w:rPr>
                <w:rFonts w:hint="eastAsia"/>
                <w:color w:val="auto"/>
                <w:szCs w:val="21"/>
              </w:rPr>
              <w:t>废润滑油</w:t>
            </w:r>
          </w:p>
        </w:tc>
        <w:tc>
          <w:tcPr>
            <w:tcW w:w="1755" w:type="dxa"/>
            <w:shd w:val="clear" w:color="auto" w:fill="auto"/>
            <w:noWrap/>
            <w:vAlign w:val="center"/>
          </w:tcPr>
          <w:p w14:paraId="46894FBF">
            <w:pPr>
              <w:spacing w:line="400" w:lineRule="exact"/>
              <w:jc w:val="center"/>
              <w:rPr>
                <w:rFonts w:ascii="Times New Roman" w:hAnsi="Times New Roman" w:eastAsia="宋体" w:cs="Times New Roman"/>
                <w:color w:val="auto"/>
                <w:kern w:val="2"/>
                <w:sz w:val="21"/>
                <w:szCs w:val="21"/>
                <w:lang w:val="en-US" w:eastAsia="zh-CN" w:bidi="ar-SA"/>
              </w:rPr>
            </w:pPr>
            <w:r>
              <w:rPr>
                <w:rFonts w:hint="eastAsia"/>
                <w:color w:val="auto"/>
                <w:szCs w:val="21"/>
              </w:rPr>
              <w:t>4.45t/a</w:t>
            </w:r>
          </w:p>
        </w:tc>
        <w:tc>
          <w:tcPr>
            <w:tcW w:w="1125" w:type="dxa"/>
            <w:noWrap/>
            <w:vAlign w:val="center"/>
          </w:tcPr>
          <w:p w14:paraId="2962317E">
            <w:pPr>
              <w:pStyle w:val="63"/>
              <w:spacing w:beforeLines="0" w:afterLines="0" w:line="400" w:lineRule="exact"/>
              <w:ind w:firstLine="0" w:firstLineChars="0"/>
              <w:rPr>
                <w:rFonts w:ascii="Times New Roman"/>
                <w:color w:val="auto"/>
                <w:kern w:val="2"/>
                <w:szCs w:val="21"/>
              </w:rPr>
            </w:pPr>
            <w:r>
              <w:rPr>
                <w:rFonts w:ascii="Times New Roman"/>
                <w:color w:val="auto"/>
                <w:kern w:val="2"/>
                <w:szCs w:val="21"/>
              </w:rPr>
              <w:t>/</w:t>
            </w:r>
          </w:p>
        </w:tc>
        <w:tc>
          <w:tcPr>
            <w:tcW w:w="1800" w:type="dxa"/>
            <w:noWrap/>
            <w:vAlign w:val="center"/>
          </w:tcPr>
          <w:p w14:paraId="69409D48">
            <w:pPr>
              <w:spacing w:line="400" w:lineRule="exact"/>
              <w:jc w:val="center"/>
              <w:rPr>
                <w:color w:val="auto"/>
                <w:szCs w:val="21"/>
              </w:rPr>
            </w:pPr>
            <w:r>
              <w:rPr>
                <w:rFonts w:hint="eastAsia"/>
                <w:color w:val="auto"/>
                <w:szCs w:val="21"/>
              </w:rPr>
              <w:t>/</w:t>
            </w:r>
          </w:p>
        </w:tc>
        <w:tc>
          <w:tcPr>
            <w:tcW w:w="1665" w:type="dxa"/>
            <w:noWrap/>
            <w:vAlign w:val="center"/>
          </w:tcPr>
          <w:p w14:paraId="68A29872">
            <w:pPr>
              <w:pStyle w:val="63"/>
              <w:spacing w:beforeLines="0" w:afterLines="0" w:line="400" w:lineRule="exact"/>
              <w:ind w:firstLine="0" w:firstLineChars="0"/>
              <w:rPr>
                <w:rFonts w:ascii="Times New Roman"/>
                <w:color w:val="auto"/>
                <w:kern w:val="2"/>
                <w:szCs w:val="21"/>
              </w:rPr>
            </w:pPr>
            <w:r>
              <w:rPr>
                <w:rFonts w:hint="eastAsia" w:ascii="Times New Roman"/>
                <w:color w:val="auto"/>
                <w:kern w:val="2"/>
                <w:szCs w:val="21"/>
              </w:rPr>
              <w:t>0.</w:t>
            </w:r>
            <w:r>
              <w:rPr>
                <w:rFonts w:hint="eastAsia" w:ascii="Times New Roman"/>
                <w:color w:val="auto"/>
                <w:kern w:val="2"/>
                <w:szCs w:val="21"/>
                <w:lang w:val="en-US" w:eastAsia="zh-CN"/>
              </w:rPr>
              <w:t>3</w:t>
            </w:r>
            <w:r>
              <w:rPr>
                <w:rFonts w:hint="eastAsia" w:ascii="Times New Roman"/>
                <w:color w:val="auto"/>
                <w:kern w:val="2"/>
                <w:szCs w:val="21"/>
              </w:rPr>
              <w:t>5t/a</w:t>
            </w:r>
          </w:p>
        </w:tc>
        <w:tc>
          <w:tcPr>
            <w:tcW w:w="1755" w:type="dxa"/>
            <w:noWrap/>
            <w:vAlign w:val="center"/>
          </w:tcPr>
          <w:p w14:paraId="14293ACB">
            <w:pPr>
              <w:spacing w:line="400" w:lineRule="exact"/>
              <w:jc w:val="center"/>
              <w:rPr>
                <w:color w:val="auto"/>
                <w:szCs w:val="21"/>
              </w:rPr>
            </w:pPr>
            <w:r>
              <w:rPr>
                <w:rFonts w:hint="eastAsia"/>
                <w:color w:val="auto"/>
                <w:szCs w:val="21"/>
              </w:rPr>
              <w:t>/</w:t>
            </w:r>
          </w:p>
        </w:tc>
        <w:tc>
          <w:tcPr>
            <w:tcW w:w="2025" w:type="dxa"/>
            <w:noWrap/>
            <w:vAlign w:val="center"/>
          </w:tcPr>
          <w:p w14:paraId="23F9DFA1">
            <w:pPr>
              <w:spacing w:line="400" w:lineRule="exact"/>
              <w:jc w:val="center"/>
              <w:rPr>
                <w:color w:val="auto"/>
                <w:szCs w:val="21"/>
              </w:rPr>
            </w:pPr>
            <w:r>
              <w:rPr>
                <w:rFonts w:hint="eastAsia"/>
                <w:color w:val="auto"/>
                <w:szCs w:val="21"/>
              </w:rPr>
              <w:t>4.</w:t>
            </w:r>
            <w:r>
              <w:rPr>
                <w:rFonts w:hint="eastAsia"/>
                <w:color w:val="auto"/>
                <w:szCs w:val="21"/>
                <w:lang w:val="en-US" w:eastAsia="zh-CN"/>
              </w:rPr>
              <w:t>8</w:t>
            </w:r>
            <w:r>
              <w:rPr>
                <w:rFonts w:hint="eastAsia"/>
                <w:color w:val="auto"/>
                <w:szCs w:val="21"/>
              </w:rPr>
              <w:t>t/a</w:t>
            </w:r>
          </w:p>
        </w:tc>
        <w:tc>
          <w:tcPr>
            <w:tcW w:w="1363" w:type="dxa"/>
            <w:noWrap/>
            <w:vAlign w:val="center"/>
          </w:tcPr>
          <w:p w14:paraId="55DBB944">
            <w:pPr>
              <w:spacing w:line="400" w:lineRule="exact"/>
              <w:jc w:val="center"/>
              <w:rPr>
                <w:color w:val="auto"/>
                <w:szCs w:val="21"/>
              </w:rPr>
            </w:pPr>
            <w:r>
              <w:rPr>
                <w:color w:val="auto"/>
                <w:szCs w:val="21"/>
              </w:rPr>
              <w:t>+</w:t>
            </w:r>
            <w:r>
              <w:rPr>
                <w:rFonts w:hint="eastAsia"/>
                <w:color w:val="auto"/>
                <w:szCs w:val="21"/>
              </w:rPr>
              <w:t>0.</w:t>
            </w:r>
            <w:r>
              <w:rPr>
                <w:rFonts w:hint="eastAsia"/>
                <w:color w:val="auto"/>
                <w:szCs w:val="21"/>
                <w:lang w:val="en-US" w:eastAsia="zh-CN"/>
              </w:rPr>
              <w:t>3</w:t>
            </w:r>
            <w:r>
              <w:rPr>
                <w:rFonts w:hint="eastAsia"/>
                <w:color w:val="auto"/>
                <w:szCs w:val="21"/>
              </w:rPr>
              <w:t>5t/a</w:t>
            </w:r>
          </w:p>
        </w:tc>
      </w:tr>
      <w:tr w14:paraId="6292EF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70" w:type="dxa"/>
            <w:vMerge w:val="continue"/>
            <w:noWrap/>
            <w:vAlign w:val="center"/>
          </w:tcPr>
          <w:p w14:paraId="30173068">
            <w:pPr>
              <w:spacing w:line="400" w:lineRule="exact"/>
              <w:jc w:val="center"/>
              <w:rPr>
                <w:color w:val="auto"/>
              </w:rPr>
            </w:pPr>
          </w:p>
        </w:tc>
        <w:tc>
          <w:tcPr>
            <w:tcW w:w="1875" w:type="dxa"/>
            <w:noWrap/>
            <w:vAlign w:val="center"/>
          </w:tcPr>
          <w:p w14:paraId="7A214613">
            <w:pPr>
              <w:spacing w:line="400" w:lineRule="exact"/>
              <w:jc w:val="center"/>
              <w:rPr>
                <w:color w:val="auto"/>
                <w:szCs w:val="21"/>
              </w:rPr>
            </w:pPr>
            <w:r>
              <w:rPr>
                <w:rFonts w:hint="eastAsia"/>
                <w:color w:val="auto"/>
                <w:szCs w:val="21"/>
              </w:rPr>
              <w:t>废液压油</w:t>
            </w:r>
          </w:p>
        </w:tc>
        <w:tc>
          <w:tcPr>
            <w:tcW w:w="1755" w:type="dxa"/>
            <w:shd w:val="clear" w:color="auto" w:fill="auto"/>
            <w:noWrap/>
            <w:vAlign w:val="center"/>
          </w:tcPr>
          <w:p w14:paraId="3264F9C4">
            <w:pPr>
              <w:spacing w:line="400" w:lineRule="exact"/>
              <w:jc w:val="center"/>
              <w:rPr>
                <w:rFonts w:ascii="Times New Roman" w:hAnsi="Times New Roman" w:eastAsia="宋体" w:cs="Times New Roman"/>
                <w:color w:val="auto"/>
                <w:kern w:val="2"/>
                <w:sz w:val="21"/>
                <w:szCs w:val="21"/>
                <w:lang w:val="en-US" w:eastAsia="zh-CN" w:bidi="ar-SA"/>
              </w:rPr>
            </w:pPr>
            <w:r>
              <w:rPr>
                <w:rFonts w:hint="eastAsia"/>
                <w:color w:val="auto"/>
                <w:szCs w:val="21"/>
              </w:rPr>
              <w:t>7.0t/a</w:t>
            </w:r>
          </w:p>
        </w:tc>
        <w:tc>
          <w:tcPr>
            <w:tcW w:w="1125" w:type="dxa"/>
            <w:noWrap/>
            <w:vAlign w:val="center"/>
          </w:tcPr>
          <w:p w14:paraId="730618AE">
            <w:pPr>
              <w:pStyle w:val="63"/>
              <w:spacing w:beforeLines="0" w:afterLines="0" w:line="400" w:lineRule="exact"/>
              <w:ind w:firstLine="0" w:firstLineChars="0"/>
              <w:rPr>
                <w:rFonts w:ascii="Times New Roman"/>
                <w:color w:val="auto"/>
                <w:kern w:val="2"/>
                <w:szCs w:val="21"/>
              </w:rPr>
            </w:pPr>
            <w:r>
              <w:rPr>
                <w:rFonts w:ascii="Times New Roman"/>
                <w:color w:val="auto"/>
                <w:kern w:val="2"/>
                <w:szCs w:val="21"/>
              </w:rPr>
              <w:t>/</w:t>
            </w:r>
          </w:p>
        </w:tc>
        <w:tc>
          <w:tcPr>
            <w:tcW w:w="1800" w:type="dxa"/>
            <w:noWrap/>
            <w:vAlign w:val="center"/>
          </w:tcPr>
          <w:p w14:paraId="2C188BA6">
            <w:pPr>
              <w:spacing w:line="400" w:lineRule="exact"/>
              <w:jc w:val="center"/>
              <w:rPr>
                <w:color w:val="auto"/>
                <w:szCs w:val="21"/>
              </w:rPr>
            </w:pPr>
            <w:r>
              <w:rPr>
                <w:rFonts w:hint="eastAsia"/>
                <w:color w:val="auto"/>
                <w:szCs w:val="21"/>
              </w:rPr>
              <w:t>/</w:t>
            </w:r>
          </w:p>
        </w:tc>
        <w:tc>
          <w:tcPr>
            <w:tcW w:w="1665" w:type="dxa"/>
            <w:noWrap/>
            <w:vAlign w:val="center"/>
          </w:tcPr>
          <w:p w14:paraId="62911725">
            <w:pPr>
              <w:pStyle w:val="63"/>
              <w:spacing w:beforeLines="0" w:afterLines="0" w:line="400" w:lineRule="exact"/>
              <w:ind w:firstLine="0" w:firstLineChars="0"/>
              <w:rPr>
                <w:rFonts w:ascii="Times New Roman"/>
                <w:color w:val="auto"/>
                <w:kern w:val="2"/>
                <w:szCs w:val="21"/>
              </w:rPr>
            </w:pPr>
            <w:r>
              <w:rPr>
                <w:rFonts w:hint="eastAsia" w:ascii="Times New Roman"/>
                <w:color w:val="auto"/>
                <w:kern w:val="2"/>
                <w:szCs w:val="21"/>
              </w:rPr>
              <w:t>0</w:t>
            </w:r>
            <w:r>
              <w:rPr>
                <w:rFonts w:hint="eastAsia" w:ascii="Times New Roman"/>
                <w:color w:val="auto"/>
                <w:kern w:val="2"/>
                <w:szCs w:val="21"/>
                <w:lang w:val="en-US" w:eastAsia="zh-CN"/>
              </w:rPr>
              <w:t>.7</w:t>
            </w:r>
            <w:r>
              <w:rPr>
                <w:rFonts w:hint="eastAsia" w:ascii="Times New Roman"/>
                <w:color w:val="auto"/>
                <w:kern w:val="2"/>
                <w:szCs w:val="21"/>
              </w:rPr>
              <w:t xml:space="preserve"> t/a</w:t>
            </w:r>
          </w:p>
        </w:tc>
        <w:tc>
          <w:tcPr>
            <w:tcW w:w="1755" w:type="dxa"/>
            <w:noWrap/>
            <w:vAlign w:val="center"/>
          </w:tcPr>
          <w:p w14:paraId="124ECB8A">
            <w:pPr>
              <w:spacing w:line="400" w:lineRule="exact"/>
              <w:jc w:val="center"/>
              <w:rPr>
                <w:color w:val="auto"/>
                <w:szCs w:val="21"/>
              </w:rPr>
            </w:pPr>
            <w:r>
              <w:rPr>
                <w:rFonts w:hint="eastAsia"/>
                <w:color w:val="auto"/>
                <w:szCs w:val="21"/>
              </w:rPr>
              <w:t>/</w:t>
            </w:r>
          </w:p>
        </w:tc>
        <w:tc>
          <w:tcPr>
            <w:tcW w:w="2025" w:type="dxa"/>
            <w:noWrap/>
            <w:vAlign w:val="center"/>
          </w:tcPr>
          <w:p w14:paraId="76B02639">
            <w:pPr>
              <w:spacing w:line="400" w:lineRule="exact"/>
              <w:jc w:val="center"/>
              <w:rPr>
                <w:color w:val="auto"/>
                <w:szCs w:val="21"/>
              </w:rPr>
            </w:pPr>
            <w:r>
              <w:rPr>
                <w:rFonts w:hint="eastAsia"/>
                <w:color w:val="auto"/>
                <w:szCs w:val="21"/>
              </w:rPr>
              <w:t>7.</w:t>
            </w:r>
            <w:r>
              <w:rPr>
                <w:rFonts w:hint="eastAsia"/>
                <w:color w:val="auto"/>
                <w:szCs w:val="21"/>
                <w:lang w:val="en-US" w:eastAsia="zh-CN"/>
              </w:rPr>
              <w:t>7</w:t>
            </w:r>
            <w:r>
              <w:rPr>
                <w:rFonts w:hint="eastAsia"/>
                <w:color w:val="auto"/>
                <w:szCs w:val="21"/>
              </w:rPr>
              <w:t>t/a</w:t>
            </w:r>
          </w:p>
        </w:tc>
        <w:tc>
          <w:tcPr>
            <w:tcW w:w="1363" w:type="dxa"/>
            <w:noWrap/>
            <w:vAlign w:val="center"/>
          </w:tcPr>
          <w:p w14:paraId="5A22E0A4">
            <w:pPr>
              <w:spacing w:line="400" w:lineRule="exact"/>
              <w:jc w:val="center"/>
              <w:rPr>
                <w:color w:val="auto"/>
                <w:szCs w:val="21"/>
              </w:rPr>
            </w:pPr>
            <w:r>
              <w:rPr>
                <w:rFonts w:hint="eastAsia"/>
                <w:color w:val="auto"/>
                <w:szCs w:val="21"/>
                <w:lang w:val="en-US" w:eastAsia="zh-CN"/>
              </w:rPr>
              <w:t>+</w:t>
            </w:r>
            <w:r>
              <w:rPr>
                <w:rFonts w:hint="eastAsia"/>
                <w:color w:val="auto"/>
                <w:szCs w:val="21"/>
              </w:rPr>
              <w:t>0</w:t>
            </w:r>
            <w:r>
              <w:rPr>
                <w:rFonts w:hint="eastAsia"/>
                <w:color w:val="auto"/>
                <w:szCs w:val="21"/>
                <w:lang w:val="en-US" w:eastAsia="zh-CN"/>
              </w:rPr>
              <w:t>.7</w:t>
            </w:r>
            <w:r>
              <w:rPr>
                <w:color w:val="auto"/>
                <w:szCs w:val="21"/>
              </w:rPr>
              <w:t>t/a</w:t>
            </w:r>
          </w:p>
        </w:tc>
      </w:tr>
      <w:tr w14:paraId="78F96A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70" w:type="dxa"/>
            <w:vMerge w:val="continue"/>
            <w:noWrap/>
            <w:vAlign w:val="center"/>
          </w:tcPr>
          <w:p w14:paraId="655E57C4">
            <w:pPr>
              <w:spacing w:line="400" w:lineRule="exact"/>
              <w:jc w:val="center"/>
              <w:rPr>
                <w:color w:val="auto"/>
              </w:rPr>
            </w:pPr>
          </w:p>
        </w:tc>
        <w:tc>
          <w:tcPr>
            <w:tcW w:w="1875" w:type="dxa"/>
            <w:noWrap/>
            <w:vAlign w:val="center"/>
          </w:tcPr>
          <w:p w14:paraId="6FD96428">
            <w:pPr>
              <w:spacing w:line="400" w:lineRule="exact"/>
              <w:jc w:val="center"/>
              <w:rPr>
                <w:color w:val="auto"/>
                <w:szCs w:val="21"/>
              </w:rPr>
            </w:pPr>
            <w:r>
              <w:rPr>
                <w:rFonts w:hint="eastAsia"/>
                <w:color w:val="auto"/>
                <w:szCs w:val="21"/>
              </w:rPr>
              <w:t>废油桶</w:t>
            </w:r>
          </w:p>
        </w:tc>
        <w:tc>
          <w:tcPr>
            <w:tcW w:w="1755" w:type="dxa"/>
            <w:shd w:val="clear" w:color="auto" w:fill="auto"/>
            <w:noWrap/>
            <w:vAlign w:val="center"/>
          </w:tcPr>
          <w:p w14:paraId="1D2CAE30">
            <w:pPr>
              <w:spacing w:line="400" w:lineRule="exact"/>
              <w:jc w:val="center"/>
              <w:rPr>
                <w:rFonts w:ascii="Times New Roman" w:hAnsi="Times New Roman" w:eastAsia="宋体" w:cs="Times New Roman"/>
                <w:color w:val="auto"/>
                <w:kern w:val="2"/>
                <w:sz w:val="21"/>
                <w:szCs w:val="21"/>
                <w:lang w:val="en-US" w:eastAsia="zh-CN" w:bidi="ar-SA"/>
              </w:rPr>
            </w:pPr>
            <w:r>
              <w:rPr>
                <w:rFonts w:hint="eastAsia"/>
                <w:color w:val="auto"/>
                <w:szCs w:val="21"/>
              </w:rPr>
              <w:t>1.03t/a</w:t>
            </w:r>
          </w:p>
        </w:tc>
        <w:tc>
          <w:tcPr>
            <w:tcW w:w="1125" w:type="dxa"/>
            <w:noWrap/>
            <w:vAlign w:val="center"/>
          </w:tcPr>
          <w:p w14:paraId="3BB0374A">
            <w:pPr>
              <w:pStyle w:val="63"/>
              <w:spacing w:beforeLines="0" w:afterLines="0" w:line="400" w:lineRule="exact"/>
              <w:ind w:firstLine="0" w:firstLineChars="0"/>
              <w:rPr>
                <w:rFonts w:ascii="Times New Roman"/>
                <w:color w:val="auto"/>
                <w:kern w:val="2"/>
                <w:szCs w:val="21"/>
              </w:rPr>
            </w:pPr>
            <w:r>
              <w:rPr>
                <w:rFonts w:ascii="Times New Roman"/>
                <w:color w:val="auto"/>
                <w:kern w:val="2"/>
                <w:szCs w:val="21"/>
              </w:rPr>
              <w:t>/</w:t>
            </w:r>
          </w:p>
        </w:tc>
        <w:tc>
          <w:tcPr>
            <w:tcW w:w="1800" w:type="dxa"/>
            <w:noWrap/>
            <w:vAlign w:val="center"/>
          </w:tcPr>
          <w:p w14:paraId="7B571827">
            <w:pPr>
              <w:spacing w:line="400" w:lineRule="exact"/>
              <w:jc w:val="center"/>
              <w:rPr>
                <w:color w:val="auto"/>
                <w:szCs w:val="21"/>
              </w:rPr>
            </w:pPr>
            <w:r>
              <w:rPr>
                <w:rFonts w:hint="eastAsia"/>
                <w:color w:val="auto"/>
                <w:szCs w:val="21"/>
              </w:rPr>
              <w:t>/</w:t>
            </w:r>
          </w:p>
        </w:tc>
        <w:tc>
          <w:tcPr>
            <w:tcW w:w="1665" w:type="dxa"/>
            <w:noWrap/>
            <w:vAlign w:val="center"/>
          </w:tcPr>
          <w:p w14:paraId="27500633">
            <w:pPr>
              <w:pStyle w:val="63"/>
              <w:spacing w:beforeLines="0" w:afterLines="0" w:line="400" w:lineRule="exact"/>
              <w:ind w:firstLine="0" w:firstLineChars="0"/>
              <w:rPr>
                <w:rFonts w:ascii="Times New Roman"/>
                <w:color w:val="auto"/>
                <w:kern w:val="2"/>
                <w:szCs w:val="21"/>
              </w:rPr>
            </w:pPr>
            <w:r>
              <w:rPr>
                <w:rFonts w:hint="eastAsia" w:ascii="Times New Roman"/>
                <w:color w:val="auto"/>
                <w:kern w:val="2"/>
                <w:szCs w:val="21"/>
              </w:rPr>
              <w:t>0.</w:t>
            </w:r>
            <w:r>
              <w:rPr>
                <w:rFonts w:hint="eastAsia" w:ascii="Times New Roman"/>
                <w:color w:val="auto"/>
                <w:kern w:val="2"/>
                <w:szCs w:val="21"/>
                <w:lang w:val="en-US" w:eastAsia="zh-CN"/>
              </w:rPr>
              <w:t>12</w:t>
            </w:r>
            <w:r>
              <w:rPr>
                <w:rFonts w:hint="eastAsia" w:ascii="Times New Roman"/>
                <w:color w:val="auto"/>
                <w:kern w:val="2"/>
                <w:szCs w:val="21"/>
              </w:rPr>
              <w:t>t/a</w:t>
            </w:r>
          </w:p>
        </w:tc>
        <w:tc>
          <w:tcPr>
            <w:tcW w:w="1755" w:type="dxa"/>
            <w:noWrap/>
            <w:vAlign w:val="center"/>
          </w:tcPr>
          <w:p w14:paraId="3B03C598">
            <w:pPr>
              <w:spacing w:line="400" w:lineRule="exact"/>
              <w:jc w:val="center"/>
              <w:rPr>
                <w:color w:val="auto"/>
                <w:szCs w:val="21"/>
              </w:rPr>
            </w:pPr>
            <w:r>
              <w:rPr>
                <w:rFonts w:hint="eastAsia"/>
                <w:color w:val="auto"/>
                <w:szCs w:val="21"/>
              </w:rPr>
              <w:t>/</w:t>
            </w:r>
          </w:p>
        </w:tc>
        <w:tc>
          <w:tcPr>
            <w:tcW w:w="2025" w:type="dxa"/>
            <w:noWrap/>
            <w:vAlign w:val="center"/>
          </w:tcPr>
          <w:p w14:paraId="380FEB7F">
            <w:pPr>
              <w:spacing w:line="400" w:lineRule="exact"/>
              <w:jc w:val="center"/>
              <w:rPr>
                <w:color w:val="auto"/>
                <w:szCs w:val="21"/>
              </w:rPr>
            </w:pPr>
            <w:r>
              <w:rPr>
                <w:rFonts w:hint="eastAsia"/>
                <w:color w:val="auto"/>
                <w:szCs w:val="21"/>
              </w:rPr>
              <w:t>1.</w:t>
            </w:r>
            <w:r>
              <w:rPr>
                <w:rFonts w:hint="eastAsia"/>
                <w:color w:val="auto"/>
                <w:szCs w:val="21"/>
                <w:lang w:val="en-US" w:eastAsia="zh-CN"/>
              </w:rPr>
              <w:t>15</w:t>
            </w:r>
            <w:r>
              <w:rPr>
                <w:rFonts w:hint="eastAsia"/>
                <w:color w:val="auto"/>
                <w:szCs w:val="21"/>
              </w:rPr>
              <w:t>t/a</w:t>
            </w:r>
          </w:p>
        </w:tc>
        <w:tc>
          <w:tcPr>
            <w:tcW w:w="1363" w:type="dxa"/>
            <w:noWrap/>
            <w:vAlign w:val="center"/>
          </w:tcPr>
          <w:p w14:paraId="5B18C76D">
            <w:pPr>
              <w:spacing w:line="400" w:lineRule="exact"/>
              <w:jc w:val="center"/>
              <w:rPr>
                <w:color w:val="auto"/>
                <w:szCs w:val="21"/>
              </w:rPr>
            </w:pPr>
            <w:r>
              <w:rPr>
                <w:color w:val="auto"/>
                <w:szCs w:val="21"/>
              </w:rPr>
              <w:t>+</w:t>
            </w:r>
            <w:r>
              <w:rPr>
                <w:rFonts w:hint="eastAsia"/>
                <w:color w:val="auto"/>
                <w:szCs w:val="21"/>
              </w:rPr>
              <w:t>0.</w:t>
            </w:r>
            <w:r>
              <w:rPr>
                <w:rFonts w:hint="eastAsia"/>
                <w:color w:val="auto"/>
                <w:szCs w:val="21"/>
                <w:lang w:val="en-US" w:eastAsia="zh-CN"/>
              </w:rPr>
              <w:t>12</w:t>
            </w:r>
            <w:r>
              <w:rPr>
                <w:rFonts w:hint="eastAsia"/>
                <w:color w:val="auto"/>
                <w:szCs w:val="21"/>
              </w:rPr>
              <w:t>t/a</w:t>
            </w:r>
          </w:p>
        </w:tc>
      </w:tr>
      <w:tr w14:paraId="66C9A5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70" w:type="dxa"/>
            <w:vMerge w:val="continue"/>
            <w:noWrap/>
            <w:vAlign w:val="center"/>
          </w:tcPr>
          <w:p w14:paraId="7A25D553">
            <w:pPr>
              <w:spacing w:line="400" w:lineRule="exact"/>
              <w:jc w:val="center"/>
              <w:rPr>
                <w:color w:val="auto"/>
                <w:szCs w:val="21"/>
              </w:rPr>
            </w:pPr>
          </w:p>
        </w:tc>
        <w:tc>
          <w:tcPr>
            <w:tcW w:w="1875" w:type="dxa"/>
            <w:noWrap/>
            <w:vAlign w:val="center"/>
          </w:tcPr>
          <w:p w14:paraId="08996143">
            <w:pPr>
              <w:spacing w:line="400" w:lineRule="exact"/>
              <w:jc w:val="center"/>
              <w:rPr>
                <w:color w:val="auto"/>
                <w:szCs w:val="21"/>
              </w:rPr>
            </w:pPr>
            <w:r>
              <w:rPr>
                <w:color w:val="auto"/>
                <w:szCs w:val="21"/>
              </w:rPr>
              <w:t>废油毡</w:t>
            </w:r>
          </w:p>
        </w:tc>
        <w:tc>
          <w:tcPr>
            <w:tcW w:w="1755" w:type="dxa"/>
            <w:noWrap/>
            <w:vAlign w:val="center"/>
          </w:tcPr>
          <w:p w14:paraId="0002BF1B">
            <w:pPr>
              <w:pStyle w:val="63"/>
              <w:spacing w:beforeLines="0" w:afterLines="0" w:line="400" w:lineRule="exact"/>
              <w:ind w:firstLine="0" w:firstLineChars="0"/>
              <w:rPr>
                <w:rFonts w:ascii="Times New Roman"/>
                <w:color w:val="auto"/>
                <w:kern w:val="2"/>
                <w:szCs w:val="21"/>
              </w:rPr>
            </w:pPr>
            <w:r>
              <w:rPr>
                <w:rFonts w:hint="eastAsia" w:ascii="Times New Roman"/>
                <w:color w:val="auto"/>
                <w:kern w:val="2"/>
                <w:szCs w:val="21"/>
              </w:rPr>
              <w:t>0.2t/a</w:t>
            </w:r>
          </w:p>
        </w:tc>
        <w:tc>
          <w:tcPr>
            <w:tcW w:w="1125" w:type="dxa"/>
            <w:noWrap/>
            <w:vAlign w:val="center"/>
          </w:tcPr>
          <w:p w14:paraId="57E1B8FE">
            <w:pPr>
              <w:pStyle w:val="63"/>
              <w:spacing w:beforeLines="0" w:afterLines="0" w:line="400" w:lineRule="exact"/>
              <w:ind w:firstLine="0" w:firstLineChars="0"/>
              <w:rPr>
                <w:rFonts w:ascii="Times New Roman"/>
                <w:color w:val="auto"/>
                <w:kern w:val="2"/>
                <w:szCs w:val="21"/>
              </w:rPr>
            </w:pPr>
            <w:r>
              <w:rPr>
                <w:rFonts w:ascii="Times New Roman"/>
                <w:color w:val="auto"/>
                <w:kern w:val="2"/>
                <w:szCs w:val="21"/>
              </w:rPr>
              <w:t>/</w:t>
            </w:r>
          </w:p>
        </w:tc>
        <w:tc>
          <w:tcPr>
            <w:tcW w:w="1800" w:type="dxa"/>
            <w:noWrap/>
            <w:vAlign w:val="center"/>
          </w:tcPr>
          <w:p w14:paraId="314C7FB9">
            <w:pPr>
              <w:spacing w:line="400" w:lineRule="exact"/>
              <w:jc w:val="center"/>
              <w:rPr>
                <w:color w:val="auto"/>
                <w:szCs w:val="21"/>
              </w:rPr>
            </w:pPr>
            <w:r>
              <w:rPr>
                <w:rFonts w:hint="eastAsia"/>
                <w:color w:val="auto"/>
                <w:szCs w:val="21"/>
              </w:rPr>
              <w:t>/</w:t>
            </w:r>
          </w:p>
        </w:tc>
        <w:tc>
          <w:tcPr>
            <w:tcW w:w="1665" w:type="dxa"/>
            <w:noWrap/>
            <w:vAlign w:val="center"/>
          </w:tcPr>
          <w:p w14:paraId="7D9359B0">
            <w:pPr>
              <w:pStyle w:val="63"/>
              <w:spacing w:beforeLines="0" w:afterLines="0" w:line="400" w:lineRule="exact"/>
              <w:ind w:firstLine="0" w:firstLineChars="0"/>
              <w:rPr>
                <w:rFonts w:ascii="Times New Roman"/>
                <w:color w:val="auto"/>
                <w:kern w:val="2"/>
                <w:szCs w:val="21"/>
              </w:rPr>
            </w:pPr>
            <w:r>
              <w:rPr>
                <w:rFonts w:hint="eastAsia" w:ascii="Times New Roman"/>
                <w:color w:val="auto"/>
                <w:kern w:val="2"/>
                <w:szCs w:val="21"/>
              </w:rPr>
              <w:t>0 t/a</w:t>
            </w:r>
          </w:p>
        </w:tc>
        <w:tc>
          <w:tcPr>
            <w:tcW w:w="1755" w:type="dxa"/>
            <w:noWrap/>
            <w:vAlign w:val="center"/>
          </w:tcPr>
          <w:p w14:paraId="137444EB">
            <w:pPr>
              <w:spacing w:line="400" w:lineRule="exact"/>
              <w:jc w:val="center"/>
              <w:rPr>
                <w:color w:val="auto"/>
                <w:szCs w:val="21"/>
              </w:rPr>
            </w:pPr>
            <w:r>
              <w:rPr>
                <w:rFonts w:hint="eastAsia"/>
                <w:color w:val="auto"/>
                <w:szCs w:val="21"/>
              </w:rPr>
              <w:t>/</w:t>
            </w:r>
          </w:p>
        </w:tc>
        <w:tc>
          <w:tcPr>
            <w:tcW w:w="2025" w:type="dxa"/>
            <w:noWrap/>
            <w:vAlign w:val="center"/>
          </w:tcPr>
          <w:p w14:paraId="5544374F">
            <w:pPr>
              <w:spacing w:line="400" w:lineRule="exact"/>
              <w:jc w:val="center"/>
              <w:rPr>
                <w:color w:val="auto"/>
                <w:szCs w:val="21"/>
              </w:rPr>
            </w:pPr>
            <w:r>
              <w:rPr>
                <w:rFonts w:hint="eastAsia"/>
                <w:color w:val="auto"/>
                <w:szCs w:val="21"/>
              </w:rPr>
              <w:t>0.2t/a</w:t>
            </w:r>
          </w:p>
        </w:tc>
        <w:tc>
          <w:tcPr>
            <w:tcW w:w="1363" w:type="dxa"/>
            <w:noWrap/>
            <w:vAlign w:val="center"/>
          </w:tcPr>
          <w:p w14:paraId="40B013F6">
            <w:pPr>
              <w:spacing w:line="400" w:lineRule="exact"/>
              <w:jc w:val="center"/>
              <w:rPr>
                <w:color w:val="auto"/>
                <w:szCs w:val="21"/>
              </w:rPr>
            </w:pPr>
            <w:r>
              <w:rPr>
                <w:rFonts w:hint="eastAsia"/>
                <w:color w:val="auto"/>
                <w:szCs w:val="21"/>
              </w:rPr>
              <w:t>0 t/a</w:t>
            </w:r>
          </w:p>
        </w:tc>
      </w:tr>
      <w:tr w14:paraId="617469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70" w:type="dxa"/>
            <w:vMerge w:val="continue"/>
            <w:noWrap/>
            <w:vAlign w:val="center"/>
          </w:tcPr>
          <w:p w14:paraId="6F5C5DD1">
            <w:pPr>
              <w:spacing w:line="400" w:lineRule="exact"/>
              <w:jc w:val="center"/>
              <w:rPr>
                <w:color w:val="auto"/>
                <w:szCs w:val="21"/>
              </w:rPr>
            </w:pPr>
          </w:p>
        </w:tc>
        <w:tc>
          <w:tcPr>
            <w:tcW w:w="1875" w:type="dxa"/>
            <w:noWrap/>
            <w:vAlign w:val="center"/>
          </w:tcPr>
          <w:p w14:paraId="42D14A92">
            <w:pPr>
              <w:spacing w:line="400" w:lineRule="exact"/>
              <w:jc w:val="center"/>
              <w:rPr>
                <w:color w:val="auto"/>
                <w:szCs w:val="21"/>
              </w:rPr>
            </w:pPr>
            <w:r>
              <w:rPr>
                <w:color w:val="auto"/>
                <w:szCs w:val="21"/>
              </w:rPr>
              <w:t>废含油抹布</w:t>
            </w:r>
          </w:p>
        </w:tc>
        <w:tc>
          <w:tcPr>
            <w:tcW w:w="1755" w:type="dxa"/>
            <w:noWrap/>
            <w:vAlign w:val="center"/>
          </w:tcPr>
          <w:p w14:paraId="69779430">
            <w:pPr>
              <w:pStyle w:val="63"/>
              <w:spacing w:beforeLines="0" w:afterLines="0" w:line="400" w:lineRule="exact"/>
              <w:ind w:firstLine="0" w:firstLineChars="0"/>
              <w:rPr>
                <w:rFonts w:ascii="Times New Roman"/>
                <w:color w:val="auto"/>
                <w:kern w:val="2"/>
                <w:szCs w:val="21"/>
              </w:rPr>
            </w:pPr>
            <w:r>
              <w:rPr>
                <w:rFonts w:hint="eastAsia" w:ascii="Times New Roman"/>
                <w:color w:val="auto"/>
                <w:kern w:val="2"/>
                <w:szCs w:val="21"/>
              </w:rPr>
              <w:t>0.05t/a</w:t>
            </w:r>
          </w:p>
        </w:tc>
        <w:tc>
          <w:tcPr>
            <w:tcW w:w="1125" w:type="dxa"/>
            <w:noWrap/>
            <w:vAlign w:val="center"/>
          </w:tcPr>
          <w:p w14:paraId="04C24C87">
            <w:pPr>
              <w:pStyle w:val="63"/>
              <w:spacing w:beforeLines="0" w:afterLines="0" w:line="400" w:lineRule="exact"/>
              <w:ind w:firstLine="0" w:firstLineChars="0"/>
              <w:rPr>
                <w:rFonts w:ascii="Times New Roman"/>
                <w:color w:val="auto"/>
                <w:kern w:val="2"/>
                <w:szCs w:val="21"/>
              </w:rPr>
            </w:pPr>
            <w:r>
              <w:rPr>
                <w:rFonts w:ascii="Times New Roman"/>
                <w:color w:val="auto"/>
                <w:kern w:val="2"/>
                <w:szCs w:val="21"/>
              </w:rPr>
              <w:t>/</w:t>
            </w:r>
          </w:p>
        </w:tc>
        <w:tc>
          <w:tcPr>
            <w:tcW w:w="1800" w:type="dxa"/>
            <w:noWrap/>
            <w:vAlign w:val="center"/>
          </w:tcPr>
          <w:p w14:paraId="4F851C8E">
            <w:pPr>
              <w:spacing w:line="400" w:lineRule="exact"/>
              <w:jc w:val="center"/>
              <w:rPr>
                <w:color w:val="auto"/>
                <w:szCs w:val="21"/>
              </w:rPr>
            </w:pPr>
            <w:r>
              <w:rPr>
                <w:rFonts w:hint="eastAsia"/>
                <w:color w:val="auto"/>
                <w:szCs w:val="21"/>
              </w:rPr>
              <w:t>/</w:t>
            </w:r>
          </w:p>
        </w:tc>
        <w:tc>
          <w:tcPr>
            <w:tcW w:w="1665" w:type="dxa"/>
            <w:noWrap/>
            <w:vAlign w:val="center"/>
          </w:tcPr>
          <w:p w14:paraId="1FC5DCE3">
            <w:pPr>
              <w:pStyle w:val="63"/>
              <w:spacing w:beforeLines="0" w:afterLines="0" w:line="400" w:lineRule="exact"/>
              <w:ind w:firstLine="0" w:firstLineChars="0"/>
              <w:rPr>
                <w:rFonts w:ascii="Times New Roman"/>
                <w:color w:val="auto"/>
                <w:kern w:val="2"/>
                <w:szCs w:val="21"/>
              </w:rPr>
            </w:pPr>
            <w:r>
              <w:rPr>
                <w:rFonts w:hint="eastAsia" w:ascii="Times New Roman"/>
                <w:color w:val="auto"/>
                <w:kern w:val="2"/>
                <w:szCs w:val="21"/>
              </w:rPr>
              <w:t>0</w:t>
            </w:r>
            <w:r>
              <w:rPr>
                <w:rFonts w:hint="eastAsia" w:ascii="Times New Roman"/>
                <w:color w:val="auto"/>
                <w:kern w:val="2"/>
                <w:szCs w:val="21"/>
                <w:lang w:val="en-US" w:eastAsia="zh-CN"/>
              </w:rPr>
              <w:t>.05</w:t>
            </w:r>
            <w:r>
              <w:rPr>
                <w:rFonts w:hint="eastAsia" w:ascii="Times New Roman"/>
                <w:color w:val="auto"/>
                <w:kern w:val="2"/>
                <w:szCs w:val="21"/>
              </w:rPr>
              <w:t>t/a</w:t>
            </w:r>
          </w:p>
        </w:tc>
        <w:tc>
          <w:tcPr>
            <w:tcW w:w="1755" w:type="dxa"/>
            <w:noWrap/>
            <w:vAlign w:val="center"/>
          </w:tcPr>
          <w:p w14:paraId="2907D5A4">
            <w:pPr>
              <w:spacing w:line="400" w:lineRule="exact"/>
              <w:jc w:val="center"/>
              <w:rPr>
                <w:color w:val="auto"/>
                <w:szCs w:val="21"/>
              </w:rPr>
            </w:pPr>
            <w:r>
              <w:rPr>
                <w:rFonts w:hint="eastAsia"/>
                <w:color w:val="auto"/>
                <w:szCs w:val="21"/>
              </w:rPr>
              <w:t>/</w:t>
            </w:r>
          </w:p>
        </w:tc>
        <w:tc>
          <w:tcPr>
            <w:tcW w:w="2025" w:type="dxa"/>
            <w:noWrap/>
            <w:vAlign w:val="center"/>
          </w:tcPr>
          <w:p w14:paraId="11B5E1C6">
            <w:pPr>
              <w:spacing w:line="400" w:lineRule="exact"/>
              <w:jc w:val="center"/>
              <w:rPr>
                <w:color w:val="auto"/>
                <w:szCs w:val="21"/>
              </w:rPr>
            </w:pPr>
            <w:r>
              <w:rPr>
                <w:rFonts w:hint="eastAsia"/>
                <w:color w:val="auto"/>
                <w:szCs w:val="21"/>
              </w:rPr>
              <w:t>0.</w:t>
            </w:r>
            <w:r>
              <w:rPr>
                <w:rFonts w:hint="eastAsia"/>
                <w:color w:val="auto"/>
                <w:szCs w:val="21"/>
                <w:lang w:val="en-US" w:eastAsia="zh-CN"/>
              </w:rPr>
              <w:t>1</w:t>
            </w:r>
            <w:r>
              <w:rPr>
                <w:rFonts w:hint="eastAsia"/>
                <w:color w:val="auto"/>
                <w:szCs w:val="21"/>
              </w:rPr>
              <w:t>t/a</w:t>
            </w:r>
          </w:p>
        </w:tc>
        <w:tc>
          <w:tcPr>
            <w:tcW w:w="1363" w:type="dxa"/>
            <w:noWrap/>
            <w:vAlign w:val="center"/>
          </w:tcPr>
          <w:p w14:paraId="7C5A2C03">
            <w:pPr>
              <w:spacing w:line="400" w:lineRule="exact"/>
              <w:jc w:val="center"/>
              <w:rPr>
                <w:color w:val="auto"/>
                <w:szCs w:val="21"/>
              </w:rPr>
            </w:pPr>
            <w:r>
              <w:rPr>
                <w:rFonts w:hint="eastAsia"/>
                <w:color w:val="auto"/>
                <w:szCs w:val="21"/>
              </w:rPr>
              <w:t>0</w:t>
            </w:r>
            <w:r>
              <w:rPr>
                <w:rFonts w:hint="eastAsia"/>
                <w:color w:val="auto"/>
                <w:szCs w:val="21"/>
                <w:lang w:val="en-US" w:eastAsia="zh-CN"/>
              </w:rPr>
              <w:t>.05</w:t>
            </w:r>
            <w:r>
              <w:rPr>
                <w:rFonts w:hint="eastAsia"/>
                <w:color w:val="auto"/>
                <w:szCs w:val="21"/>
              </w:rPr>
              <w:t xml:space="preserve"> t/a</w:t>
            </w:r>
          </w:p>
        </w:tc>
      </w:tr>
      <w:tr w14:paraId="780C6E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70" w:type="dxa"/>
            <w:vMerge w:val="continue"/>
            <w:noWrap/>
            <w:vAlign w:val="center"/>
          </w:tcPr>
          <w:p w14:paraId="00AF9CCA">
            <w:pPr>
              <w:spacing w:line="400" w:lineRule="exact"/>
              <w:jc w:val="center"/>
              <w:rPr>
                <w:color w:val="auto"/>
                <w:szCs w:val="21"/>
              </w:rPr>
            </w:pPr>
          </w:p>
        </w:tc>
        <w:tc>
          <w:tcPr>
            <w:tcW w:w="1875" w:type="dxa"/>
            <w:noWrap/>
            <w:vAlign w:val="center"/>
          </w:tcPr>
          <w:p w14:paraId="18AC4D67">
            <w:pPr>
              <w:spacing w:line="400" w:lineRule="exact"/>
              <w:jc w:val="center"/>
              <w:rPr>
                <w:color w:val="auto"/>
                <w:szCs w:val="21"/>
              </w:rPr>
            </w:pPr>
            <w:r>
              <w:rPr>
                <w:color w:val="auto"/>
                <w:szCs w:val="21"/>
              </w:rPr>
              <w:t>废滤芯</w:t>
            </w:r>
          </w:p>
        </w:tc>
        <w:tc>
          <w:tcPr>
            <w:tcW w:w="1755" w:type="dxa"/>
            <w:noWrap/>
            <w:vAlign w:val="center"/>
          </w:tcPr>
          <w:p w14:paraId="30B1577B">
            <w:pPr>
              <w:pStyle w:val="63"/>
              <w:spacing w:beforeLines="0" w:afterLines="0" w:line="400" w:lineRule="exact"/>
              <w:ind w:firstLine="0" w:firstLineChars="0"/>
              <w:rPr>
                <w:rFonts w:ascii="Times New Roman"/>
                <w:color w:val="auto"/>
                <w:kern w:val="2"/>
                <w:szCs w:val="21"/>
              </w:rPr>
            </w:pPr>
            <w:r>
              <w:rPr>
                <w:rFonts w:hint="eastAsia" w:ascii="Times New Roman"/>
                <w:color w:val="auto"/>
                <w:kern w:val="2"/>
                <w:szCs w:val="21"/>
              </w:rPr>
              <w:t>0.01t/a</w:t>
            </w:r>
          </w:p>
        </w:tc>
        <w:tc>
          <w:tcPr>
            <w:tcW w:w="1125" w:type="dxa"/>
            <w:noWrap/>
            <w:vAlign w:val="center"/>
          </w:tcPr>
          <w:p w14:paraId="0C2D656D">
            <w:pPr>
              <w:pStyle w:val="63"/>
              <w:spacing w:beforeLines="0" w:afterLines="0" w:line="400" w:lineRule="exact"/>
              <w:ind w:firstLine="0" w:firstLineChars="0"/>
              <w:rPr>
                <w:rFonts w:ascii="Times New Roman"/>
                <w:color w:val="auto"/>
                <w:kern w:val="2"/>
                <w:szCs w:val="21"/>
              </w:rPr>
            </w:pPr>
            <w:r>
              <w:rPr>
                <w:rFonts w:ascii="Times New Roman"/>
                <w:color w:val="auto"/>
                <w:kern w:val="2"/>
                <w:szCs w:val="21"/>
              </w:rPr>
              <w:t>/</w:t>
            </w:r>
          </w:p>
        </w:tc>
        <w:tc>
          <w:tcPr>
            <w:tcW w:w="1800" w:type="dxa"/>
            <w:noWrap/>
            <w:vAlign w:val="center"/>
          </w:tcPr>
          <w:p w14:paraId="5A629B08">
            <w:pPr>
              <w:spacing w:line="400" w:lineRule="exact"/>
              <w:jc w:val="center"/>
              <w:rPr>
                <w:color w:val="auto"/>
                <w:szCs w:val="21"/>
              </w:rPr>
            </w:pPr>
            <w:r>
              <w:rPr>
                <w:rFonts w:hint="eastAsia"/>
                <w:color w:val="auto"/>
                <w:szCs w:val="21"/>
              </w:rPr>
              <w:t>/</w:t>
            </w:r>
          </w:p>
        </w:tc>
        <w:tc>
          <w:tcPr>
            <w:tcW w:w="1665" w:type="dxa"/>
            <w:noWrap/>
            <w:vAlign w:val="center"/>
          </w:tcPr>
          <w:p w14:paraId="2AA7C98B">
            <w:pPr>
              <w:pStyle w:val="63"/>
              <w:spacing w:beforeLines="0" w:afterLines="0" w:line="400" w:lineRule="exact"/>
              <w:ind w:firstLine="0" w:firstLineChars="0"/>
              <w:rPr>
                <w:rFonts w:ascii="Times New Roman"/>
                <w:color w:val="auto"/>
                <w:kern w:val="2"/>
                <w:szCs w:val="21"/>
              </w:rPr>
            </w:pPr>
            <w:r>
              <w:rPr>
                <w:rFonts w:hint="eastAsia" w:ascii="Times New Roman"/>
                <w:color w:val="auto"/>
                <w:kern w:val="2"/>
                <w:szCs w:val="21"/>
              </w:rPr>
              <w:t>0 t/a</w:t>
            </w:r>
          </w:p>
        </w:tc>
        <w:tc>
          <w:tcPr>
            <w:tcW w:w="1755" w:type="dxa"/>
            <w:noWrap/>
            <w:vAlign w:val="center"/>
          </w:tcPr>
          <w:p w14:paraId="75FA46FC">
            <w:pPr>
              <w:spacing w:line="400" w:lineRule="exact"/>
              <w:jc w:val="center"/>
              <w:rPr>
                <w:color w:val="auto"/>
                <w:szCs w:val="21"/>
              </w:rPr>
            </w:pPr>
            <w:r>
              <w:rPr>
                <w:rFonts w:hint="eastAsia"/>
                <w:color w:val="auto"/>
                <w:szCs w:val="21"/>
              </w:rPr>
              <w:t>/</w:t>
            </w:r>
          </w:p>
        </w:tc>
        <w:tc>
          <w:tcPr>
            <w:tcW w:w="2025" w:type="dxa"/>
            <w:noWrap/>
            <w:vAlign w:val="center"/>
          </w:tcPr>
          <w:p w14:paraId="63FCE792">
            <w:pPr>
              <w:spacing w:line="400" w:lineRule="exact"/>
              <w:jc w:val="center"/>
              <w:rPr>
                <w:b/>
                <w:bCs/>
                <w:color w:val="auto"/>
                <w:szCs w:val="21"/>
              </w:rPr>
            </w:pPr>
            <w:r>
              <w:rPr>
                <w:rFonts w:hint="eastAsia"/>
                <w:color w:val="auto"/>
                <w:szCs w:val="21"/>
              </w:rPr>
              <w:t>0.01</w:t>
            </w:r>
            <w:r>
              <w:rPr>
                <w:color w:val="auto"/>
                <w:szCs w:val="21"/>
              </w:rPr>
              <w:t>t/a</w:t>
            </w:r>
          </w:p>
        </w:tc>
        <w:tc>
          <w:tcPr>
            <w:tcW w:w="1363" w:type="dxa"/>
            <w:noWrap/>
            <w:vAlign w:val="center"/>
          </w:tcPr>
          <w:p w14:paraId="2ECA31F7">
            <w:pPr>
              <w:spacing w:line="400" w:lineRule="exact"/>
              <w:jc w:val="center"/>
              <w:rPr>
                <w:color w:val="auto"/>
                <w:szCs w:val="21"/>
              </w:rPr>
            </w:pPr>
            <w:r>
              <w:rPr>
                <w:rFonts w:hint="eastAsia"/>
                <w:color w:val="auto"/>
                <w:szCs w:val="21"/>
              </w:rPr>
              <w:t>0</w:t>
            </w:r>
            <w:r>
              <w:rPr>
                <w:color w:val="auto"/>
                <w:szCs w:val="21"/>
              </w:rPr>
              <w:t>t/a</w:t>
            </w:r>
          </w:p>
        </w:tc>
      </w:tr>
      <w:tr w14:paraId="15A17B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70" w:type="dxa"/>
            <w:vMerge w:val="continue"/>
            <w:noWrap/>
            <w:vAlign w:val="center"/>
          </w:tcPr>
          <w:p w14:paraId="2ED3C72E">
            <w:pPr>
              <w:spacing w:line="400" w:lineRule="exact"/>
              <w:jc w:val="center"/>
              <w:rPr>
                <w:color w:val="auto"/>
                <w:szCs w:val="21"/>
              </w:rPr>
            </w:pPr>
          </w:p>
        </w:tc>
        <w:tc>
          <w:tcPr>
            <w:tcW w:w="1875" w:type="dxa"/>
            <w:noWrap/>
            <w:vAlign w:val="center"/>
          </w:tcPr>
          <w:p w14:paraId="0E7A1DA1">
            <w:pPr>
              <w:spacing w:line="400" w:lineRule="exact"/>
              <w:jc w:val="center"/>
              <w:rPr>
                <w:color w:val="auto"/>
                <w:szCs w:val="21"/>
              </w:rPr>
            </w:pPr>
            <w:r>
              <w:rPr>
                <w:rFonts w:hint="eastAsia"/>
                <w:color w:val="auto"/>
                <w:szCs w:val="21"/>
              </w:rPr>
              <w:t>废活性炭</w:t>
            </w:r>
          </w:p>
        </w:tc>
        <w:tc>
          <w:tcPr>
            <w:tcW w:w="1755" w:type="dxa"/>
            <w:noWrap/>
            <w:vAlign w:val="center"/>
          </w:tcPr>
          <w:p w14:paraId="09DE2EFC">
            <w:pPr>
              <w:pStyle w:val="63"/>
              <w:spacing w:beforeLines="0" w:afterLines="0" w:line="400" w:lineRule="exact"/>
              <w:ind w:firstLine="0" w:firstLineChars="0"/>
              <w:rPr>
                <w:rFonts w:ascii="Times New Roman"/>
                <w:color w:val="auto"/>
                <w:kern w:val="2"/>
                <w:szCs w:val="21"/>
              </w:rPr>
            </w:pPr>
            <w:r>
              <w:rPr>
                <w:rFonts w:hint="eastAsia" w:ascii="Times New Roman"/>
                <w:color w:val="auto"/>
                <w:kern w:val="2"/>
                <w:szCs w:val="21"/>
              </w:rPr>
              <w:t>0.5t/a</w:t>
            </w:r>
          </w:p>
        </w:tc>
        <w:tc>
          <w:tcPr>
            <w:tcW w:w="1125" w:type="dxa"/>
            <w:noWrap/>
            <w:vAlign w:val="center"/>
          </w:tcPr>
          <w:p w14:paraId="7EA70CB8">
            <w:pPr>
              <w:pStyle w:val="63"/>
              <w:spacing w:beforeLines="0" w:afterLines="0" w:line="400" w:lineRule="exact"/>
              <w:ind w:firstLine="0" w:firstLineChars="0"/>
              <w:rPr>
                <w:rFonts w:ascii="Times New Roman"/>
                <w:color w:val="auto"/>
                <w:kern w:val="2"/>
                <w:szCs w:val="21"/>
              </w:rPr>
            </w:pPr>
            <w:r>
              <w:rPr>
                <w:rFonts w:ascii="Times New Roman"/>
                <w:color w:val="auto"/>
                <w:kern w:val="2"/>
                <w:szCs w:val="21"/>
              </w:rPr>
              <w:t>/</w:t>
            </w:r>
          </w:p>
        </w:tc>
        <w:tc>
          <w:tcPr>
            <w:tcW w:w="1800" w:type="dxa"/>
            <w:noWrap/>
            <w:vAlign w:val="center"/>
          </w:tcPr>
          <w:p w14:paraId="317406D3">
            <w:pPr>
              <w:spacing w:line="400" w:lineRule="exact"/>
              <w:jc w:val="center"/>
              <w:rPr>
                <w:color w:val="auto"/>
                <w:szCs w:val="21"/>
              </w:rPr>
            </w:pPr>
            <w:r>
              <w:rPr>
                <w:rFonts w:hint="eastAsia"/>
                <w:color w:val="auto"/>
                <w:szCs w:val="21"/>
              </w:rPr>
              <w:t>/</w:t>
            </w:r>
          </w:p>
        </w:tc>
        <w:tc>
          <w:tcPr>
            <w:tcW w:w="1665" w:type="dxa"/>
            <w:noWrap/>
            <w:vAlign w:val="center"/>
          </w:tcPr>
          <w:p w14:paraId="016F2838">
            <w:pPr>
              <w:pStyle w:val="63"/>
              <w:spacing w:beforeLines="0" w:afterLines="0" w:line="400" w:lineRule="exact"/>
              <w:ind w:firstLine="0" w:firstLineChars="0"/>
              <w:rPr>
                <w:rFonts w:ascii="Times New Roman"/>
                <w:color w:val="auto"/>
                <w:kern w:val="2"/>
                <w:szCs w:val="21"/>
              </w:rPr>
            </w:pPr>
            <w:r>
              <w:rPr>
                <w:rFonts w:hint="eastAsia" w:ascii="Times New Roman"/>
                <w:color w:val="auto"/>
                <w:kern w:val="2"/>
                <w:szCs w:val="21"/>
              </w:rPr>
              <w:t>0 t/a</w:t>
            </w:r>
          </w:p>
        </w:tc>
        <w:tc>
          <w:tcPr>
            <w:tcW w:w="1755" w:type="dxa"/>
            <w:noWrap/>
            <w:vAlign w:val="center"/>
          </w:tcPr>
          <w:p w14:paraId="42A39D2A">
            <w:pPr>
              <w:spacing w:line="400" w:lineRule="exact"/>
              <w:jc w:val="center"/>
              <w:rPr>
                <w:color w:val="auto"/>
                <w:szCs w:val="21"/>
              </w:rPr>
            </w:pPr>
            <w:r>
              <w:rPr>
                <w:rFonts w:hint="eastAsia"/>
                <w:color w:val="auto"/>
                <w:szCs w:val="21"/>
              </w:rPr>
              <w:t>/</w:t>
            </w:r>
          </w:p>
        </w:tc>
        <w:tc>
          <w:tcPr>
            <w:tcW w:w="2025" w:type="dxa"/>
            <w:noWrap/>
            <w:vAlign w:val="center"/>
          </w:tcPr>
          <w:p w14:paraId="2D174525">
            <w:pPr>
              <w:spacing w:line="400" w:lineRule="exact"/>
              <w:jc w:val="center"/>
              <w:rPr>
                <w:b/>
                <w:bCs/>
                <w:color w:val="auto"/>
                <w:szCs w:val="21"/>
              </w:rPr>
            </w:pPr>
            <w:r>
              <w:rPr>
                <w:rFonts w:hint="eastAsia"/>
                <w:color w:val="auto"/>
                <w:szCs w:val="21"/>
              </w:rPr>
              <w:t>0.5</w:t>
            </w:r>
            <w:r>
              <w:rPr>
                <w:color w:val="auto"/>
                <w:szCs w:val="21"/>
              </w:rPr>
              <w:t>t/a</w:t>
            </w:r>
          </w:p>
        </w:tc>
        <w:tc>
          <w:tcPr>
            <w:tcW w:w="1363" w:type="dxa"/>
            <w:noWrap/>
            <w:vAlign w:val="center"/>
          </w:tcPr>
          <w:p w14:paraId="5AB989AD">
            <w:pPr>
              <w:spacing w:line="400" w:lineRule="exact"/>
              <w:jc w:val="center"/>
              <w:rPr>
                <w:color w:val="auto"/>
                <w:szCs w:val="21"/>
              </w:rPr>
            </w:pPr>
            <w:r>
              <w:rPr>
                <w:rFonts w:hint="eastAsia"/>
                <w:color w:val="auto"/>
                <w:szCs w:val="21"/>
              </w:rPr>
              <w:t>0</w:t>
            </w:r>
            <w:r>
              <w:rPr>
                <w:color w:val="auto"/>
                <w:szCs w:val="21"/>
              </w:rPr>
              <w:t>t/a</w:t>
            </w:r>
          </w:p>
        </w:tc>
      </w:tr>
      <w:tr w14:paraId="5A9133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70" w:type="dxa"/>
            <w:vMerge w:val="continue"/>
            <w:noWrap/>
            <w:vAlign w:val="center"/>
          </w:tcPr>
          <w:p w14:paraId="7159A261">
            <w:pPr>
              <w:spacing w:line="400" w:lineRule="exact"/>
              <w:jc w:val="center"/>
              <w:rPr>
                <w:color w:val="auto"/>
                <w:szCs w:val="21"/>
              </w:rPr>
            </w:pPr>
          </w:p>
        </w:tc>
        <w:tc>
          <w:tcPr>
            <w:tcW w:w="1875" w:type="dxa"/>
            <w:noWrap/>
            <w:vAlign w:val="center"/>
          </w:tcPr>
          <w:p w14:paraId="09A724FA">
            <w:pPr>
              <w:spacing w:line="400" w:lineRule="exact"/>
              <w:jc w:val="center"/>
              <w:rPr>
                <w:color w:val="auto"/>
                <w:szCs w:val="21"/>
              </w:rPr>
            </w:pPr>
            <w:r>
              <w:rPr>
                <w:rFonts w:hint="eastAsia"/>
                <w:color w:val="auto"/>
                <w:szCs w:val="21"/>
              </w:rPr>
              <w:t>含油金属屑</w:t>
            </w:r>
          </w:p>
        </w:tc>
        <w:tc>
          <w:tcPr>
            <w:tcW w:w="1755" w:type="dxa"/>
            <w:noWrap/>
            <w:vAlign w:val="center"/>
          </w:tcPr>
          <w:p w14:paraId="0852312C">
            <w:pPr>
              <w:pStyle w:val="63"/>
              <w:spacing w:beforeLines="0" w:afterLines="0" w:line="400" w:lineRule="exact"/>
              <w:ind w:firstLine="0" w:firstLineChars="0"/>
              <w:rPr>
                <w:rFonts w:ascii="Times New Roman"/>
                <w:color w:val="auto"/>
                <w:kern w:val="2"/>
                <w:szCs w:val="21"/>
              </w:rPr>
            </w:pPr>
            <w:r>
              <w:rPr>
                <w:rFonts w:hint="eastAsia" w:ascii="Times New Roman"/>
                <w:color w:val="auto"/>
                <w:kern w:val="2"/>
                <w:szCs w:val="21"/>
              </w:rPr>
              <w:t>10t/a</w:t>
            </w:r>
          </w:p>
        </w:tc>
        <w:tc>
          <w:tcPr>
            <w:tcW w:w="1125" w:type="dxa"/>
            <w:noWrap/>
            <w:vAlign w:val="center"/>
          </w:tcPr>
          <w:p w14:paraId="215D1B3B">
            <w:pPr>
              <w:pStyle w:val="63"/>
              <w:spacing w:beforeLines="0" w:afterLines="0" w:line="400" w:lineRule="exact"/>
              <w:ind w:firstLine="0" w:firstLineChars="0"/>
              <w:rPr>
                <w:rFonts w:ascii="Times New Roman"/>
                <w:color w:val="auto"/>
                <w:kern w:val="2"/>
                <w:szCs w:val="21"/>
              </w:rPr>
            </w:pPr>
            <w:r>
              <w:rPr>
                <w:rFonts w:ascii="Times New Roman"/>
                <w:color w:val="auto"/>
                <w:kern w:val="2"/>
                <w:szCs w:val="21"/>
              </w:rPr>
              <w:t>/</w:t>
            </w:r>
          </w:p>
        </w:tc>
        <w:tc>
          <w:tcPr>
            <w:tcW w:w="1800" w:type="dxa"/>
            <w:noWrap/>
            <w:vAlign w:val="center"/>
          </w:tcPr>
          <w:p w14:paraId="5EA40135">
            <w:pPr>
              <w:spacing w:line="400" w:lineRule="exact"/>
              <w:jc w:val="center"/>
              <w:rPr>
                <w:color w:val="auto"/>
                <w:szCs w:val="21"/>
              </w:rPr>
            </w:pPr>
            <w:r>
              <w:rPr>
                <w:rFonts w:hint="eastAsia"/>
                <w:color w:val="auto"/>
                <w:szCs w:val="21"/>
              </w:rPr>
              <w:t>/</w:t>
            </w:r>
          </w:p>
        </w:tc>
        <w:tc>
          <w:tcPr>
            <w:tcW w:w="1665" w:type="dxa"/>
            <w:noWrap/>
            <w:vAlign w:val="center"/>
          </w:tcPr>
          <w:p w14:paraId="68D80CAD">
            <w:pPr>
              <w:pStyle w:val="63"/>
              <w:spacing w:beforeLines="0" w:afterLines="0" w:line="400" w:lineRule="exact"/>
              <w:ind w:firstLine="0" w:firstLineChars="0"/>
              <w:rPr>
                <w:rFonts w:ascii="Times New Roman"/>
                <w:color w:val="auto"/>
                <w:kern w:val="2"/>
                <w:szCs w:val="21"/>
              </w:rPr>
            </w:pPr>
            <w:r>
              <w:rPr>
                <w:rFonts w:hint="eastAsia" w:ascii="Times New Roman"/>
                <w:color w:val="auto"/>
                <w:kern w:val="2"/>
                <w:szCs w:val="21"/>
              </w:rPr>
              <w:t>0 t/a</w:t>
            </w:r>
          </w:p>
        </w:tc>
        <w:tc>
          <w:tcPr>
            <w:tcW w:w="1755" w:type="dxa"/>
            <w:noWrap/>
            <w:vAlign w:val="center"/>
          </w:tcPr>
          <w:p w14:paraId="081D3093">
            <w:pPr>
              <w:spacing w:line="400" w:lineRule="exact"/>
              <w:jc w:val="center"/>
              <w:rPr>
                <w:color w:val="auto"/>
                <w:szCs w:val="21"/>
              </w:rPr>
            </w:pPr>
            <w:r>
              <w:rPr>
                <w:rFonts w:hint="eastAsia"/>
                <w:color w:val="auto"/>
                <w:szCs w:val="21"/>
              </w:rPr>
              <w:t>/</w:t>
            </w:r>
          </w:p>
        </w:tc>
        <w:tc>
          <w:tcPr>
            <w:tcW w:w="2025" w:type="dxa"/>
            <w:noWrap/>
            <w:vAlign w:val="center"/>
          </w:tcPr>
          <w:p w14:paraId="28EDD852">
            <w:pPr>
              <w:spacing w:line="400" w:lineRule="exact"/>
              <w:jc w:val="center"/>
              <w:rPr>
                <w:color w:val="auto"/>
                <w:szCs w:val="21"/>
              </w:rPr>
            </w:pPr>
            <w:r>
              <w:rPr>
                <w:rFonts w:hint="eastAsia"/>
                <w:color w:val="auto"/>
                <w:szCs w:val="21"/>
              </w:rPr>
              <w:t>10t/a</w:t>
            </w:r>
          </w:p>
        </w:tc>
        <w:tc>
          <w:tcPr>
            <w:tcW w:w="1363" w:type="dxa"/>
            <w:noWrap/>
            <w:vAlign w:val="center"/>
          </w:tcPr>
          <w:p w14:paraId="048A333E">
            <w:pPr>
              <w:spacing w:line="400" w:lineRule="exact"/>
              <w:jc w:val="center"/>
              <w:rPr>
                <w:color w:val="auto"/>
                <w:szCs w:val="21"/>
              </w:rPr>
            </w:pPr>
            <w:r>
              <w:rPr>
                <w:rFonts w:hint="eastAsia"/>
                <w:color w:val="auto"/>
                <w:szCs w:val="21"/>
              </w:rPr>
              <w:t>0</w:t>
            </w:r>
            <w:r>
              <w:rPr>
                <w:color w:val="auto"/>
                <w:szCs w:val="21"/>
              </w:rPr>
              <w:t>t/a</w:t>
            </w:r>
          </w:p>
        </w:tc>
      </w:tr>
    </w:tbl>
    <w:p w14:paraId="788970E5">
      <w:pPr>
        <w:pStyle w:val="63"/>
        <w:spacing w:beforeLines="80" w:after="24"/>
        <w:ind w:firstLine="0" w:firstLineChars="0"/>
        <w:jc w:val="left"/>
        <w:rPr>
          <w:rFonts w:ascii="Times New Roman" w:eastAsia="黑体"/>
          <w:color w:val="auto"/>
        </w:rPr>
      </w:pPr>
      <w:r>
        <w:rPr>
          <w:rFonts w:ascii="Times New Roman" w:eastAsia="黑体"/>
          <w:snapToGrid w:val="0"/>
          <w:color w:val="auto"/>
          <w:kern w:val="21"/>
          <w:szCs w:val="21"/>
        </w:rPr>
        <w:t>注：</w:t>
      </w:r>
      <w:r>
        <w:rPr>
          <w:rFonts w:ascii="Times New Roman" w:eastAsia="黑体"/>
          <w:snapToGrid w:val="0"/>
          <w:color w:val="auto"/>
          <w:spacing w:val="-16"/>
          <w:kern w:val="21"/>
          <w:szCs w:val="21"/>
        </w:rPr>
        <w:fldChar w:fldCharType="begin"/>
      </w:r>
      <w:r>
        <w:rPr>
          <w:rFonts w:ascii="Times New Roman" w:eastAsia="黑体"/>
          <w:snapToGrid w:val="0"/>
          <w:color w:val="auto"/>
          <w:spacing w:val="-16"/>
          <w:kern w:val="21"/>
          <w:szCs w:val="21"/>
        </w:rPr>
        <w:instrText xml:space="preserve"> = 6 \* GB3 \* MERGEFORMAT </w:instrText>
      </w:r>
      <w:r>
        <w:rPr>
          <w:rFonts w:ascii="Times New Roman" w:eastAsia="黑体"/>
          <w:snapToGrid w:val="0"/>
          <w:color w:val="auto"/>
          <w:spacing w:val="-16"/>
          <w:kern w:val="21"/>
          <w:szCs w:val="21"/>
        </w:rPr>
        <w:fldChar w:fldCharType="separate"/>
      </w:r>
      <w:r>
        <w:rPr>
          <w:rFonts w:ascii="Times New Roman" w:eastAsia="黑体"/>
          <w:color w:val="auto"/>
          <w:szCs w:val="21"/>
        </w:rPr>
        <w:t>⑥</w:t>
      </w:r>
      <w:r>
        <w:rPr>
          <w:rFonts w:ascii="Times New Roman" w:eastAsia="黑体"/>
          <w:snapToGrid w:val="0"/>
          <w:color w:val="auto"/>
          <w:spacing w:val="-16"/>
          <w:kern w:val="21"/>
          <w:szCs w:val="21"/>
        </w:rPr>
        <w:fldChar w:fldCharType="end"/>
      </w:r>
      <w:r>
        <w:rPr>
          <w:rFonts w:ascii="Times New Roman" w:eastAsia="黑体"/>
          <w:snapToGrid w:val="0"/>
          <w:color w:val="auto"/>
          <w:spacing w:val="-16"/>
          <w:kern w:val="21"/>
          <w:szCs w:val="21"/>
        </w:rPr>
        <w:t>=</w:t>
      </w:r>
      <w:r>
        <w:rPr>
          <w:rFonts w:ascii="Times New Roman" w:eastAsia="黑体"/>
          <w:snapToGrid w:val="0"/>
          <w:color w:val="auto"/>
          <w:spacing w:val="-6"/>
          <w:kern w:val="21"/>
          <w:szCs w:val="21"/>
        </w:rPr>
        <w:fldChar w:fldCharType="begin"/>
      </w:r>
      <w:r>
        <w:rPr>
          <w:rFonts w:ascii="Times New Roman" w:eastAsia="黑体"/>
          <w:snapToGrid w:val="0"/>
          <w:color w:val="auto"/>
          <w:spacing w:val="-6"/>
          <w:kern w:val="21"/>
          <w:szCs w:val="21"/>
        </w:rPr>
        <w:instrText xml:space="preserve"> = 1 \* GB3 \* MERGEFORMAT </w:instrText>
      </w:r>
      <w:r>
        <w:rPr>
          <w:rFonts w:ascii="Times New Roman" w:eastAsia="黑体"/>
          <w:snapToGrid w:val="0"/>
          <w:color w:val="auto"/>
          <w:spacing w:val="-6"/>
          <w:kern w:val="21"/>
          <w:szCs w:val="21"/>
        </w:rPr>
        <w:fldChar w:fldCharType="separate"/>
      </w:r>
      <w:r>
        <w:rPr>
          <w:rFonts w:ascii="Times New Roman" w:eastAsia="黑体"/>
          <w:color w:val="auto"/>
          <w:szCs w:val="21"/>
        </w:rPr>
        <w:t>①</w:t>
      </w:r>
      <w:r>
        <w:rPr>
          <w:rFonts w:ascii="Times New Roman" w:eastAsia="黑体"/>
          <w:snapToGrid w:val="0"/>
          <w:color w:val="auto"/>
          <w:spacing w:val="-6"/>
          <w:kern w:val="21"/>
          <w:szCs w:val="21"/>
        </w:rPr>
        <w:fldChar w:fldCharType="end"/>
      </w:r>
      <w:r>
        <w:rPr>
          <w:rFonts w:ascii="Times New Roman" w:eastAsia="黑体"/>
          <w:snapToGrid w:val="0"/>
          <w:color w:val="auto"/>
          <w:spacing w:val="-6"/>
          <w:kern w:val="21"/>
          <w:szCs w:val="21"/>
        </w:rPr>
        <w:t>+</w:t>
      </w:r>
      <w:r>
        <w:rPr>
          <w:rFonts w:ascii="Times New Roman" w:eastAsia="黑体"/>
          <w:snapToGrid w:val="0"/>
          <w:color w:val="auto"/>
          <w:spacing w:val="-6"/>
          <w:kern w:val="21"/>
          <w:szCs w:val="21"/>
        </w:rPr>
        <w:fldChar w:fldCharType="begin"/>
      </w:r>
      <w:r>
        <w:rPr>
          <w:rFonts w:ascii="Times New Roman" w:eastAsia="黑体"/>
          <w:snapToGrid w:val="0"/>
          <w:color w:val="auto"/>
          <w:spacing w:val="-6"/>
          <w:kern w:val="21"/>
          <w:szCs w:val="21"/>
        </w:rPr>
        <w:instrText xml:space="preserve"> = 3 \* GB3 \* MERGEFORMAT </w:instrText>
      </w:r>
      <w:r>
        <w:rPr>
          <w:rFonts w:ascii="Times New Roman" w:eastAsia="黑体"/>
          <w:snapToGrid w:val="0"/>
          <w:color w:val="auto"/>
          <w:spacing w:val="-6"/>
          <w:kern w:val="21"/>
          <w:szCs w:val="21"/>
        </w:rPr>
        <w:fldChar w:fldCharType="separate"/>
      </w:r>
      <w:r>
        <w:rPr>
          <w:rFonts w:ascii="Times New Roman" w:eastAsia="黑体"/>
          <w:color w:val="auto"/>
          <w:szCs w:val="21"/>
        </w:rPr>
        <w:t>③</w:t>
      </w:r>
      <w:r>
        <w:rPr>
          <w:rFonts w:ascii="Times New Roman" w:eastAsia="黑体"/>
          <w:snapToGrid w:val="0"/>
          <w:color w:val="auto"/>
          <w:spacing w:val="-6"/>
          <w:kern w:val="21"/>
          <w:szCs w:val="21"/>
        </w:rPr>
        <w:fldChar w:fldCharType="end"/>
      </w:r>
      <w:r>
        <w:rPr>
          <w:rFonts w:ascii="Times New Roman" w:eastAsia="黑体"/>
          <w:snapToGrid w:val="0"/>
          <w:color w:val="auto"/>
          <w:spacing w:val="-6"/>
          <w:kern w:val="21"/>
          <w:szCs w:val="21"/>
        </w:rPr>
        <w:t>+</w:t>
      </w:r>
      <w:r>
        <w:rPr>
          <w:rFonts w:ascii="Times New Roman" w:eastAsia="黑体"/>
          <w:snapToGrid w:val="0"/>
          <w:color w:val="auto"/>
          <w:spacing w:val="-6"/>
          <w:kern w:val="21"/>
          <w:szCs w:val="21"/>
        </w:rPr>
        <w:fldChar w:fldCharType="begin"/>
      </w:r>
      <w:r>
        <w:rPr>
          <w:rFonts w:ascii="Times New Roman" w:eastAsia="黑体"/>
          <w:snapToGrid w:val="0"/>
          <w:color w:val="auto"/>
          <w:spacing w:val="-6"/>
          <w:kern w:val="21"/>
          <w:szCs w:val="21"/>
        </w:rPr>
        <w:instrText xml:space="preserve"> = 4 \* GB3 \* MERGEFORMAT </w:instrText>
      </w:r>
      <w:r>
        <w:rPr>
          <w:rFonts w:ascii="Times New Roman" w:eastAsia="黑体"/>
          <w:snapToGrid w:val="0"/>
          <w:color w:val="auto"/>
          <w:spacing w:val="-6"/>
          <w:kern w:val="21"/>
          <w:szCs w:val="21"/>
        </w:rPr>
        <w:fldChar w:fldCharType="separate"/>
      </w:r>
      <w:r>
        <w:rPr>
          <w:rFonts w:ascii="Times New Roman" w:eastAsia="黑体"/>
          <w:color w:val="auto"/>
          <w:szCs w:val="21"/>
        </w:rPr>
        <w:t>④</w:t>
      </w:r>
      <w:r>
        <w:rPr>
          <w:rFonts w:ascii="Times New Roman" w:eastAsia="黑体"/>
          <w:snapToGrid w:val="0"/>
          <w:color w:val="auto"/>
          <w:spacing w:val="-6"/>
          <w:kern w:val="21"/>
          <w:szCs w:val="21"/>
        </w:rPr>
        <w:fldChar w:fldCharType="end"/>
      </w:r>
      <w:r>
        <w:rPr>
          <w:rFonts w:ascii="Times New Roman" w:eastAsia="黑体"/>
          <w:snapToGrid w:val="0"/>
          <w:color w:val="auto"/>
          <w:spacing w:val="-6"/>
          <w:kern w:val="21"/>
          <w:szCs w:val="21"/>
        </w:rPr>
        <w:t>-</w:t>
      </w:r>
      <w:r>
        <w:rPr>
          <w:rFonts w:ascii="Times New Roman" w:eastAsia="黑体"/>
          <w:snapToGrid w:val="0"/>
          <w:color w:val="auto"/>
          <w:spacing w:val="-16"/>
          <w:kern w:val="21"/>
          <w:szCs w:val="21"/>
        </w:rPr>
        <w:fldChar w:fldCharType="begin"/>
      </w:r>
      <w:r>
        <w:rPr>
          <w:rFonts w:ascii="Times New Roman" w:eastAsia="黑体"/>
          <w:snapToGrid w:val="0"/>
          <w:color w:val="auto"/>
          <w:spacing w:val="-16"/>
          <w:kern w:val="21"/>
          <w:szCs w:val="21"/>
        </w:rPr>
        <w:instrText xml:space="preserve"> = 5 \* GB3 \* MERGEFORMAT </w:instrText>
      </w:r>
      <w:r>
        <w:rPr>
          <w:rFonts w:ascii="Times New Roman" w:eastAsia="黑体"/>
          <w:snapToGrid w:val="0"/>
          <w:color w:val="auto"/>
          <w:spacing w:val="-16"/>
          <w:kern w:val="21"/>
          <w:szCs w:val="21"/>
        </w:rPr>
        <w:fldChar w:fldCharType="separate"/>
      </w:r>
      <w:r>
        <w:rPr>
          <w:rFonts w:ascii="Times New Roman" w:eastAsia="黑体"/>
          <w:color w:val="auto"/>
          <w:szCs w:val="21"/>
        </w:rPr>
        <w:t>⑤</w:t>
      </w:r>
      <w:r>
        <w:rPr>
          <w:rFonts w:ascii="Times New Roman" w:eastAsia="黑体"/>
          <w:snapToGrid w:val="0"/>
          <w:color w:val="auto"/>
          <w:spacing w:val="-16"/>
          <w:kern w:val="21"/>
          <w:szCs w:val="21"/>
        </w:rPr>
        <w:fldChar w:fldCharType="end"/>
      </w:r>
      <w:r>
        <w:rPr>
          <w:rFonts w:ascii="Times New Roman" w:eastAsia="黑体"/>
          <w:snapToGrid w:val="0"/>
          <w:color w:val="auto"/>
          <w:spacing w:val="-16"/>
          <w:kern w:val="21"/>
          <w:szCs w:val="21"/>
        </w:rPr>
        <w:t>；</w:t>
      </w:r>
      <w:r>
        <w:rPr>
          <w:rFonts w:ascii="Times New Roman" w:eastAsia="黑体"/>
          <w:snapToGrid w:val="0"/>
          <w:color w:val="auto"/>
          <w:spacing w:val="-6"/>
          <w:kern w:val="21"/>
          <w:szCs w:val="21"/>
        </w:rPr>
        <w:fldChar w:fldCharType="begin"/>
      </w:r>
      <w:r>
        <w:rPr>
          <w:rFonts w:ascii="Times New Roman" w:eastAsia="黑体"/>
          <w:snapToGrid w:val="0"/>
          <w:color w:val="auto"/>
          <w:spacing w:val="-6"/>
          <w:kern w:val="21"/>
          <w:szCs w:val="21"/>
        </w:rPr>
        <w:instrText xml:space="preserve"> = 7 \* GB3 \* MERGEFORMAT </w:instrText>
      </w:r>
      <w:r>
        <w:rPr>
          <w:rFonts w:ascii="Times New Roman" w:eastAsia="黑体"/>
          <w:snapToGrid w:val="0"/>
          <w:color w:val="auto"/>
          <w:spacing w:val="-6"/>
          <w:kern w:val="21"/>
          <w:szCs w:val="21"/>
        </w:rPr>
        <w:fldChar w:fldCharType="separate"/>
      </w:r>
      <w:r>
        <w:rPr>
          <w:rFonts w:ascii="Times New Roman" w:eastAsia="黑体"/>
          <w:color w:val="auto"/>
          <w:szCs w:val="21"/>
        </w:rPr>
        <w:t>⑦</w:t>
      </w:r>
      <w:r>
        <w:rPr>
          <w:rFonts w:ascii="Times New Roman" w:eastAsia="黑体"/>
          <w:snapToGrid w:val="0"/>
          <w:color w:val="auto"/>
          <w:spacing w:val="-6"/>
          <w:kern w:val="21"/>
          <w:szCs w:val="21"/>
        </w:rPr>
        <w:fldChar w:fldCharType="end"/>
      </w:r>
      <w:r>
        <w:rPr>
          <w:rFonts w:ascii="Times New Roman" w:eastAsia="黑体"/>
          <w:snapToGrid w:val="0"/>
          <w:color w:val="auto"/>
          <w:spacing w:val="-6"/>
          <w:kern w:val="21"/>
          <w:szCs w:val="21"/>
        </w:rPr>
        <w:t>=</w:t>
      </w:r>
      <w:r>
        <w:rPr>
          <w:rFonts w:ascii="Times New Roman" w:eastAsia="黑体"/>
          <w:snapToGrid w:val="0"/>
          <w:color w:val="auto"/>
          <w:spacing w:val="-16"/>
          <w:kern w:val="21"/>
          <w:szCs w:val="21"/>
        </w:rPr>
        <w:fldChar w:fldCharType="begin"/>
      </w:r>
      <w:r>
        <w:rPr>
          <w:rFonts w:ascii="Times New Roman" w:eastAsia="黑体"/>
          <w:snapToGrid w:val="0"/>
          <w:color w:val="auto"/>
          <w:spacing w:val="-16"/>
          <w:kern w:val="21"/>
          <w:szCs w:val="21"/>
        </w:rPr>
        <w:instrText xml:space="preserve"> = 6 \* GB3 \* MERGEFORMAT </w:instrText>
      </w:r>
      <w:r>
        <w:rPr>
          <w:rFonts w:ascii="Times New Roman" w:eastAsia="黑体"/>
          <w:snapToGrid w:val="0"/>
          <w:color w:val="auto"/>
          <w:spacing w:val="-16"/>
          <w:kern w:val="21"/>
          <w:szCs w:val="21"/>
        </w:rPr>
        <w:fldChar w:fldCharType="separate"/>
      </w:r>
      <w:r>
        <w:rPr>
          <w:rFonts w:ascii="Times New Roman" w:eastAsia="黑体"/>
          <w:color w:val="auto"/>
          <w:szCs w:val="21"/>
        </w:rPr>
        <w:t>⑥</w:t>
      </w:r>
      <w:r>
        <w:rPr>
          <w:rFonts w:ascii="Times New Roman" w:eastAsia="黑体"/>
          <w:snapToGrid w:val="0"/>
          <w:color w:val="auto"/>
          <w:spacing w:val="-16"/>
          <w:kern w:val="21"/>
          <w:szCs w:val="21"/>
        </w:rPr>
        <w:fldChar w:fldCharType="end"/>
      </w:r>
      <w:r>
        <w:rPr>
          <w:rFonts w:ascii="Times New Roman" w:eastAsia="黑体"/>
          <w:snapToGrid w:val="0"/>
          <w:color w:val="auto"/>
          <w:spacing w:val="-16"/>
          <w:kern w:val="21"/>
          <w:szCs w:val="21"/>
        </w:rPr>
        <w:t>-</w:t>
      </w:r>
      <w:r>
        <w:rPr>
          <w:rFonts w:ascii="Times New Roman" w:eastAsia="黑体"/>
          <w:snapToGrid w:val="0"/>
          <w:color w:val="auto"/>
          <w:spacing w:val="-6"/>
          <w:kern w:val="21"/>
          <w:szCs w:val="21"/>
        </w:rPr>
        <w:fldChar w:fldCharType="begin"/>
      </w:r>
      <w:r>
        <w:rPr>
          <w:rFonts w:ascii="Times New Roman" w:eastAsia="黑体"/>
          <w:snapToGrid w:val="0"/>
          <w:color w:val="auto"/>
          <w:spacing w:val="-6"/>
          <w:kern w:val="21"/>
          <w:szCs w:val="21"/>
        </w:rPr>
        <w:instrText xml:space="preserve"> = 1 \* GB3 \* MERGEFORMAT </w:instrText>
      </w:r>
      <w:r>
        <w:rPr>
          <w:rFonts w:ascii="Times New Roman" w:eastAsia="黑体"/>
          <w:snapToGrid w:val="0"/>
          <w:color w:val="auto"/>
          <w:spacing w:val="-6"/>
          <w:kern w:val="21"/>
          <w:szCs w:val="21"/>
        </w:rPr>
        <w:fldChar w:fldCharType="separate"/>
      </w:r>
      <w:r>
        <w:rPr>
          <w:rFonts w:ascii="Times New Roman" w:eastAsia="黑体"/>
          <w:color w:val="auto"/>
          <w:szCs w:val="21"/>
        </w:rPr>
        <w:t>①</w:t>
      </w:r>
      <w:r>
        <w:rPr>
          <w:rFonts w:ascii="Times New Roman" w:eastAsia="黑体"/>
          <w:snapToGrid w:val="0"/>
          <w:color w:val="auto"/>
          <w:spacing w:val="-6"/>
          <w:kern w:val="21"/>
          <w:szCs w:val="21"/>
        </w:rPr>
        <w:fldChar w:fldCharType="end"/>
      </w:r>
    </w:p>
    <w:sectPr>
      <w:footerReference r:id="rId6" w:type="default"/>
      <w:pgSz w:w="16838" w:h="11906" w:orient="landscape"/>
      <w:pgMar w:top="1531" w:right="1701" w:bottom="1531" w:left="170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康简仿宋">
    <w:altName w:val="宋体"/>
    <w:panose1 w:val="00000000000000000000"/>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font404">
    <w:altName w:val="Arial"/>
    <w:panose1 w:val="00000000000000000000"/>
    <w:charset w:val="00"/>
    <w:family w:val="swiss"/>
    <w:pitch w:val="default"/>
    <w:sig w:usb0="00000000" w:usb1="00000000" w:usb2="00000000"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MingLiU">
    <w:altName w:val="PMingLiU-ExtB"/>
    <w:panose1 w:val="02010609000101010101"/>
    <w:charset w:val="88"/>
    <w:family w:val="modern"/>
    <w:pitch w:val="default"/>
    <w:sig w:usb0="00000000" w:usb1="00000000" w:usb2="00000010" w:usb3="00000000" w:csb0="00100000" w:csb1="00000000"/>
  </w:font>
  <w:font w:name="PMingLiU-ExtB">
    <w:panose1 w:val="02020500000000000000"/>
    <w:charset w:val="88"/>
    <w:family w:val="auto"/>
    <w:pitch w:val="default"/>
    <w:sig w:usb0="8000002F" w:usb1="02000008" w:usb2="00000000" w:usb3="00000000" w:csb0="00100001" w:csb1="00000000"/>
  </w:font>
  <w:font w:name="AngsanaUPC">
    <w:altName w:val="Times New Roman"/>
    <w:panose1 w:val="00000000000000000000"/>
    <w:charset w:val="00"/>
    <w:family w:val="roman"/>
    <w:pitch w:val="default"/>
    <w:sig w:usb0="00000000" w:usb1="00000000" w:usb2="00000000" w:usb3="00000000" w:csb0="00010001" w:csb1="00000000"/>
  </w:font>
  <w:font w:name="Segoe UI Symbol">
    <w:panose1 w:val="020B0502040204020203"/>
    <w:charset w:val="00"/>
    <w:family w:val="auto"/>
    <w:pitch w:val="default"/>
    <w:sig w:usb0="800001E3" w:usb1="1200FFEF" w:usb2="00040000" w:usb3="04000000" w:csb0="00000001" w:csb1="40000000"/>
  </w:font>
  <w:font w:name="方正小标宋_GBK">
    <w:altName w:val="微软雅黑"/>
    <w:panose1 w:val="00000000000000000000"/>
    <w:charset w:val="86"/>
    <w:family w:val="script"/>
    <w:pitch w:val="default"/>
    <w:sig w:usb0="00000000" w:usb1="00000000" w:usb2="00082016" w:usb3="00000000" w:csb0="00040001"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TimesNewRomanPSMT">
    <w:altName w:val="Times New Roman"/>
    <w:panose1 w:val="00000000000000000000"/>
    <w:charset w:val="00"/>
    <w:family w:val="auto"/>
    <w:pitch w:val="default"/>
    <w:sig w:usb0="00000000" w:usb1="00000000" w:usb2="00000010" w:usb3="00000000" w:csb0="00060001" w:csb1="00000000"/>
  </w:font>
  <w:font w:name="MS Mincho">
    <w:altName w:val="Yu Gothic UI"/>
    <w:panose1 w:val="02020609040205080304"/>
    <w:charset w:val="80"/>
    <w:family w:val="modern"/>
    <w:pitch w:val="default"/>
    <w:sig w:usb0="00000000" w:usb1="00000000" w:usb2="00000010" w:usb3="00000000" w:csb0="0002009F" w:csb1="00000000"/>
  </w:font>
  <w:font w:name="Yu Gothic UI">
    <w:panose1 w:val="020B0500000000000000"/>
    <w:charset w:val="80"/>
    <w:family w:val="auto"/>
    <w:pitch w:val="default"/>
    <w:sig w:usb0="E00002FF" w:usb1="2AC7FDFF" w:usb2="00000016" w:usb3="00000000" w:csb0="2002009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3A4C2E">
    <w:pPr>
      <w:pStyle w:val="23"/>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01C6A">
    <w:pPr>
      <w:pStyle w:val="23"/>
      <w:framePr w:wrap="around" w:vAnchor="text" w:hAnchor="margin" w:xAlign="center" w:y="1"/>
      <w:rPr>
        <w:rStyle w:val="37"/>
      </w:rPr>
    </w:pPr>
    <w:r>
      <w:fldChar w:fldCharType="begin"/>
    </w:r>
    <w:r>
      <w:rPr>
        <w:rStyle w:val="37"/>
      </w:rPr>
      <w:instrText xml:space="preserve">PAGE  </w:instrText>
    </w:r>
    <w:r>
      <w:fldChar w:fldCharType="end"/>
    </w:r>
  </w:p>
  <w:p w14:paraId="13F406ED">
    <w:pPr>
      <w:pStyle w:val="23"/>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EB772E">
    <w:pPr>
      <w:pStyle w:val="23"/>
      <w:ind w:right="360" w:firstLine="360"/>
      <w:jc w:val="center"/>
    </w:pPr>
    <w:r>
      <w:pict>
        <v:shape id="文本框 205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IXA/zXLAQAAnAMAAA4AAAAAAAAAAQAgAAAAHgEAAGRycy9lMm9E&#10;b2MueG1sUEsFBgAAAAAGAAYAWQEAAFsFAAAAAA==&#10;">
          <v:path/>
          <v:fill on="f" focussize="0,0"/>
          <v:stroke on="f" joinstyle="miter"/>
          <v:imagedata o:title=""/>
          <o:lock v:ext="edit"/>
          <v:textbox inset="0mm,0mm,0mm,0mm" style="mso-fit-shape-to-text:t;">
            <w:txbxContent>
              <w:p w14:paraId="32900952">
                <w:pPr>
                  <w:pStyle w:val="23"/>
                  <w:rPr>
                    <w:rStyle w:val="37"/>
                    <w:rFonts w:ascii="宋体" w:hAnsi="宋体"/>
                    <w:sz w:val="28"/>
                    <w:szCs w:val="28"/>
                  </w:rPr>
                </w:pPr>
                <w:r>
                  <w:rPr>
                    <w:rStyle w:val="37"/>
                    <w:rFonts w:hint="eastAsia" w:ascii="宋体" w:hAnsi="宋体"/>
                    <w:sz w:val="28"/>
                    <w:szCs w:val="28"/>
                  </w:rPr>
                  <w:t>—</w:t>
                </w:r>
                <w:r>
                  <w:rPr>
                    <w:rStyle w:val="37"/>
                    <w:sz w:val="21"/>
                    <w:szCs w:val="21"/>
                  </w:rPr>
                  <w:fldChar w:fldCharType="begin"/>
                </w:r>
                <w:r>
                  <w:rPr>
                    <w:rStyle w:val="37"/>
                    <w:sz w:val="21"/>
                    <w:szCs w:val="21"/>
                  </w:rPr>
                  <w:instrText xml:space="preserve">PAGE  </w:instrText>
                </w:r>
                <w:r>
                  <w:rPr>
                    <w:rStyle w:val="37"/>
                    <w:sz w:val="21"/>
                    <w:szCs w:val="21"/>
                  </w:rPr>
                  <w:fldChar w:fldCharType="separate"/>
                </w:r>
                <w:r>
                  <w:rPr>
                    <w:rStyle w:val="37"/>
                    <w:sz w:val="21"/>
                    <w:szCs w:val="21"/>
                  </w:rPr>
                  <w:t>67</w:t>
                </w:r>
                <w:r>
                  <w:rPr>
                    <w:rStyle w:val="37"/>
                    <w:sz w:val="21"/>
                    <w:szCs w:val="21"/>
                  </w:rPr>
                  <w:fldChar w:fldCharType="end"/>
                </w:r>
                <w:r>
                  <w:rPr>
                    <w:rStyle w:val="37"/>
                    <w:rFonts w:hint="eastAsia" w:ascii="宋体" w:hAnsi="宋体"/>
                    <w:sz w:val="28"/>
                    <w:szCs w:val="28"/>
                  </w:rPr>
                  <w:t>—</w:t>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D99C54">
    <w:pPr>
      <w:pStyle w:val="23"/>
      <w:ind w:right="360" w:firstLine="360"/>
      <w:jc w:val="center"/>
    </w:pPr>
    <w:r>
      <w:pict>
        <v:shape id="文本框 2055" o:spid="_x0000_s1027"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LvgRzTLAQAAnAMAAA4AAAAAAAAAAQAgAAAAHgEAAGRycy9lMm9E&#10;b2MueG1sUEsFBgAAAAAGAAYAWQEAAFsFAAAAAA==&#10;">
          <v:path/>
          <v:fill on="f" focussize="0,0"/>
          <v:stroke on="f" joinstyle="miter"/>
          <v:imagedata o:title=""/>
          <o:lock v:ext="edit"/>
          <v:textbox inset="0mm,0mm,0mm,0mm" style="mso-fit-shape-to-text:t;">
            <w:txbxContent>
              <w:p w14:paraId="022869F9">
                <w:pPr>
                  <w:pStyle w:val="23"/>
                  <w:rPr>
                    <w:rStyle w:val="37"/>
                    <w:rFonts w:ascii="宋体" w:hAnsi="宋体"/>
                    <w:sz w:val="28"/>
                    <w:szCs w:val="28"/>
                  </w:rPr>
                </w:pPr>
                <w:r>
                  <w:rPr>
                    <w:rStyle w:val="37"/>
                    <w:rFonts w:hint="eastAsia" w:ascii="宋体" w:hAnsi="宋体"/>
                    <w:sz w:val="28"/>
                    <w:szCs w:val="28"/>
                  </w:rPr>
                  <w:t>—</w:t>
                </w:r>
                <w:r>
                  <w:rPr>
                    <w:rStyle w:val="37"/>
                    <w:sz w:val="21"/>
                    <w:szCs w:val="21"/>
                  </w:rPr>
                  <w:fldChar w:fldCharType="begin"/>
                </w:r>
                <w:r>
                  <w:rPr>
                    <w:rStyle w:val="37"/>
                    <w:sz w:val="21"/>
                    <w:szCs w:val="21"/>
                  </w:rPr>
                  <w:instrText xml:space="preserve">PAGE  </w:instrText>
                </w:r>
                <w:r>
                  <w:rPr>
                    <w:rStyle w:val="37"/>
                    <w:sz w:val="21"/>
                    <w:szCs w:val="21"/>
                  </w:rPr>
                  <w:fldChar w:fldCharType="separate"/>
                </w:r>
                <w:r>
                  <w:rPr>
                    <w:rStyle w:val="37"/>
                    <w:sz w:val="21"/>
                    <w:szCs w:val="21"/>
                  </w:rPr>
                  <w:t>69</w:t>
                </w:r>
                <w:r>
                  <w:rPr>
                    <w:rStyle w:val="37"/>
                    <w:sz w:val="21"/>
                    <w:szCs w:val="21"/>
                  </w:rPr>
                  <w:fldChar w:fldCharType="end"/>
                </w:r>
                <w:r>
                  <w:rPr>
                    <w:rStyle w:val="37"/>
                    <w:rFonts w:hint="eastAsia" w:ascii="宋体" w:hAnsi="宋体"/>
                    <w:sz w:val="28"/>
                    <w:szCs w:val="28"/>
                  </w:rPr>
                  <w:t>—</w:t>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C4495FD"/>
    <w:multiLevelType w:val="singleLevel"/>
    <w:tmpl w:val="5C4495FD"/>
    <w:lvl w:ilvl="0" w:tentative="0">
      <w:start w:val="1"/>
      <w:numFmt w:val="bullet"/>
      <w:pStyle w:val="17"/>
      <w:lvlText w:val=""/>
      <w:lvlJc w:val="left"/>
      <w:pPr>
        <w:tabs>
          <w:tab w:val="left" w:pos="2040"/>
        </w:tabs>
        <w:ind w:left="204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2"/>
  </w:compat>
  <w:docVars>
    <w:docVar w:name="commondata" w:val="eyJoZGlkIjoiZjUxNGE4MzNiOGE2MTZmMzllNjIxMjk2ZjIwNWUyMzAifQ=="/>
  </w:docVars>
  <w:rsids>
    <w:rsidRoot w:val="00172A27"/>
    <w:rsid w:val="00001AD1"/>
    <w:rsid w:val="00002107"/>
    <w:rsid w:val="000039AF"/>
    <w:rsid w:val="000049BD"/>
    <w:rsid w:val="00004BE5"/>
    <w:rsid w:val="000060B3"/>
    <w:rsid w:val="00007196"/>
    <w:rsid w:val="0001039B"/>
    <w:rsid w:val="00011EF0"/>
    <w:rsid w:val="000127C0"/>
    <w:rsid w:val="00012AC8"/>
    <w:rsid w:val="000143A7"/>
    <w:rsid w:val="00017E1E"/>
    <w:rsid w:val="000218D8"/>
    <w:rsid w:val="00022281"/>
    <w:rsid w:val="000241BF"/>
    <w:rsid w:val="00026215"/>
    <w:rsid w:val="00031DB8"/>
    <w:rsid w:val="000320E0"/>
    <w:rsid w:val="000369B0"/>
    <w:rsid w:val="00037CC8"/>
    <w:rsid w:val="000416D0"/>
    <w:rsid w:val="00041D03"/>
    <w:rsid w:val="0004364B"/>
    <w:rsid w:val="000437B5"/>
    <w:rsid w:val="00044379"/>
    <w:rsid w:val="000454C5"/>
    <w:rsid w:val="000457C9"/>
    <w:rsid w:val="00046DDF"/>
    <w:rsid w:val="00047310"/>
    <w:rsid w:val="00051107"/>
    <w:rsid w:val="0005129D"/>
    <w:rsid w:val="00052592"/>
    <w:rsid w:val="00055418"/>
    <w:rsid w:val="00055AAA"/>
    <w:rsid w:val="0005770B"/>
    <w:rsid w:val="00057E74"/>
    <w:rsid w:val="00061B1F"/>
    <w:rsid w:val="00063487"/>
    <w:rsid w:val="00065B84"/>
    <w:rsid w:val="00073326"/>
    <w:rsid w:val="000733C4"/>
    <w:rsid w:val="00074783"/>
    <w:rsid w:val="00075A00"/>
    <w:rsid w:val="00075C03"/>
    <w:rsid w:val="0008070B"/>
    <w:rsid w:val="000810AC"/>
    <w:rsid w:val="00081A02"/>
    <w:rsid w:val="00082231"/>
    <w:rsid w:val="00082CB3"/>
    <w:rsid w:val="000867BF"/>
    <w:rsid w:val="00087026"/>
    <w:rsid w:val="00087780"/>
    <w:rsid w:val="00090688"/>
    <w:rsid w:val="00091B66"/>
    <w:rsid w:val="00091F87"/>
    <w:rsid w:val="00092D38"/>
    <w:rsid w:val="00092F30"/>
    <w:rsid w:val="0009377B"/>
    <w:rsid w:val="0009395E"/>
    <w:rsid w:val="0009489E"/>
    <w:rsid w:val="0009560E"/>
    <w:rsid w:val="000A09D0"/>
    <w:rsid w:val="000A1A6D"/>
    <w:rsid w:val="000A20C9"/>
    <w:rsid w:val="000A5FFC"/>
    <w:rsid w:val="000A6FDA"/>
    <w:rsid w:val="000A7471"/>
    <w:rsid w:val="000B02DC"/>
    <w:rsid w:val="000B058F"/>
    <w:rsid w:val="000B0BEC"/>
    <w:rsid w:val="000B121A"/>
    <w:rsid w:val="000B1F40"/>
    <w:rsid w:val="000B213D"/>
    <w:rsid w:val="000B4467"/>
    <w:rsid w:val="000B44CC"/>
    <w:rsid w:val="000B4DB9"/>
    <w:rsid w:val="000B5B21"/>
    <w:rsid w:val="000B5CCD"/>
    <w:rsid w:val="000C0908"/>
    <w:rsid w:val="000C09AC"/>
    <w:rsid w:val="000C23CE"/>
    <w:rsid w:val="000C767F"/>
    <w:rsid w:val="000D3E1A"/>
    <w:rsid w:val="000D4075"/>
    <w:rsid w:val="000D40ED"/>
    <w:rsid w:val="000D5A44"/>
    <w:rsid w:val="000D73A5"/>
    <w:rsid w:val="000E14D2"/>
    <w:rsid w:val="000E3D0D"/>
    <w:rsid w:val="000E3ED2"/>
    <w:rsid w:val="000E4530"/>
    <w:rsid w:val="000E4ADF"/>
    <w:rsid w:val="000E4B58"/>
    <w:rsid w:val="000E5720"/>
    <w:rsid w:val="000F09C9"/>
    <w:rsid w:val="000F0C83"/>
    <w:rsid w:val="000F2B17"/>
    <w:rsid w:val="000F3055"/>
    <w:rsid w:val="000F34EE"/>
    <w:rsid w:val="000F3CB2"/>
    <w:rsid w:val="000F782B"/>
    <w:rsid w:val="0010165D"/>
    <w:rsid w:val="001024D9"/>
    <w:rsid w:val="001024FE"/>
    <w:rsid w:val="00102FF5"/>
    <w:rsid w:val="0010468A"/>
    <w:rsid w:val="0010539E"/>
    <w:rsid w:val="0011233E"/>
    <w:rsid w:val="00112372"/>
    <w:rsid w:val="00112CDB"/>
    <w:rsid w:val="00112FDA"/>
    <w:rsid w:val="0011695E"/>
    <w:rsid w:val="00120491"/>
    <w:rsid w:val="00124A75"/>
    <w:rsid w:val="00130652"/>
    <w:rsid w:val="00131F42"/>
    <w:rsid w:val="001320AD"/>
    <w:rsid w:val="001331EB"/>
    <w:rsid w:val="00133785"/>
    <w:rsid w:val="00134412"/>
    <w:rsid w:val="001350D0"/>
    <w:rsid w:val="001357F1"/>
    <w:rsid w:val="00140FA8"/>
    <w:rsid w:val="00142FEB"/>
    <w:rsid w:val="00143A2D"/>
    <w:rsid w:val="001457CD"/>
    <w:rsid w:val="001457D6"/>
    <w:rsid w:val="00145A41"/>
    <w:rsid w:val="001462CF"/>
    <w:rsid w:val="0014635B"/>
    <w:rsid w:val="00151675"/>
    <w:rsid w:val="00152729"/>
    <w:rsid w:val="00152D17"/>
    <w:rsid w:val="0015320F"/>
    <w:rsid w:val="0015422C"/>
    <w:rsid w:val="00156A03"/>
    <w:rsid w:val="00156B43"/>
    <w:rsid w:val="00157435"/>
    <w:rsid w:val="00160395"/>
    <w:rsid w:val="00163CDE"/>
    <w:rsid w:val="00164921"/>
    <w:rsid w:val="00166712"/>
    <w:rsid w:val="001701DA"/>
    <w:rsid w:val="00170C19"/>
    <w:rsid w:val="00171690"/>
    <w:rsid w:val="00172A27"/>
    <w:rsid w:val="00173486"/>
    <w:rsid w:val="0017504D"/>
    <w:rsid w:val="0017573F"/>
    <w:rsid w:val="0017671A"/>
    <w:rsid w:val="00177422"/>
    <w:rsid w:val="0018003C"/>
    <w:rsid w:val="00180FA4"/>
    <w:rsid w:val="00181ECB"/>
    <w:rsid w:val="00184590"/>
    <w:rsid w:val="00184745"/>
    <w:rsid w:val="00184FF7"/>
    <w:rsid w:val="00185559"/>
    <w:rsid w:val="001870D1"/>
    <w:rsid w:val="00187378"/>
    <w:rsid w:val="0018781E"/>
    <w:rsid w:val="00190DA3"/>
    <w:rsid w:val="0019163E"/>
    <w:rsid w:val="00191F15"/>
    <w:rsid w:val="00191FFA"/>
    <w:rsid w:val="00192366"/>
    <w:rsid w:val="0019262D"/>
    <w:rsid w:val="001930D8"/>
    <w:rsid w:val="00194F86"/>
    <w:rsid w:val="001974C0"/>
    <w:rsid w:val="00197AB1"/>
    <w:rsid w:val="00197E32"/>
    <w:rsid w:val="001A0645"/>
    <w:rsid w:val="001A0A6F"/>
    <w:rsid w:val="001A12B0"/>
    <w:rsid w:val="001A1389"/>
    <w:rsid w:val="001A1B35"/>
    <w:rsid w:val="001A224D"/>
    <w:rsid w:val="001A2526"/>
    <w:rsid w:val="001A3134"/>
    <w:rsid w:val="001A3974"/>
    <w:rsid w:val="001A3ED0"/>
    <w:rsid w:val="001A48A2"/>
    <w:rsid w:val="001A501F"/>
    <w:rsid w:val="001A53A9"/>
    <w:rsid w:val="001A6F61"/>
    <w:rsid w:val="001B1D64"/>
    <w:rsid w:val="001B1F48"/>
    <w:rsid w:val="001B5846"/>
    <w:rsid w:val="001B6D55"/>
    <w:rsid w:val="001B6FCD"/>
    <w:rsid w:val="001B72B8"/>
    <w:rsid w:val="001B7CE1"/>
    <w:rsid w:val="001C52B4"/>
    <w:rsid w:val="001C5F94"/>
    <w:rsid w:val="001C6748"/>
    <w:rsid w:val="001C69B3"/>
    <w:rsid w:val="001C7613"/>
    <w:rsid w:val="001D19C5"/>
    <w:rsid w:val="001D273E"/>
    <w:rsid w:val="001D41BC"/>
    <w:rsid w:val="001D4711"/>
    <w:rsid w:val="001D522D"/>
    <w:rsid w:val="001D5595"/>
    <w:rsid w:val="001D74DB"/>
    <w:rsid w:val="001D7874"/>
    <w:rsid w:val="001D7F22"/>
    <w:rsid w:val="001E067E"/>
    <w:rsid w:val="001E1CB5"/>
    <w:rsid w:val="001E2282"/>
    <w:rsid w:val="001E3D7B"/>
    <w:rsid w:val="001E3E4F"/>
    <w:rsid w:val="001E4DC4"/>
    <w:rsid w:val="001F08DD"/>
    <w:rsid w:val="001F0CD4"/>
    <w:rsid w:val="001F0F17"/>
    <w:rsid w:val="001F127E"/>
    <w:rsid w:val="001F12BB"/>
    <w:rsid w:val="001F207A"/>
    <w:rsid w:val="001F22A7"/>
    <w:rsid w:val="001F2A5B"/>
    <w:rsid w:val="001F3347"/>
    <w:rsid w:val="001F407B"/>
    <w:rsid w:val="001F4319"/>
    <w:rsid w:val="001F51A4"/>
    <w:rsid w:val="001F5B30"/>
    <w:rsid w:val="001F63CE"/>
    <w:rsid w:val="001F69E4"/>
    <w:rsid w:val="001F7701"/>
    <w:rsid w:val="0020109A"/>
    <w:rsid w:val="002026A7"/>
    <w:rsid w:val="00202DEC"/>
    <w:rsid w:val="00206009"/>
    <w:rsid w:val="00207053"/>
    <w:rsid w:val="002125B4"/>
    <w:rsid w:val="002127D2"/>
    <w:rsid w:val="002128A4"/>
    <w:rsid w:val="002129A0"/>
    <w:rsid w:val="00213359"/>
    <w:rsid w:val="002155B8"/>
    <w:rsid w:val="00216513"/>
    <w:rsid w:val="00220C30"/>
    <w:rsid w:val="0022460A"/>
    <w:rsid w:val="00224839"/>
    <w:rsid w:val="002249B2"/>
    <w:rsid w:val="00226574"/>
    <w:rsid w:val="002278EC"/>
    <w:rsid w:val="0023044C"/>
    <w:rsid w:val="002313E7"/>
    <w:rsid w:val="00231F23"/>
    <w:rsid w:val="0023280E"/>
    <w:rsid w:val="002377D1"/>
    <w:rsid w:val="00237BE0"/>
    <w:rsid w:val="00237C4D"/>
    <w:rsid w:val="0024135A"/>
    <w:rsid w:val="00241C1B"/>
    <w:rsid w:val="00242092"/>
    <w:rsid w:val="00242109"/>
    <w:rsid w:val="00246013"/>
    <w:rsid w:val="002474F9"/>
    <w:rsid w:val="00247516"/>
    <w:rsid w:val="002501DF"/>
    <w:rsid w:val="00250275"/>
    <w:rsid w:val="00250538"/>
    <w:rsid w:val="002506BC"/>
    <w:rsid w:val="002508E7"/>
    <w:rsid w:val="00250CD0"/>
    <w:rsid w:val="00253086"/>
    <w:rsid w:val="00254345"/>
    <w:rsid w:val="00254401"/>
    <w:rsid w:val="00254904"/>
    <w:rsid w:val="00262F86"/>
    <w:rsid w:val="002641EF"/>
    <w:rsid w:val="00264557"/>
    <w:rsid w:val="0026473A"/>
    <w:rsid w:val="00264991"/>
    <w:rsid w:val="002656E4"/>
    <w:rsid w:val="00270A17"/>
    <w:rsid w:val="0027706A"/>
    <w:rsid w:val="002801F8"/>
    <w:rsid w:val="002804C4"/>
    <w:rsid w:val="002805AB"/>
    <w:rsid w:val="00280813"/>
    <w:rsid w:val="00280E99"/>
    <w:rsid w:val="0028301C"/>
    <w:rsid w:val="00283494"/>
    <w:rsid w:val="00283A17"/>
    <w:rsid w:val="00284204"/>
    <w:rsid w:val="00285B16"/>
    <w:rsid w:val="00290561"/>
    <w:rsid w:val="00291773"/>
    <w:rsid w:val="00293604"/>
    <w:rsid w:val="00295CC1"/>
    <w:rsid w:val="00297349"/>
    <w:rsid w:val="002A071C"/>
    <w:rsid w:val="002A168C"/>
    <w:rsid w:val="002A38CC"/>
    <w:rsid w:val="002A3B46"/>
    <w:rsid w:val="002A3DC7"/>
    <w:rsid w:val="002A73A4"/>
    <w:rsid w:val="002B00D2"/>
    <w:rsid w:val="002B23AB"/>
    <w:rsid w:val="002B49E2"/>
    <w:rsid w:val="002B5030"/>
    <w:rsid w:val="002B50E8"/>
    <w:rsid w:val="002B560F"/>
    <w:rsid w:val="002B5848"/>
    <w:rsid w:val="002B6EEE"/>
    <w:rsid w:val="002B7298"/>
    <w:rsid w:val="002B74FE"/>
    <w:rsid w:val="002B768A"/>
    <w:rsid w:val="002B7B00"/>
    <w:rsid w:val="002B7C44"/>
    <w:rsid w:val="002C108D"/>
    <w:rsid w:val="002C2B17"/>
    <w:rsid w:val="002C2C02"/>
    <w:rsid w:val="002C545E"/>
    <w:rsid w:val="002C5AE0"/>
    <w:rsid w:val="002C75A6"/>
    <w:rsid w:val="002C7971"/>
    <w:rsid w:val="002D0796"/>
    <w:rsid w:val="002D38A6"/>
    <w:rsid w:val="002D3DD0"/>
    <w:rsid w:val="002D6A11"/>
    <w:rsid w:val="002D6A61"/>
    <w:rsid w:val="002E0F48"/>
    <w:rsid w:val="002E16B1"/>
    <w:rsid w:val="002E1F3A"/>
    <w:rsid w:val="002E298A"/>
    <w:rsid w:val="002E3BA4"/>
    <w:rsid w:val="002E3F46"/>
    <w:rsid w:val="002E638E"/>
    <w:rsid w:val="002E69C7"/>
    <w:rsid w:val="002E738C"/>
    <w:rsid w:val="002E743C"/>
    <w:rsid w:val="002F0605"/>
    <w:rsid w:val="002F090A"/>
    <w:rsid w:val="002F1C23"/>
    <w:rsid w:val="002F24D0"/>
    <w:rsid w:val="002F2B06"/>
    <w:rsid w:val="002F4A23"/>
    <w:rsid w:val="002F61AC"/>
    <w:rsid w:val="002F63D8"/>
    <w:rsid w:val="002F6DAF"/>
    <w:rsid w:val="00300D59"/>
    <w:rsid w:val="00301978"/>
    <w:rsid w:val="00302EAE"/>
    <w:rsid w:val="0030332C"/>
    <w:rsid w:val="00303FD1"/>
    <w:rsid w:val="003051C2"/>
    <w:rsid w:val="00305428"/>
    <w:rsid w:val="003105D7"/>
    <w:rsid w:val="00312296"/>
    <w:rsid w:val="00313F22"/>
    <w:rsid w:val="00314F0E"/>
    <w:rsid w:val="00316F45"/>
    <w:rsid w:val="003203B5"/>
    <w:rsid w:val="00321D8E"/>
    <w:rsid w:val="003223B7"/>
    <w:rsid w:val="0032480D"/>
    <w:rsid w:val="00325928"/>
    <w:rsid w:val="003264F3"/>
    <w:rsid w:val="003266A2"/>
    <w:rsid w:val="00331F58"/>
    <w:rsid w:val="00332863"/>
    <w:rsid w:val="00333DE1"/>
    <w:rsid w:val="0033447F"/>
    <w:rsid w:val="0033474A"/>
    <w:rsid w:val="00334F20"/>
    <w:rsid w:val="0033559C"/>
    <w:rsid w:val="00335A98"/>
    <w:rsid w:val="0033684D"/>
    <w:rsid w:val="00337429"/>
    <w:rsid w:val="00337780"/>
    <w:rsid w:val="00337B42"/>
    <w:rsid w:val="00340819"/>
    <w:rsid w:val="00341B42"/>
    <w:rsid w:val="0034238D"/>
    <w:rsid w:val="00342553"/>
    <w:rsid w:val="003428B0"/>
    <w:rsid w:val="0034327F"/>
    <w:rsid w:val="0034348F"/>
    <w:rsid w:val="00345EB5"/>
    <w:rsid w:val="00347C8D"/>
    <w:rsid w:val="003501A7"/>
    <w:rsid w:val="00352081"/>
    <w:rsid w:val="00354A79"/>
    <w:rsid w:val="00354BF6"/>
    <w:rsid w:val="003550E8"/>
    <w:rsid w:val="00356653"/>
    <w:rsid w:val="003571DD"/>
    <w:rsid w:val="0035743F"/>
    <w:rsid w:val="00357BE2"/>
    <w:rsid w:val="003600BE"/>
    <w:rsid w:val="00361523"/>
    <w:rsid w:val="0036170C"/>
    <w:rsid w:val="00363EA5"/>
    <w:rsid w:val="003645BC"/>
    <w:rsid w:val="00364D1C"/>
    <w:rsid w:val="00366E0F"/>
    <w:rsid w:val="003705E5"/>
    <w:rsid w:val="00372289"/>
    <w:rsid w:val="00372C3B"/>
    <w:rsid w:val="003745F8"/>
    <w:rsid w:val="00381A72"/>
    <w:rsid w:val="00384557"/>
    <w:rsid w:val="00384676"/>
    <w:rsid w:val="0039024E"/>
    <w:rsid w:val="00390857"/>
    <w:rsid w:val="00391A4D"/>
    <w:rsid w:val="003935C1"/>
    <w:rsid w:val="00393D5D"/>
    <w:rsid w:val="00395144"/>
    <w:rsid w:val="003959D4"/>
    <w:rsid w:val="00395A4A"/>
    <w:rsid w:val="00396845"/>
    <w:rsid w:val="00396BAF"/>
    <w:rsid w:val="00397784"/>
    <w:rsid w:val="003A24F9"/>
    <w:rsid w:val="003A4BF3"/>
    <w:rsid w:val="003A720D"/>
    <w:rsid w:val="003A7F7B"/>
    <w:rsid w:val="003B00C6"/>
    <w:rsid w:val="003B1F3A"/>
    <w:rsid w:val="003B420D"/>
    <w:rsid w:val="003B64D3"/>
    <w:rsid w:val="003B70DA"/>
    <w:rsid w:val="003C1A05"/>
    <w:rsid w:val="003C4466"/>
    <w:rsid w:val="003C474C"/>
    <w:rsid w:val="003C476F"/>
    <w:rsid w:val="003C6C16"/>
    <w:rsid w:val="003D0A62"/>
    <w:rsid w:val="003D1FB0"/>
    <w:rsid w:val="003D374D"/>
    <w:rsid w:val="003D37B3"/>
    <w:rsid w:val="003D691A"/>
    <w:rsid w:val="003D794D"/>
    <w:rsid w:val="003E05E2"/>
    <w:rsid w:val="003E2162"/>
    <w:rsid w:val="003E3058"/>
    <w:rsid w:val="003E4964"/>
    <w:rsid w:val="003E5F36"/>
    <w:rsid w:val="003E6452"/>
    <w:rsid w:val="003E76A9"/>
    <w:rsid w:val="003F0809"/>
    <w:rsid w:val="003F18AF"/>
    <w:rsid w:val="003F375A"/>
    <w:rsid w:val="003F6225"/>
    <w:rsid w:val="003F6A8C"/>
    <w:rsid w:val="003F755C"/>
    <w:rsid w:val="00402C36"/>
    <w:rsid w:val="00403A0C"/>
    <w:rsid w:val="0040538C"/>
    <w:rsid w:val="00406F01"/>
    <w:rsid w:val="00407AFC"/>
    <w:rsid w:val="0041065E"/>
    <w:rsid w:val="00412006"/>
    <w:rsid w:val="00416D50"/>
    <w:rsid w:val="00416FD5"/>
    <w:rsid w:val="0041771C"/>
    <w:rsid w:val="00417772"/>
    <w:rsid w:val="00420E6A"/>
    <w:rsid w:val="00421AB5"/>
    <w:rsid w:val="004235D9"/>
    <w:rsid w:val="00423945"/>
    <w:rsid w:val="00425957"/>
    <w:rsid w:val="00425A9E"/>
    <w:rsid w:val="00426D6B"/>
    <w:rsid w:val="00427D0C"/>
    <w:rsid w:val="00430B80"/>
    <w:rsid w:val="004313FF"/>
    <w:rsid w:val="00431E6C"/>
    <w:rsid w:val="00432FCE"/>
    <w:rsid w:val="00433CE7"/>
    <w:rsid w:val="00434BE6"/>
    <w:rsid w:val="00435BF6"/>
    <w:rsid w:val="00437A6D"/>
    <w:rsid w:val="004421DD"/>
    <w:rsid w:val="0044246B"/>
    <w:rsid w:val="00442BB1"/>
    <w:rsid w:val="00443DEB"/>
    <w:rsid w:val="004455E1"/>
    <w:rsid w:val="0044568F"/>
    <w:rsid w:val="00446201"/>
    <w:rsid w:val="00452738"/>
    <w:rsid w:val="00452EA4"/>
    <w:rsid w:val="004545A5"/>
    <w:rsid w:val="00456091"/>
    <w:rsid w:val="00457F0D"/>
    <w:rsid w:val="00460360"/>
    <w:rsid w:val="00460C27"/>
    <w:rsid w:val="0046177E"/>
    <w:rsid w:val="004639DC"/>
    <w:rsid w:val="00464F26"/>
    <w:rsid w:val="00466321"/>
    <w:rsid w:val="00470E4E"/>
    <w:rsid w:val="00472D03"/>
    <w:rsid w:val="0047369F"/>
    <w:rsid w:val="00473857"/>
    <w:rsid w:val="00473F56"/>
    <w:rsid w:val="00476172"/>
    <w:rsid w:val="004764D3"/>
    <w:rsid w:val="0047669D"/>
    <w:rsid w:val="00481271"/>
    <w:rsid w:val="00481761"/>
    <w:rsid w:val="00481D02"/>
    <w:rsid w:val="00484B9B"/>
    <w:rsid w:val="004855F6"/>
    <w:rsid w:val="004863C5"/>
    <w:rsid w:val="0048661E"/>
    <w:rsid w:val="004932D7"/>
    <w:rsid w:val="00493DAB"/>
    <w:rsid w:val="00494670"/>
    <w:rsid w:val="0049638C"/>
    <w:rsid w:val="004A1077"/>
    <w:rsid w:val="004A3823"/>
    <w:rsid w:val="004A3921"/>
    <w:rsid w:val="004A3B76"/>
    <w:rsid w:val="004A6F6D"/>
    <w:rsid w:val="004B1219"/>
    <w:rsid w:val="004B19F9"/>
    <w:rsid w:val="004B320F"/>
    <w:rsid w:val="004B4C8C"/>
    <w:rsid w:val="004B71D3"/>
    <w:rsid w:val="004C131C"/>
    <w:rsid w:val="004C3200"/>
    <w:rsid w:val="004C3A79"/>
    <w:rsid w:val="004C3C08"/>
    <w:rsid w:val="004C4E1D"/>
    <w:rsid w:val="004C5C87"/>
    <w:rsid w:val="004C6EB5"/>
    <w:rsid w:val="004C7983"/>
    <w:rsid w:val="004C7DC0"/>
    <w:rsid w:val="004D0F22"/>
    <w:rsid w:val="004D1D71"/>
    <w:rsid w:val="004D310B"/>
    <w:rsid w:val="004D4092"/>
    <w:rsid w:val="004D51B7"/>
    <w:rsid w:val="004E03C2"/>
    <w:rsid w:val="004E0769"/>
    <w:rsid w:val="004E11D2"/>
    <w:rsid w:val="004E61A5"/>
    <w:rsid w:val="004E6946"/>
    <w:rsid w:val="004E6CB5"/>
    <w:rsid w:val="004F1AD8"/>
    <w:rsid w:val="004F21D7"/>
    <w:rsid w:val="004F27F0"/>
    <w:rsid w:val="004F2A39"/>
    <w:rsid w:val="004F4164"/>
    <w:rsid w:val="004F4C7D"/>
    <w:rsid w:val="004F5CF2"/>
    <w:rsid w:val="004F5D87"/>
    <w:rsid w:val="00502D4C"/>
    <w:rsid w:val="00503637"/>
    <w:rsid w:val="005039CB"/>
    <w:rsid w:val="0050558F"/>
    <w:rsid w:val="00506286"/>
    <w:rsid w:val="00510813"/>
    <w:rsid w:val="00510E4F"/>
    <w:rsid w:val="0051102A"/>
    <w:rsid w:val="005114BF"/>
    <w:rsid w:val="00511990"/>
    <w:rsid w:val="00511DE0"/>
    <w:rsid w:val="005144D0"/>
    <w:rsid w:val="00514870"/>
    <w:rsid w:val="00514B9B"/>
    <w:rsid w:val="0051515C"/>
    <w:rsid w:val="00515443"/>
    <w:rsid w:val="00516A8C"/>
    <w:rsid w:val="00517F02"/>
    <w:rsid w:val="00521C25"/>
    <w:rsid w:val="00524303"/>
    <w:rsid w:val="005258A2"/>
    <w:rsid w:val="005266AE"/>
    <w:rsid w:val="0053084B"/>
    <w:rsid w:val="00530991"/>
    <w:rsid w:val="00530BD7"/>
    <w:rsid w:val="00531363"/>
    <w:rsid w:val="00531A5A"/>
    <w:rsid w:val="00532E21"/>
    <w:rsid w:val="0053382A"/>
    <w:rsid w:val="0053393B"/>
    <w:rsid w:val="00535B8E"/>
    <w:rsid w:val="00537DF9"/>
    <w:rsid w:val="005401AE"/>
    <w:rsid w:val="00542E07"/>
    <w:rsid w:val="00543480"/>
    <w:rsid w:val="00544AE4"/>
    <w:rsid w:val="00545424"/>
    <w:rsid w:val="00545441"/>
    <w:rsid w:val="0054710F"/>
    <w:rsid w:val="0054762C"/>
    <w:rsid w:val="0054766E"/>
    <w:rsid w:val="00547A65"/>
    <w:rsid w:val="005508C4"/>
    <w:rsid w:val="005508EF"/>
    <w:rsid w:val="00551847"/>
    <w:rsid w:val="00553121"/>
    <w:rsid w:val="00554677"/>
    <w:rsid w:val="00554A7B"/>
    <w:rsid w:val="0055572C"/>
    <w:rsid w:val="005568AE"/>
    <w:rsid w:val="00556A5A"/>
    <w:rsid w:val="00560C22"/>
    <w:rsid w:val="0056106A"/>
    <w:rsid w:val="005623A7"/>
    <w:rsid w:val="005631DA"/>
    <w:rsid w:val="00564290"/>
    <w:rsid w:val="00565F66"/>
    <w:rsid w:val="005665CD"/>
    <w:rsid w:val="0056687B"/>
    <w:rsid w:val="0056687D"/>
    <w:rsid w:val="005720AE"/>
    <w:rsid w:val="00572D3D"/>
    <w:rsid w:val="00575DDD"/>
    <w:rsid w:val="00576661"/>
    <w:rsid w:val="005815CC"/>
    <w:rsid w:val="00582AD8"/>
    <w:rsid w:val="00583DEC"/>
    <w:rsid w:val="005846FB"/>
    <w:rsid w:val="005848FF"/>
    <w:rsid w:val="00594D77"/>
    <w:rsid w:val="00596509"/>
    <w:rsid w:val="005969E4"/>
    <w:rsid w:val="005A06B7"/>
    <w:rsid w:val="005A078B"/>
    <w:rsid w:val="005A09C1"/>
    <w:rsid w:val="005A1759"/>
    <w:rsid w:val="005A250C"/>
    <w:rsid w:val="005A265C"/>
    <w:rsid w:val="005A5FC5"/>
    <w:rsid w:val="005A68A7"/>
    <w:rsid w:val="005A7CE9"/>
    <w:rsid w:val="005B195D"/>
    <w:rsid w:val="005B1DB9"/>
    <w:rsid w:val="005C009B"/>
    <w:rsid w:val="005C57DA"/>
    <w:rsid w:val="005C7F74"/>
    <w:rsid w:val="005D0FD1"/>
    <w:rsid w:val="005D11A9"/>
    <w:rsid w:val="005D1D58"/>
    <w:rsid w:val="005D36AB"/>
    <w:rsid w:val="005D3AA0"/>
    <w:rsid w:val="005D508D"/>
    <w:rsid w:val="005D7E26"/>
    <w:rsid w:val="005E205E"/>
    <w:rsid w:val="005E4175"/>
    <w:rsid w:val="005E4CC7"/>
    <w:rsid w:val="005E5931"/>
    <w:rsid w:val="005E64BA"/>
    <w:rsid w:val="005F0A00"/>
    <w:rsid w:val="005F3160"/>
    <w:rsid w:val="005F34A7"/>
    <w:rsid w:val="005F5BFB"/>
    <w:rsid w:val="005F73C3"/>
    <w:rsid w:val="0060007B"/>
    <w:rsid w:val="006008A8"/>
    <w:rsid w:val="006026AE"/>
    <w:rsid w:val="00602BF3"/>
    <w:rsid w:val="0060424E"/>
    <w:rsid w:val="00604A02"/>
    <w:rsid w:val="00607A85"/>
    <w:rsid w:val="006103BE"/>
    <w:rsid w:val="00610D9E"/>
    <w:rsid w:val="00611A44"/>
    <w:rsid w:val="006121C3"/>
    <w:rsid w:val="00614F41"/>
    <w:rsid w:val="0061646D"/>
    <w:rsid w:val="00617CC3"/>
    <w:rsid w:val="00617FF5"/>
    <w:rsid w:val="00621643"/>
    <w:rsid w:val="00621899"/>
    <w:rsid w:val="00623D4B"/>
    <w:rsid w:val="006258C8"/>
    <w:rsid w:val="006331EE"/>
    <w:rsid w:val="00633322"/>
    <w:rsid w:val="00635AF0"/>
    <w:rsid w:val="006377A6"/>
    <w:rsid w:val="00637A3D"/>
    <w:rsid w:val="00640470"/>
    <w:rsid w:val="00640B52"/>
    <w:rsid w:val="006411EF"/>
    <w:rsid w:val="00642B6D"/>
    <w:rsid w:val="006450D4"/>
    <w:rsid w:val="00646306"/>
    <w:rsid w:val="00646673"/>
    <w:rsid w:val="00650C11"/>
    <w:rsid w:val="00657940"/>
    <w:rsid w:val="0066129A"/>
    <w:rsid w:val="00663B79"/>
    <w:rsid w:val="006658EF"/>
    <w:rsid w:val="00667E9D"/>
    <w:rsid w:val="00670389"/>
    <w:rsid w:val="006734CC"/>
    <w:rsid w:val="0067430E"/>
    <w:rsid w:val="006748B8"/>
    <w:rsid w:val="006751BC"/>
    <w:rsid w:val="0067565E"/>
    <w:rsid w:val="00675E84"/>
    <w:rsid w:val="00676C5D"/>
    <w:rsid w:val="006775C3"/>
    <w:rsid w:val="00680431"/>
    <w:rsid w:val="00684836"/>
    <w:rsid w:val="006853FB"/>
    <w:rsid w:val="00686778"/>
    <w:rsid w:val="006872AB"/>
    <w:rsid w:val="0069290A"/>
    <w:rsid w:val="006937AF"/>
    <w:rsid w:val="00697576"/>
    <w:rsid w:val="0069775A"/>
    <w:rsid w:val="00697813"/>
    <w:rsid w:val="0069794F"/>
    <w:rsid w:val="006A1AC9"/>
    <w:rsid w:val="006A226E"/>
    <w:rsid w:val="006A2D61"/>
    <w:rsid w:val="006A3EE8"/>
    <w:rsid w:val="006A445C"/>
    <w:rsid w:val="006A4D9F"/>
    <w:rsid w:val="006A5254"/>
    <w:rsid w:val="006A5937"/>
    <w:rsid w:val="006A5C73"/>
    <w:rsid w:val="006A61F7"/>
    <w:rsid w:val="006A6253"/>
    <w:rsid w:val="006A6CF6"/>
    <w:rsid w:val="006A72BF"/>
    <w:rsid w:val="006A7882"/>
    <w:rsid w:val="006A7AFE"/>
    <w:rsid w:val="006B0226"/>
    <w:rsid w:val="006B0229"/>
    <w:rsid w:val="006B03F2"/>
    <w:rsid w:val="006B0C68"/>
    <w:rsid w:val="006B37DC"/>
    <w:rsid w:val="006B4F68"/>
    <w:rsid w:val="006B5E2F"/>
    <w:rsid w:val="006C046F"/>
    <w:rsid w:val="006C0592"/>
    <w:rsid w:val="006C1AFF"/>
    <w:rsid w:val="006C272E"/>
    <w:rsid w:val="006C27F0"/>
    <w:rsid w:val="006C2E32"/>
    <w:rsid w:val="006C31F3"/>
    <w:rsid w:val="006C384A"/>
    <w:rsid w:val="006C3C55"/>
    <w:rsid w:val="006C421C"/>
    <w:rsid w:val="006C5170"/>
    <w:rsid w:val="006C5479"/>
    <w:rsid w:val="006C73F9"/>
    <w:rsid w:val="006D0179"/>
    <w:rsid w:val="006D13B5"/>
    <w:rsid w:val="006D1A73"/>
    <w:rsid w:val="006D2350"/>
    <w:rsid w:val="006D45E8"/>
    <w:rsid w:val="006D6CBA"/>
    <w:rsid w:val="006D745D"/>
    <w:rsid w:val="006E12FF"/>
    <w:rsid w:val="006E316B"/>
    <w:rsid w:val="006E3A7A"/>
    <w:rsid w:val="006E44A4"/>
    <w:rsid w:val="006E503A"/>
    <w:rsid w:val="006E52B2"/>
    <w:rsid w:val="006E607E"/>
    <w:rsid w:val="006E67B0"/>
    <w:rsid w:val="006E721B"/>
    <w:rsid w:val="006F0F33"/>
    <w:rsid w:val="006F1132"/>
    <w:rsid w:val="006F1E83"/>
    <w:rsid w:val="006F4022"/>
    <w:rsid w:val="006F522F"/>
    <w:rsid w:val="006F7029"/>
    <w:rsid w:val="006F7BC6"/>
    <w:rsid w:val="00703C9E"/>
    <w:rsid w:val="007053D5"/>
    <w:rsid w:val="007059D3"/>
    <w:rsid w:val="007060B5"/>
    <w:rsid w:val="00706C5D"/>
    <w:rsid w:val="00711BA2"/>
    <w:rsid w:val="00712D4E"/>
    <w:rsid w:val="007141E4"/>
    <w:rsid w:val="007161A1"/>
    <w:rsid w:val="00716426"/>
    <w:rsid w:val="007216CC"/>
    <w:rsid w:val="0072280E"/>
    <w:rsid w:val="0072375A"/>
    <w:rsid w:val="00724AC6"/>
    <w:rsid w:val="00724C6F"/>
    <w:rsid w:val="00726EB3"/>
    <w:rsid w:val="00727602"/>
    <w:rsid w:val="0073063E"/>
    <w:rsid w:val="00730D51"/>
    <w:rsid w:val="007318F9"/>
    <w:rsid w:val="00732922"/>
    <w:rsid w:val="00735428"/>
    <w:rsid w:val="00736712"/>
    <w:rsid w:val="00736D57"/>
    <w:rsid w:val="0074547A"/>
    <w:rsid w:val="007455C0"/>
    <w:rsid w:val="00745BAC"/>
    <w:rsid w:val="0075162E"/>
    <w:rsid w:val="00752807"/>
    <w:rsid w:val="00752959"/>
    <w:rsid w:val="007536C7"/>
    <w:rsid w:val="00754034"/>
    <w:rsid w:val="0075403E"/>
    <w:rsid w:val="00754188"/>
    <w:rsid w:val="007548CB"/>
    <w:rsid w:val="007554EC"/>
    <w:rsid w:val="00756556"/>
    <w:rsid w:val="007567BF"/>
    <w:rsid w:val="00756B5E"/>
    <w:rsid w:val="007614D0"/>
    <w:rsid w:val="007618C4"/>
    <w:rsid w:val="00763D4B"/>
    <w:rsid w:val="007643C6"/>
    <w:rsid w:val="007652D8"/>
    <w:rsid w:val="00767980"/>
    <w:rsid w:val="00770B19"/>
    <w:rsid w:val="007711FD"/>
    <w:rsid w:val="00774540"/>
    <w:rsid w:val="0077463F"/>
    <w:rsid w:val="00775380"/>
    <w:rsid w:val="00780833"/>
    <w:rsid w:val="00781278"/>
    <w:rsid w:val="007821A4"/>
    <w:rsid w:val="00782582"/>
    <w:rsid w:val="007836EA"/>
    <w:rsid w:val="007839A5"/>
    <w:rsid w:val="00783A12"/>
    <w:rsid w:val="00784CDA"/>
    <w:rsid w:val="007906C4"/>
    <w:rsid w:val="007940EA"/>
    <w:rsid w:val="0079509A"/>
    <w:rsid w:val="007967E8"/>
    <w:rsid w:val="00797D4E"/>
    <w:rsid w:val="00797DF9"/>
    <w:rsid w:val="007A1695"/>
    <w:rsid w:val="007A2170"/>
    <w:rsid w:val="007A22BF"/>
    <w:rsid w:val="007A3323"/>
    <w:rsid w:val="007A33B8"/>
    <w:rsid w:val="007A5151"/>
    <w:rsid w:val="007B2B64"/>
    <w:rsid w:val="007B6A23"/>
    <w:rsid w:val="007B6B63"/>
    <w:rsid w:val="007B72B8"/>
    <w:rsid w:val="007B7A58"/>
    <w:rsid w:val="007B7B73"/>
    <w:rsid w:val="007C09AF"/>
    <w:rsid w:val="007C0FD0"/>
    <w:rsid w:val="007C21B5"/>
    <w:rsid w:val="007C272E"/>
    <w:rsid w:val="007C4FE5"/>
    <w:rsid w:val="007C70CA"/>
    <w:rsid w:val="007C791A"/>
    <w:rsid w:val="007D0939"/>
    <w:rsid w:val="007D58FD"/>
    <w:rsid w:val="007D642E"/>
    <w:rsid w:val="007E0775"/>
    <w:rsid w:val="007E0EE5"/>
    <w:rsid w:val="007E202C"/>
    <w:rsid w:val="007E4B68"/>
    <w:rsid w:val="007E4BD2"/>
    <w:rsid w:val="007E535B"/>
    <w:rsid w:val="007F1326"/>
    <w:rsid w:val="007F2377"/>
    <w:rsid w:val="007F5CEE"/>
    <w:rsid w:val="007F5E22"/>
    <w:rsid w:val="008003BB"/>
    <w:rsid w:val="00801393"/>
    <w:rsid w:val="00802F88"/>
    <w:rsid w:val="008032D3"/>
    <w:rsid w:val="008049B7"/>
    <w:rsid w:val="00806CD4"/>
    <w:rsid w:val="00806E65"/>
    <w:rsid w:val="00806FB8"/>
    <w:rsid w:val="00811C94"/>
    <w:rsid w:val="0081293E"/>
    <w:rsid w:val="00813A44"/>
    <w:rsid w:val="00813F47"/>
    <w:rsid w:val="00815465"/>
    <w:rsid w:val="008159FF"/>
    <w:rsid w:val="008164C9"/>
    <w:rsid w:val="00817E9A"/>
    <w:rsid w:val="00820279"/>
    <w:rsid w:val="008202B6"/>
    <w:rsid w:val="00822775"/>
    <w:rsid w:val="00822AAF"/>
    <w:rsid w:val="00822C7E"/>
    <w:rsid w:val="00824FDE"/>
    <w:rsid w:val="0082522B"/>
    <w:rsid w:val="00827276"/>
    <w:rsid w:val="008300C6"/>
    <w:rsid w:val="00830569"/>
    <w:rsid w:val="008306AC"/>
    <w:rsid w:val="008306BD"/>
    <w:rsid w:val="008309D2"/>
    <w:rsid w:val="00831A80"/>
    <w:rsid w:val="008321FA"/>
    <w:rsid w:val="00833743"/>
    <w:rsid w:val="008340A4"/>
    <w:rsid w:val="00834264"/>
    <w:rsid w:val="00835069"/>
    <w:rsid w:val="008366F7"/>
    <w:rsid w:val="0083753A"/>
    <w:rsid w:val="00840C8D"/>
    <w:rsid w:val="00842524"/>
    <w:rsid w:val="008428F5"/>
    <w:rsid w:val="008430BE"/>
    <w:rsid w:val="00843978"/>
    <w:rsid w:val="00843A06"/>
    <w:rsid w:val="0084573D"/>
    <w:rsid w:val="0084598F"/>
    <w:rsid w:val="00845CBF"/>
    <w:rsid w:val="0085170A"/>
    <w:rsid w:val="00851E3B"/>
    <w:rsid w:val="0085206A"/>
    <w:rsid w:val="00853D09"/>
    <w:rsid w:val="00853DEA"/>
    <w:rsid w:val="00855895"/>
    <w:rsid w:val="0085624C"/>
    <w:rsid w:val="00857DEF"/>
    <w:rsid w:val="00861C8D"/>
    <w:rsid w:val="008627D3"/>
    <w:rsid w:val="008637B5"/>
    <w:rsid w:val="00863A26"/>
    <w:rsid w:val="00864FBE"/>
    <w:rsid w:val="0086693D"/>
    <w:rsid w:val="00867AB4"/>
    <w:rsid w:val="0087135F"/>
    <w:rsid w:val="00872D94"/>
    <w:rsid w:val="00874BAF"/>
    <w:rsid w:val="0087629B"/>
    <w:rsid w:val="008776B9"/>
    <w:rsid w:val="00880364"/>
    <w:rsid w:val="008807D4"/>
    <w:rsid w:val="00880E1B"/>
    <w:rsid w:val="00882B24"/>
    <w:rsid w:val="00883349"/>
    <w:rsid w:val="0088386E"/>
    <w:rsid w:val="008855AF"/>
    <w:rsid w:val="008865ED"/>
    <w:rsid w:val="00887591"/>
    <w:rsid w:val="0088798D"/>
    <w:rsid w:val="00890F16"/>
    <w:rsid w:val="00890F20"/>
    <w:rsid w:val="00891592"/>
    <w:rsid w:val="00891E9E"/>
    <w:rsid w:val="00894187"/>
    <w:rsid w:val="00894218"/>
    <w:rsid w:val="00895C68"/>
    <w:rsid w:val="008A02E7"/>
    <w:rsid w:val="008A1664"/>
    <w:rsid w:val="008A1B49"/>
    <w:rsid w:val="008A1DEF"/>
    <w:rsid w:val="008A2F68"/>
    <w:rsid w:val="008A4ED1"/>
    <w:rsid w:val="008A74E5"/>
    <w:rsid w:val="008A756D"/>
    <w:rsid w:val="008B1B03"/>
    <w:rsid w:val="008B2253"/>
    <w:rsid w:val="008B4FA6"/>
    <w:rsid w:val="008B5282"/>
    <w:rsid w:val="008B7489"/>
    <w:rsid w:val="008B7C17"/>
    <w:rsid w:val="008B7DAE"/>
    <w:rsid w:val="008C0B22"/>
    <w:rsid w:val="008C1978"/>
    <w:rsid w:val="008C26D1"/>
    <w:rsid w:val="008C281C"/>
    <w:rsid w:val="008C2D01"/>
    <w:rsid w:val="008C36FC"/>
    <w:rsid w:val="008C38C4"/>
    <w:rsid w:val="008C40E6"/>
    <w:rsid w:val="008C7B41"/>
    <w:rsid w:val="008D0CD4"/>
    <w:rsid w:val="008D0F7A"/>
    <w:rsid w:val="008D1982"/>
    <w:rsid w:val="008D300A"/>
    <w:rsid w:val="008D3488"/>
    <w:rsid w:val="008D4806"/>
    <w:rsid w:val="008D4E0F"/>
    <w:rsid w:val="008D5FEF"/>
    <w:rsid w:val="008D68E4"/>
    <w:rsid w:val="008D706B"/>
    <w:rsid w:val="008E0506"/>
    <w:rsid w:val="008E0840"/>
    <w:rsid w:val="008E0CFF"/>
    <w:rsid w:val="008E0DE3"/>
    <w:rsid w:val="008E3CD4"/>
    <w:rsid w:val="008E4EAD"/>
    <w:rsid w:val="008E5D6B"/>
    <w:rsid w:val="008E69FF"/>
    <w:rsid w:val="008E76F0"/>
    <w:rsid w:val="008E7932"/>
    <w:rsid w:val="008F15FE"/>
    <w:rsid w:val="008F17A2"/>
    <w:rsid w:val="008F2D29"/>
    <w:rsid w:val="008F3B0E"/>
    <w:rsid w:val="008F5187"/>
    <w:rsid w:val="008F5FC6"/>
    <w:rsid w:val="008F60D8"/>
    <w:rsid w:val="0090010A"/>
    <w:rsid w:val="00902727"/>
    <w:rsid w:val="009030E9"/>
    <w:rsid w:val="0090312B"/>
    <w:rsid w:val="0090406B"/>
    <w:rsid w:val="0090480C"/>
    <w:rsid w:val="0090555F"/>
    <w:rsid w:val="0090558F"/>
    <w:rsid w:val="00905A68"/>
    <w:rsid w:val="00906A05"/>
    <w:rsid w:val="00906E30"/>
    <w:rsid w:val="00910D1F"/>
    <w:rsid w:val="009110B4"/>
    <w:rsid w:val="009111A3"/>
    <w:rsid w:val="00911A7B"/>
    <w:rsid w:val="00911CA5"/>
    <w:rsid w:val="0091225F"/>
    <w:rsid w:val="00914B43"/>
    <w:rsid w:val="0091736D"/>
    <w:rsid w:val="00923261"/>
    <w:rsid w:val="009275A5"/>
    <w:rsid w:val="0093037A"/>
    <w:rsid w:val="00930A98"/>
    <w:rsid w:val="00930D31"/>
    <w:rsid w:val="00932A8F"/>
    <w:rsid w:val="00934B42"/>
    <w:rsid w:val="0093570F"/>
    <w:rsid w:val="0094154D"/>
    <w:rsid w:val="00942192"/>
    <w:rsid w:val="009448FC"/>
    <w:rsid w:val="009456A6"/>
    <w:rsid w:val="009474DD"/>
    <w:rsid w:val="00947F83"/>
    <w:rsid w:val="00947FEF"/>
    <w:rsid w:val="0095155F"/>
    <w:rsid w:val="009521FC"/>
    <w:rsid w:val="009528BF"/>
    <w:rsid w:val="00954429"/>
    <w:rsid w:val="00955249"/>
    <w:rsid w:val="009563CE"/>
    <w:rsid w:val="0095678F"/>
    <w:rsid w:val="00957430"/>
    <w:rsid w:val="009576AC"/>
    <w:rsid w:val="0095792D"/>
    <w:rsid w:val="00960B20"/>
    <w:rsid w:val="00961621"/>
    <w:rsid w:val="00961DA7"/>
    <w:rsid w:val="009644F2"/>
    <w:rsid w:val="0096555C"/>
    <w:rsid w:val="00966ADE"/>
    <w:rsid w:val="00966CFB"/>
    <w:rsid w:val="00967CF7"/>
    <w:rsid w:val="009716A5"/>
    <w:rsid w:val="00973259"/>
    <w:rsid w:val="0097423C"/>
    <w:rsid w:val="00976328"/>
    <w:rsid w:val="009763B2"/>
    <w:rsid w:val="009764D6"/>
    <w:rsid w:val="0097680D"/>
    <w:rsid w:val="00980367"/>
    <w:rsid w:val="0098204F"/>
    <w:rsid w:val="00982438"/>
    <w:rsid w:val="00982D0F"/>
    <w:rsid w:val="009830F8"/>
    <w:rsid w:val="0098404C"/>
    <w:rsid w:val="009846D2"/>
    <w:rsid w:val="00984C7F"/>
    <w:rsid w:val="00985180"/>
    <w:rsid w:val="00985283"/>
    <w:rsid w:val="009856D9"/>
    <w:rsid w:val="0098661D"/>
    <w:rsid w:val="00987140"/>
    <w:rsid w:val="009902AE"/>
    <w:rsid w:val="009917EA"/>
    <w:rsid w:val="00995992"/>
    <w:rsid w:val="00996296"/>
    <w:rsid w:val="00997A2F"/>
    <w:rsid w:val="009A03E5"/>
    <w:rsid w:val="009A0E11"/>
    <w:rsid w:val="009A0F3B"/>
    <w:rsid w:val="009A192C"/>
    <w:rsid w:val="009A1BB4"/>
    <w:rsid w:val="009A1CFF"/>
    <w:rsid w:val="009A2232"/>
    <w:rsid w:val="009A2628"/>
    <w:rsid w:val="009A27A4"/>
    <w:rsid w:val="009A3200"/>
    <w:rsid w:val="009A5F81"/>
    <w:rsid w:val="009B0897"/>
    <w:rsid w:val="009B1033"/>
    <w:rsid w:val="009B112F"/>
    <w:rsid w:val="009B11D4"/>
    <w:rsid w:val="009B35D0"/>
    <w:rsid w:val="009B4018"/>
    <w:rsid w:val="009B5645"/>
    <w:rsid w:val="009B56D6"/>
    <w:rsid w:val="009B5CC3"/>
    <w:rsid w:val="009B6858"/>
    <w:rsid w:val="009B7BD9"/>
    <w:rsid w:val="009C006E"/>
    <w:rsid w:val="009C03A0"/>
    <w:rsid w:val="009C0437"/>
    <w:rsid w:val="009C1025"/>
    <w:rsid w:val="009C2E10"/>
    <w:rsid w:val="009C3862"/>
    <w:rsid w:val="009C3C07"/>
    <w:rsid w:val="009C5AD3"/>
    <w:rsid w:val="009C7DD5"/>
    <w:rsid w:val="009D0A7C"/>
    <w:rsid w:val="009D1736"/>
    <w:rsid w:val="009D18B3"/>
    <w:rsid w:val="009D3650"/>
    <w:rsid w:val="009D3759"/>
    <w:rsid w:val="009D3F1D"/>
    <w:rsid w:val="009D4297"/>
    <w:rsid w:val="009D4B36"/>
    <w:rsid w:val="009D5A2D"/>
    <w:rsid w:val="009D79A5"/>
    <w:rsid w:val="009E1E4C"/>
    <w:rsid w:val="009E227D"/>
    <w:rsid w:val="009E35C3"/>
    <w:rsid w:val="009E4970"/>
    <w:rsid w:val="009E5019"/>
    <w:rsid w:val="009E5605"/>
    <w:rsid w:val="009F327F"/>
    <w:rsid w:val="009F343D"/>
    <w:rsid w:val="009F5BFE"/>
    <w:rsid w:val="009F5FA3"/>
    <w:rsid w:val="009F7CF8"/>
    <w:rsid w:val="00A01CC3"/>
    <w:rsid w:val="00A0269B"/>
    <w:rsid w:val="00A03E89"/>
    <w:rsid w:val="00A048FD"/>
    <w:rsid w:val="00A04F1B"/>
    <w:rsid w:val="00A0501B"/>
    <w:rsid w:val="00A05584"/>
    <w:rsid w:val="00A05612"/>
    <w:rsid w:val="00A05FE5"/>
    <w:rsid w:val="00A06D34"/>
    <w:rsid w:val="00A07610"/>
    <w:rsid w:val="00A07D57"/>
    <w:rsid w:val="00A10A0D"/>
    <w:rsid w:val="00A14947"/>
    <w:rsid w:val="00A200B7"/>
    <w:rsid w:val="00A218DA"/>
    <w:rsid w:val="00A23C5D"/>
    <w:rsid w:val="00A244BE"/>
    <w:rsid w:val="00A25DD7"/>
    <w:rsid w:val="00A25ECC"/>
    <w:rsid w:val="00A30834"/>
    <w:rsid w:val="00A30922"/>
    <w:rsid w:val="00A30B07"/>
    <w:rsid w:val="00A32A83"/>
    <w:rsid w:val="00A33127"/>
    <w:rsid w:val="00A33A76"/>
    <w:rsid w:val="00A344FC"/>
    <w:rsid w:val="00A368DB"/>
    <w:rsid w:val="00A406A5"/>
    <w:rsid w:val="00A41083"/>
    <w:rsid w:val="00A423AA"/>
    <w:rsid w:val="00A428D9"/>
    <w:rsid w:val="00A506F0"/>
    <w:rsid w:val="00A515AB"/>
    <w:rsid w:val="00A53EC6"/>
    <w:rsid w:val="00A55C0F"/>
    <w:rsid w:val="00A56D91"/>
    <w:rsid w:val="00A610CB"/>
    <w:rsid w:val="00A62511"/>
    <w:rsid w:val="00A64A71"/>
    <w:rsid w:val="00A65F07"/>
    <w:rsid w:val="00A66A25"/>
    <w:rsid w:val="00A67B42"/>
    <w:rsid w:val="00A67DBE"/>
    <w:rsid w:val="00A730B3"/>
    <w:rsid w:val="00A738FF"/>
    <w:rsid w:val="00A84ED7"/>
    <w:rsid w:val="00A8713F"/>
    <w:rsid w:val="00A90BA1"/>
    <w:rsid w:val="00A96560"/>
    <w:rsid w:val="00A96D93"/>
    <w:rsid w:val="00A97A9A"/>
    <w:rsid w:val="00A97CC1"/>
    <w:rsid w:val="00AA0533"/>
    <w:rsid w:val="00AA0671"/>
    <w:rsid w:val="00AA2531"/>
    <w:rsid w:val="00AA4330"/>
    <w:rsid w:val="00AA4C5D"/>
    <w:rsid w:val="00AA5887"/>
    <w:rsid w:val="00AA78E8"/>
    <w:rsid w:val="00AB1250"/>
    <w:rsid w:val="00AB1E09"/>
    <w:rsid w:val="00AB2038"/>
    <w:rsid w:val="00AB3068"/>
    <w:rsid w:val="00AB3AD0"/>
    <w:rsid w:val="00AB5017"/>
    <w:rsid w:val="00AB5241"/>
    <w:rsid w:val="00AB5330"/>
    <w:rsid w:val="00AB6719"/>
    <w:rsid w:val="00AB7747"/>
    <w:rsid w:val="00AB7842"/>
    <w:rsid w:val="00AB7FB5"/>
    <w:rsid w:val="00AC0195"/>
    <w:rsid w:val="00AC14CE"/>
    <w:rsid w:val="00AC242B"/>
    <w:rsid w:val="00AC2A56"/>
    <w:rsid w:val="00AC2CA5"/>
    <w:rsid w:val="00AC3156"/>
    <w:rsid w:val="00AC4F12"/>
    <w:rsid w:val="00AD0131"/>
    <w:rsid w:val="00AD055E"/>
    <w:rsid w:val="00AD07AA"/>
    <w:rsid w:val="00AD4466"/>
    <w:rsid w:val="00AD47A7"/>
    <w:rsid w:val="00AD4F0D"/>
    <w:rsid w:val="00AD6CB1"/>
    <w:rsid w:val="00AD72E9"/>
    <w:rsid w:val="00AD72F1"/>
    <w:rsid w:val="00AD736F"/>
    <w:rsid w:val="00AE1A63"/>
    <w:rsid w:val="00AE42D7"/>
    <w:rsid w:val="00AE537B"/>
    <w:rsid w:val="00AE7F2A"/>
    <w:rsid w:val="00AF03D2"/>
    <w:rsid w:val="00AF0CBF"/>
    <w:rsid w:val="00AF0DBE"/>
    <w:rsid w:val="00AF120C"/>
    <w:rsid w:val="00AF14EB"/>
    <w:rsid w:val="00AF16DA"/>
    <w:rsid w:val="00AF1B86"/>
    <w:rsid w:val="00AF24DF"/>
    <w:rsid w:val="00AF257F"/>
    <w:rsid w:val="00AF3135"/>
    <w:rsid w:val="00AF33CF"/>
    <w:rsid w:val="00AF4D50"/>
    <w:rsid w:val="00AF558C"/>
    <w:rsid w:val="00AF6179"/>
    <w:rsid w:val="00AF62DE"/>
    <w:rsid w:val="00AF70D3"/>
    <w:rsid w:val="00B01AB4"/>
    <w:rsid w:val="00B07AF9"/>
    <w:rsid w:val="00B07B88"/>
    <w:rsid w:val="00B1295A"/>
    <w:rsid w:val="00B12E80"/>
    <w:rsid w:val="00B13EDB"/>
    <w:rsid w:val="00B20518"/>
    <w:rsid w:val="00B20A45"/>
    <w:rsid w:val="00B21DA9"/>
    <w:rsid w:val="00B22C5C"/>
    <w:rsid w:val="00B240D1"/>
    <w:rsid w:val="00B24F30"/>
    <w:rsid w:val="00B26864"/>
    <w:rsid w:val="00B31243"/>
    <w:rsid w:val="00B31ABF"/>
    <w:rsid w:val="00B33419"/>
    <w:rsid w:val="00B33BE3"/>
    <w:rsid w:val="00B34D0D"/>
    <w:rsid w:val="00B35348"/>
    <w:rsid w:val="00B35C93"/>
    <w:rsid w:val="00B36D42"/>
    <w:rsid w:val="00B37062"/>
    <w:rsid w:val="00B377D8"/>
    <w:rsid w:val="00B43A43"/>
    <w:rsid w:val="00B441DB"/>
    <w:rsid w:val="00B456D7"/>
    <w:rsid w:val="00B4576E"/>
    <w:rsid w:val="00B51240"/>
    <w:rsid w:val="00B53B5D"/>
    <w:rsid w:val="00B542FE"/>
    <w:rsid w:val="00B56686"/>
    <w:rsid w:val="00B567F8"/>
    <w:rsid w:val="00B57F6F"/>
    <w:rsid w:val="00B6055E"/>
    <w:rsid w:val="00B6317D"/>
    <w:rsid w:val="00B63D6E"/>
    <w:rsid w:val="00B64DE0"/>
    <w:rsid w:val="00B65098"/>
    <w:rsid w:val="00B65F6C"/>
    <w:rsid w:val="00B66B4D"/>
    <w:rsid w:val="00B7034E"/>
    <w:rsid w:val="00B708DD"/>
    <w:rsid w:val="00B7103B"/>
    <w:rsid w:val="00B74013"/>
    <w:rsid w:val="00B7600C"/>
    <w:rsid w:val="00B7723F"/>
    <w:rsid w:val="00B77A00"/>
    <w:rsid w:val="00B80534"/>
    <w:rsid w:val="00B81279"/>
    <w:rsid w:val="00B8219F"/>
    <w:rsid w:val="00B82AD6"/>
    <w:rsid w:val="00B8374B"/>
    <w:rsid w:val="00B83A86"/>
    <w:rsid w:val="00B83C43"/>
    <w:rsid w:val="00B8433C"/>
    <w:rsid w:val="00B85A47"/>
    <w:rsid w:val="00B872EA"/>
    <w:rsid w:val="00B87491"/>
    <w:rsid w:val="00B93FAD"/>
    <w:rsid w:val="00B9653C"/>
    <w:rsid w:val="00B96A5F"/>
    <w:rsid w:val="00B96DD4"/>
    <w:rsid w:val="00BA29E9"/>
    <w:rsid w:val="00BA3108"/>
    <w:rsid w:val="00BA588F"/>
    <w:rsid w:val="00BA6CD7"/>
    <w:rsid w:val="00BA7142"/>
    <w:rsid w:val="00BA7288"/>
    <w:rsid w:val="00BB05CF"/>
    <w:rsid w:val="00BB0C0E"/>
    <w:rsid w:val="00BB21FC"/>
    <w:rsid w:val="00BB237C"/>
    <w:rsid w:val="00BB41A3"/>
    <w:rsid w:val="00BC0BB2"/>
    <w:rsid w:val="00BC16A2"/>
    <w:rsid w:val="00BC32DC"/>
    <w:rsid w:val="00BC35B6"/>
    <w:rsid w:val="00BC3937"/>
    <w:rsid w:val="00BC403A"/>
    <w:rsid w:val="00BD1B51"/>
    <w:rsid w:val="00BD3200"/>
    <w:rsid w:val="00BD4596"/>
    <w:rsid w:val="00BD7D47"/>
    <w:rsid w:val="00BE0487"/>
    <w:rsid w:val="00BE09F0"/>
    <w:rsid w:val="00BE1405"/>
    <w:rsid w:val="00BE275D"/>
    <w:rsid w:val="00BE2978"/>
    <w:rsid w:val="00BE2F4C"/>
    <w:rsid w:val="00BE312D"/>
    <w:rsid w:val="00BE3FE9"/>
    <w:rsid w:val="00BE667C"/>
    <w:rsid w:val="00BE7336"/>
    <w:rsid w:val="00BE7A18"/>
    <w:rsid w:val="00BE7DF0"/>
    <w:rsid w:val="00BF1C20"/>
    <w:rsid w:val="00BF1CB5"/>
    <w:rsid w:val="00BF25CA"/>
    <w:rsid w:val="00BF2A26"/>
    <w:rsid w:val="00BF30F0"/>
    <w:rsid w:val="00BF3780"/>
    <w:rsid w:val="00BF400D"/>
    <w:rsid w:val="00BF4359"/>
    <w:rsid w:val="00BF6A5F"/>
    <w:rsid w:val="00BF7CEA"/>
    <w:rsid w:val="00C001D8"/>
    <w:rsid w:val="00C03399"/>
    <w:rsid w:val="00C063B3"/>
    <w:rsid w:val="00C0794E"/>
    <w:rsid w:val="00C07F0E"/>
    <w:rsid w:val="00C10199"/>
    <w:rsid w:val="00C10578"/>
    <w:rsid w:val="00C11624"/>
    <w:rsid w:val="00C117C8"/>
    <w:rsid w:val="00C135BC"/>
    <w:rsid w:val="00C15C95"/>
    <w:rsid w:val="00C208DE"/>
    <w:rsid w:val="00C209FD"/>
    <w:rsid w:val="00C23C55"/>
    <w:rsid w:val="00C240D1"/>
    <w:rsid w:val="00C25616"/>
    <w:rsid w:val="00C2596A"/>
    <w:rsid w:val="00C270A7"/>
    <w:rsid w:val="00C27537"/>
    <w:rsid w:val="00C31DD8"/>
    <w:rsid w:val="00C32335"/>
    <w:rsid w:val="00C328FE"/>
    <w:rsid w:val="00C32B9C"/>
    <w:rsid w:val="00C32FDB"/>
    <w:rsid w:val="00C33507"/>
    <w:rsid w:val="00C35C10"/>
    <w:rsid w:val="00C37BF7"/>
    <w:rsid w:val="00C41978"/>
    <w:rsid w:val="00C419C2"/>
    <w:rsid w:val="00C42A04"/>
    <w:rsid w:val="00C4409D"/>
    <w:rsid w:val="00C44827"/>
    <w:rsid w:val="00C44E72"/>
    <w:rsid w:val="00C45A06"/>
    <w:rsid w:val="00C465D0"/>
    <w:rsid w:val="00C479F0"/>
    <w:rsid w:val="00C47E5B"/>
    <w:rsid w:val="00C50070"/>
    <w:rsid w:val="00C548DB"/>
    <w:rsid w:val="00C5521A"/>
    <w:rsid w:val="00C56C6A"/>
    <w:rsid w:val="00C60925"/>
    <w:rsid w:val="00C61DEF"/>
    <w:rsid w:val="00C61E4B"/>
    <w:rsid w:val="00C6454F"/>
    <w:rsid w:val="00C64BFF"/>
    <w:rsid w:val="00C65EE9"/>
    <w:rsid w:val="00C6610A"/>
    <w:rsid w:val="00C66DB3"/>
    <w:rsid w:val="00C67281"/>
    <w:rsid w:val="00C704E9"/>
    <w:rsid w:val="00C733F2"/>
    <w:rsid w:val="00C739F6"/>
    <w:rsid w:val="00C74D97"/>
    <w:rsid w:val="00C757C2"/>
    <w:rsid w:val="00C763C9"/>
    <w:rsid w:val="00C80024"/>
    <w:rsid w:val="00C80057"/>
    <w:rsid w:val="00C8024E"/>
    <w:rsid w:val="00C81B5F"/>
    <w:rsid w:val="00C82232"/>
    <w:rsid w:val="00C82913"/>
    <w:rsid w:val="00C8322B"/>
    <w:rsid w:val="00C85851"/>
    <w:rsid w:val="00C86E5B"/>
    <w:rsid w:val="00C912D8"/>
    <w:rsid w:val="00C91640"/>
    <w:rsid w:val="00C91A19"/>
    <w:rsid w:val="00C92168"/>
    <w:rsid w:val="00C92829"/>
    <w:rsid w:val="00C9336C"/>
    <w:rsid w:val="00C960A0"/>
    <w:rsid w:val="00C972B1"/>
    <w:rsid w:val="00CA20E1"/>
    <w:rsid w:val="00CA2CCE"/>
    <w:rsid w:val="00CA43FD"/>
    <w:rsid w:val="00CA563F"/>
    <w:rsid w:val="00CA57FC"/>
    <w:rsid w:val="00CA7EF8"/>
    <w:rsid w:val="00CB004C"/>
    <w:rsid w:val="00CB11E9"/>
    <w:rsid w:val="00CB1588"/>
    <w:rsid w:val="00CB1C58"/>
    <w:rsid w:val="00CB3C86"/>
    <w:rsid w:val="00CB42F7"/>
    <w:rsid w:val="00CB6266"/>
    <w:rsid w:val="00CB71C0"/>
    <w:rsid w:val="00CB71E8"/>
    <w:rsid w:val="00CC1514"/>
    <w:rsid w:val="00CC44CE"/>
    <w:rsid w:val="00CC489B"/>
    <w:rsid w:val="00CC5E44"/>
    <w:rsid w:val="00CC60A5"/>
    <w:rsid w:val="00CC76D5"/>
    <w:rsid w:val="00CD0DAD"/>
    <w:rsid w:val="00CD2790"/>
    <w:rsid w:val="00CD2A03"/>
    <w:rsid w:val="00CD2BCD"/>
    <w:rsid w:val="00CD373E"/>
    <w:rsid w:val="00CD3A4C"/>
    <w:rsid w:val="00CD52D2"/>
    <w:rsid w:val="00CD52F9"/>
    <w:rsid w:val="00CD65F1"/>
    <w:rsid w:val="00CD7EEC"/>
    <w:rsid w:val="00CE10E9"/>
    <w:rsid w:val="00CE1CBA"/>
    <w:rsid w:val="00CE2910"/>
    <w:rsid w:val="00CE4ACE"/>
    <w:rsid w:val="00CE5393"/>
    <w:rsid w:val="00CE56B0"/>
    <w:rsid w:val="00CE68B5"/>
    <w:rsid w:val="00CE7EAB"/>
    <w:rsid w:val="00CF0011"/>
    <w:rsid w:val="00CF31A9"/>
    <w:rsid w:val="00CF36BE"/>
    <w:rsid w:val="00CF3BE9"/>
    <w:rsid w:val="00CF51FA"/>
    <w:rsid w:val="00CF6000"/>
    <w:rsid w:val="00D003F3"/>
    <w:rsid w:val="00D00E01"/>
    <w:rsid w:val="00D01EDA"/>
    <w:rsid w:val="00D0364F"/>
    <w:rsid w:val="00D047DF"/>
    <w:rsid w:val="00D05717"/>
    <w:rsid w:val="00D05A51"/>
    <w:rsid w:val="00D06834"/>
    <w:rsid w:val="00D06D39"/>
    <w:rsid w:val="00D0705F"/>
    <w:rsid w:val="00D10685"/>
    <w:rsid w:val="00D1092A"/>
    <w:rsid w:val="00D11AAF"/>
    <w:rsid w:val="00D12E93"/>
    <w:rsid w:val="00D137EB"/>
    <w:rsid w:val="00D139E4"/>
    <w:rsid w:val="00D16448"/>
    <w:rsid w:val="00D25062"/>
    <w:rsid w:val="00D308ED"/>
    <w:rsid w:val="00D30DA5"/>
    <w:rsid w:val="00D32849"/>
    <w:rsid w:val="00D36D86"/>
    <w:rsid w:val="00D428AA"/>
    <w:rsid w:val="00D42B2D"/>
    <w:rsid w:val="00D42B6F"/>
    <w:rsid w:val="00D4397C"/>
    <w:rsid w:val="00D43D84"/>
    <w:rsid w:val="00D45946"/>
    <w:rsid w:val="00D464C2"/>
    <w:rsid w:val="00D506F8"/>
    <w:rsid w:val="00D50A34"/>
    <w:rsid w:val="00D53E7D"/>
    <w:rsid w:val="00D53EFA"/>
    <w:rsid w:val="00D563AD"/>
    <w:rsid w:val="00D57028"/>
    <w:rsid w:val="00D61EC8"/>
    <w:rsid w:val="00D620FC"/>
    <w:rsid w:val="00D62BA4"/>
    <w:rsid w:val="00D62CAF"/>
    <w:rsid w:val="00D64533"/>
    <w:rsid w:val="00D64A58"/>
    <w:rsid w:val="00D64AE5"/>
    <w:rsid w:val="00D66E11"/>
    <w:rsid w:val="00D67367"/>
    <w:rsid w:val="00D6756C"/>
    <w:rsid w:val="00D7073F"/>
    <w:rsid w:val="00D71C67"/>
    <w:rsid w:val="00D76CD2"/>
    <w:rsid w:val="00D77583"/>
    <w:rsid w:val="00D80DC5"/>
    <w:rsid w:val="00D80F06"/>
    <w:rsid w:val="00D818C1"/>
    <w:rsid w:val="00D830A7"/>
    <w:rsid w:val="00D846CA"/>
    <w:rsid w:val="00D90237"/>
    <w:rsid w:val="00D94A7C"/>
    <w:rsid w:val="00D95896"/>
    <w:rsid w:val="00D960FA"/>
    <w:rsid w:val="00D9795B"/>
    <w:rsid w:val="00D97FF8"/>
    <w:rsid w:val="00DA2CFC"/>
    <w:rsid w:val="00DA2D1A"/>
    <w:rsid w:val="00DA3F7E"/>
    <w:rsid w:val="00DA4725"/>
    <w:rsid w:val="00DB1F6E"/>
    <w:rsid w:val="00DB2983"/>
    <w:rsid w:val="00DB2E00"/>
    <w:rsid w:val="00DB3FAB"/>
    <w:rsid w:val="00DB423E"/>
    <w:rsid w:val="00DB61D1"/>
    <w:rsid w:val="00DB7522"/>
    <w:rsid w:val="00DB777A"/>
    <w:rsid w:val="00DC0CCC"/>
    <w:rsid w:val="00DC1257"/>
    <w:rsid w:val="00DC151A"/>
    <w:rsid w:val="00DC1D55"/>
    <w:rsid w:val="00DC3C3B"/>
    <w:rsid w:val="00DC3DC0"/>
    <w:rsid w:val="00DC5B2B"/>
    <w:rsid w:val="00DC63F0"/>
    <w:rsid w:val="00DD0EED"/>
    <w:rsid w:val="00DD2137"/>
    <w:rsid w:val="00DD2992"/>
    <w:rsid w:val="00DD318D"/>
    <w:rsid w:val="00DD6CD1"/>
    <w:rsid w:val="00DD6DE6"/>
    <w:rsid w:val="00DE0C29"/>
    <w:rsid w:val="00DE242D"/>
    <w:rsid w:val="00DE28D0"/>
    <w:rsid w:val="00DE4808"/>
    <w:rsid w:val="00DE63AF"/>
    <w:rsid w:val="00DE6EAD"/>
    <w:rsid w:val="00DF00B4"/>
    <w:rsid w:val="00DF1C51"/>
    <w:rsid w:val="00DF2E12"/>
    <w:rsid w:val="00DF3460"/>
    <w:rsid w:val="00DF4B4A"/>
    <w:rsid w:val="00DF514A"/>
    <w:rsid w:val="00DF6690"/>
    <w:rsid w:val="00DF6804"/>
    <w:rsid w:val="00DF7393"/>
    <w:rsid w:val="00E01AB2"/>
    <w:rsid w:val="00E0358D"/>
    <w:rsid w:val="00E04323"/>
    <w:rsid w:val="00E055A7"/>
    <w:rsid w:val="00E057FD"/>
    <w:rsid w:val="00E07082"/>
    <w:rsid w:val="00E070A2"/>
    <w:rsid w:val="00E07605"/>
    <w:rsid w:val="00E105A8"/>
    <w:rsid w:val="00E12BE7"/>
    <w:rsid w:val="00E23F64"/>
    <w:rsid w:val="00E24B7C"/>
    <w:rsid w:val="00E2656A"/>
    <w:rsid w:val="00E27A59"/>
    <w:rsid w:val="00E33797"/>
    <w:rsid w:val="00E345DE"/>
    <w:rsid w:val="00E36AB7"/>
    <w:rsid w:val="00E3730C"/>
    <w:rsid w:val="00E412D0"/>
    <w:rsid w:val="00E41980"/>
    <w:rsid w:val="00E41F44"/>
    <w:rsid w:val="00E44221"/>
    <w:rsid w:val="00E4575E"/>
    <w:rsid w:val="00E46528"/>
    <w:rsid w:val="00E47FF4"/>
    <w:rsid w:val="00E50026"/>
    <w:rsid w:val="00E5380D"/>
    <w:rsid w:val="00E538D0"/>
    <w:rsid w:val="00E53D66"/>
    <w:rsid w:val="00E56322"/>
    <w:rsid w:val="00E60982"/>
    <w:rsid w:val="00E62C62"/>
    <w:rsid w:val="00E654C1"/>
    <w:rsid w:val="00E6569B"/>
    <w:rsid w:val="00E65D97"/>
    <w:rsid w:val="00E6712B"/>
    <w:rsid w:val="00E671CB"/>
    <w:rsid w:val="00E72A5A"/>
    <w:rsid w:val="00E72B36"/>
    <w:rsid w:val="00E7314E"/>
    <w:rsid w:val="00E732BC"/>
    <w:rsid w:val="00E73354"/>
    <w:rsid w:val="00E73962"/>
    <w:rsid w:val="00E74051"/>
    <w:rsid w:val="00E75380"/>
    <w:rsid w:val="00E75A7A"/>
    <w:rsid w:val="00E760AC"/>
    <w:rsid w:val="00E77C5A"/>
    <w:rsid w:val="00E77F74"/>
    <w:rsid w:val="00E805A8"/>
    <w:rsid w:val="00E81456"/>
    <w:rsid w:val="00E81773"/>
    <w:rsid w:val="00E81957"/>
    <w:rsid w:val="00E851D1"/>
    <w:rsid w:val="00E85BC8"/>
    <w:rsid w:val="00E863C5"/>
    <w:rsid w:val="00E91EA4"/>
    <w:rsid w:val="00E9242D"/>
    <w:rsid w:val="00E93D29"/>
    <w:rsid w:val="00E93FCA"/>
    <w:rsid w:val="00E97074"/>
    <w:rsid w:val="00EA0C8F"/>
    <w:rsid w:val="00EA3740"/>
    <w:rsid w:val="00EA7929"/>
    <w:rsid w:val="00EB0CFF"/>
    <w:rsid w:val="00EB5255"/>
    <w:rsid w:val="00EB5C47"/>
    <w:rsid w:val="00EC002F"/>
    <w:rsid w:val="00EC16CA"/>
    <w:rsid w:val="00EC16CC"/>
    <w:rsid w:val="00EC17B2"/>
    <w:rsid w:val="00EC1C27"/>
    <w:rsid w:val="00EC242D"/>
    <w:rsid w:val="00EC32E1"/>
    <w:rsid w:val="00EC3CEA"/>
    <w:rsid w:val="00EC5BF4"/>
    <w:rsid w:val="00EC6B6D"/>
    <w:rsid w:val="00ED00E7"/>
    <w:rsid w:val="00ED0639"/>
    <w:rsid w:val="00ED0F3C"/>
    <w:rsid w:val="00ED1AA7"/>
    <w:rsid w:val="00ED204D"/>
    <w:rsid w:val="00ED5D07"/>
    <w:rsid w:val="00ED65EB"/>
    <w:rsid w:val="00EE1342"/>
    <w:rsid w:val="00EE1C8B"/>
    <w:rsid w:val="00EE1C97"/>
    <w:rsid w:val="00EE2848"/>
    <w:rsid w:val="00EE50DA"/>
    <w:rsid w:val="00EE5C83"/>
    <w:rsid w:val="00EF0A13"/>
    <w:rsid w:val="00EF1589"/>
    <w:rsid w:val="00EF1F8F"/>
    <w:rsid w:val="00EF404E"/>
    <w:rsid w:val="00EF4755"/>
    <w:rsid w:val="00EF5FC6"/>
    <w:rsid w:val="00EF7135"/>
    <w:rsid w:val="00F01E31"/>
    <w:rsid w:val="00F027DB"/>
    <w:rsid w:val="00F03C19"/>
    <w:rsid w:val="00F05015"/>
    <w:rsid w:val="00F101D1"/>
    <w:rsid w:val="00F114C0"/>
    <w:rsid w:val="00F11595"/>
    <w:rsid w:val="00F11872"/>
    <w:rsid w:val="00F12771"/>
    <w:rsid w:val="00F13F76"/>
    <w:rsid w:val="00F14A7A"/>
    <w:rsid w:val="00F16348"/>
    <w:rsid w:val="00F17883"/>
    <w:rsid w:val="00F204B6"/>
    <w:rsid w:val="00F21DE3"/>
    <w:rsid w:val="00F22985"/>
    <w:rsid w:val="00F22AB9"/>
    <w:rsid w:val="00F25C32"/>
    <w:rsid w:val="00F27F8C"/>
    <w:rsid w:val="00F319D9"/>
    <w:rsid w:val="00F31F3F"/>
    <w:rsid w:val="00F32E04"/>
    <w:rsid w:val="00F3383E"/>
    <w:rsid w:val="00F34C0D"/>
    <w:rsid w:val="00F358ED"/>
    <w:rsid w:val="00F35F61"/>
    <w:rsid w:val="00F36D82"/>
    <w:rsid w:val="00F443BA"/>
    <w:rsid w:val="00F451EC"/>
    <w:rsid w:val="00F4588B"/>
    <w:rsid w:val="00F46336"/>
    <w:rsid w:val="00F465A7"/>
    <w:rsid w:val="00F4704C"/>
    <w:rsid w:val="00F47510"/>
    <w:rsid w:val="00F47AE1"/>
    <w:rsid w:val="00F50B7C"/>
    <w:rsid w:val="00F50C65"/>
    <w:rsid w:val="00F5416A"/>
    <w:rsid w:val="00F550E6"/>
    <w:rsid w:val="00F55ED9"/>
    <w:rsid w:val="00F57DE1"/>
    <w:rsid w:val="00F61E1C"/>
    <w:rsid w:val="00F639E8"/>
    <w:rsid w:val="00F651E0"/>
    <w:rsid w:val="00F661FF"/>
    <w:rsid w:val="00F66C53"/>
    <w:rsid w:val="00F74345"/>
    <w:rsid w:val="00F75FBF"/>
    <w:rsid w:val="00F76B0F"/>
    <w:rsid w:val="00F76BA7"/>
    <w:rsid w:val="00F80A0A"/>
    <w:rsid w:val="00F823FD"/>
    <w:rsid w:val="00F82B19"/>
    <w:rsid w:val="00F834A0"/>
    <w:rsid w:val="00F91328"/>
    <w:rsid w:val="00F9212D"/>
    <w:rsid w:val="00F94496"/>
    <w:rsid w:val="00F965BB"/>
    <w:rsid w:val="00F965DA"/>
    <w:rsid w:val="00FA0F1E"/>
    <w:rsid w:val="00FA2BF0"/>
    <w:rsid w:val="00FA406A"/>
    <w:rsid w:val="00FA43B1"/>
    <w:rsid w:val="00FA689D"/>
    <w:rsid w:val="00FA7BBA"/>
    <w:rsid w:val="00FB039C"/>
    <w:rsid w:val="00FB0B40"/>
    <w:rsid w:val="00FB1835"/>
    <w:rsid w:val="00FB2676"/>
    <w:rsid w:val="00FB2B71"/>
    <w:rsid w:val="00FB3995"/>
    <w:rsid w:val="00FB3FDB"/>
    <w:rsid w:val="00FB503A"/>
    <w:rsid w:val="00FB516C"/>
    <w:rsid w:val="00FB6DD1"/>
    <w:rsid w:val="00FC00D4"/>
    <w:rsid w:val="00FC0DB2"/>
    <w:rsid w:val="00FC4C8B"/>
    <w:rsid w:val="00FC6AB6"/>
    <w:rsid w:val="00FD0236"/>
    <w:rsid w:val="00FD1083"/>
    <w:rsid w:val="00FD18F4"/>
    <w:rsid w:val="00FD3297"/>
    <w:rsid w:val="00FD378B"/>
    <w:rsid w:val="00FD42BD"/>
    <w:rsid w:val="00FD4698"/>
    <w:rsid w:val="00FD54DB"/>
    <w:rsid w:val="00FD5D7F"/>
    <w:rsid w:val="00FD619F"/>
    <w:rsid w:val="00FD62A2"/>
    <w:rsid w:val="00FE0824"/>
    <w:rsid w:val="00FE0BA7"/>
    <w:rsid w:val="00FE3730"/>
    <w:rsid w:val="00FE46D1"/>
    <w:rsid w:val="00FE6826"/>
    <w:rsid w:val="00FE7004"/>
    <w:rsid w:val="00FF0B63"/>
    <w:rsid w:val="00FF17CD"/>
    <w:rsid w:val="00FF1AD7"/>
    <w:rsid w:val="00FF4EFE"/>
    <w:rsid w:val="00FF7995"/>
    <w:rsid w:val="01066F81"/>
    <w:rsid w:val="01115D59"/>
    <w:rsid w:val="011A023E"/>
    <w:rsid w:val="01237F64"/>
    <w:rsid w:val="01290F7E"/>
    <w:rsid w:val="01326E6D"/>
    <w:rsid w:val="013B19E1"/>
    <w:rsid w:val="01516AFC"/>
    <w:rsid w:val="015D1E09"/>
    <w:rsid w:val="016A5FF6"/>
    <w:rsid w:val="01CD5CF8"/>
    <w:rsid w:val="01F03A88"/>
    <w:rsid w:val="01F52E96"/>
    <w:rsid w:val="02064240"/>
    <w:rsid w:val="02186010"/>
    <w:rsid w:val="023F521C"/>
    <w:rsid w:val="02433FF7"/>
    <w:rsid w:val="02470986"/>
    <w:rsid w:val="024E3349"/>
    <w:rsid w:val="02697903"/>
    <w:rsid w:val="028419D8"/>
    <w:rsid w:val="02A00FC9"/>
    <w:rsid w:val="02B20F86"/>
    <w:rsid w:val="02CC43B9"/>
    <w:rsid w:val="02DE0E3A"/>
    <w:rsid w:val="02E132C9"/>
    <w:rsid w:val="02E4100B"/>
    <w:rsid w:val="02F96569"/>
    <w:rsid w:val="03086AA8"/>
    <w:rsid w:val="030F7AB8"/>
    <w:rsid w:val="031D4A56"/>
    <w:rsid w:val="031F2043"/>
    <w:rsid w:val="032F3C6E"/>
    <w:rsid w:val="033C563D"/>
    <w:rsid w:val="035853E7"/>
    <w:rsid w:val="03595265"/>
    <w:rsid w:val="0370464D"/>
    <w:rsid w:val="037938CF"/>
    <w:rsid w:val="037F4A10"/>
    <w:rsid w:val="03833484"/>
    <w:rsid w:val="0389688F"/>
    <w:rsid w:val="03A273ED"/>
    <w:rsid w:val="03C373FC"/>
    <w:rsid w:val="03E65FF9"/>
    <w:rsid w:val="03EA7B21"/>
    <w:rsid w:val="03EF33BB"/>
    <w:rsid w:val="04135173"/>
    <w:rsid w:val="04177C33"/>
    <w:rsid w:val="042F058B"/>
    <w:rsid w:val="04390EE3"/>
    <w:rsid w:val="04776990"/>
    <w:rsid w:val="047D0EAF"/>
    <w:rsid w:val="04973836"/>
    <w:rsid w:val="04A21AE0"/>
    <w:rsid w:val="04BF588C"/>
    <w:rsid w:val="04D01847"/>
    <w:rsid w:val="04E21660"/>
    <w:rsid w:val="04E55845"/>
    <w:rsid w:val="050740D1"/>
    <w:rsid w:val="050C030E"/>
    <w:rsid w:val="052C2D4C"/>
    <w:rsid w:val="05671B52"/>
    <w:rsid w:val="056D1CD0"/>
    <w:rsid w:val="05793C8D"/>
    <w:rsid w:val="058446F5"/>
    <w:rsid w:val="05C446B3"/>
    <w:rsid w:val="05E26769"/>
    <w:rsid w:val="05E32870"/>
    <w:rsid w:val="05E60A62"/>
    <w:rsid w:val="05F83EAE"/>
    <w:rsid w:val="05FB5915"/>
    <w:rsid w:val="06014FB3"/>
    <w:rsid w:val="06103112"/>
    <w:rsid w:val="06113CCC"/>
    <w:rsid w:val="06174FC9"/>
    <w:rsid w:val="061A5737"/>
    <w:rsid w:val="062E57F5"/>
    <w:rsid w:val="063D6AF5"/>
    <w:rsid w:val="063E7D85"/>
    <w:rsid w:val="066D77BA"/>
    <w:rsid w:val="06900A39"/>
    <w:rsid w:val="0691257D"/>
    <w:rsid w:val="06A0751F"/>
    <w:rsid w:val="06A6537C"/>
    <w:rsid w:val="06A876A1"/>
    <w:rsid w:val="06B12DDE"/>
    <w:rsid w:val="06C0461E"/>
    <w:rsid w:val="06E71DD8"/>
    <w:rsid w:val="06E75A10"/>
    <w:rsid w:val="07074F4C"/>
    <w:rsid w:val="071D2057"/>
    <w:rsid w:val="07293586"/>
    <w:rsid w:val="07295285"/>
    <w:rsid w:val="073D0531"/>
    <w:rsid w:val="07413D40"/>
    <w:rsid w:val="074B0D61"/>
    <w:rsid w:val="07595872"/>
    <w:rsid w:val="075C0730"/>
    <w:rsid w:val="075C0E69"/>
    <w:rsid w:val="07636392"/>
    <w:rsid w:val="0768045A"/>
    <w:rsid w:val="07770C56"/>
    <w:rsid w:val="07822F4B"/>
    <w:rsid w:val="078267A4"/>
    <w:rsid w:val="07891C05"/>
    <w:rsid w:val="07A02110"/>
    <w:rsid w:val="07B8009B"/>
    <w:rsid w:val="07D57E19"/>
    <w:rsid w:val="07DE06E4"/>
    <w:rsid w:val="07F47E42"/>
    <w:rsid w:val="07FC2667"/>
    <w:rsid w:val="08022F75"/>
    <w:rsid w:val="08124351"/>
    <w:rsid w:val="08195A05"/>
    <w:rsid w:val="082C51AB"/>
    <w:rsid w:val="083A419B"/>
    <w:rsid w:val="08400A92"/>
    <w:rsid w:val="08587E19"/>
    <w:rsid w:val="08647BE8"/>
    <w:rsid w:val="08702488"/>
    <w:rsid w:val="087A3DC2"/>
    <w:rsid w:val="08802783"/>
    <w:rsid w:val="08AA73BC"/>
    <w:rsid w:val="08C42208"/>
    <w:rsid w:val="08DD1182"/>
    <w:rsid w:val="08E210FE"/>
    <w:rsid w:val="08EC0D76"/>
    <w:rsid w:val="08FF5DB8"/>
    <w:rsid w:val="09150170"/>
    <w:rsid w:val="091A4D08"/>
    <w:rsid w:val="09216849"/>
    <w:rsid w:val="092217DD"/>
    <w:rsid w:val="093A7294"/>
    <w:rsid w:val="093D79DC"/>
    <w:rsid w:val="095348DC"/>
    <w:rsid w:val="095572A1"/>
    <w:rsid w:val="09753EF0"/>
    <w:rsid w:val="097B3C06"/>
    <w:rsid w:val="099D3F60"/>
    <w:rsid w:val="099F67BF"/>
    <w:rsid w:val="09C556F2"/>
    <w:rsid w:val="09DA302F"/>
    <w:rsid w:val="09F44329"/>
    <w:rsid w:val="09F75AC8"/>
    <w:rsid w:val="0A102BFE"/>
    <w:rsid w:val="0A263993"/>
    <w:rsid w:val="0A2A1D27"/>
    <w:rsid w:val="0A2D3AC2"/>
    <w:rsid w:val="0A3C3DBE"/>
    <w:rsid w:val="0A3F3ED3"/>
    <w:rsid w:val="0A3F3F67"/>
    <w:rsid w:val="0A461BEE"/>
    <w:rsid w:val="0A574AF6"/>
    <w:rsid w:val="0A5A2413"/>
    <w:rsid w:val="0A645BC0"/>
    <w:rsid w:val="0A9D041D"/>
    <w:rsid w:val="0A9D53A8"/>
    <w:rsid w:val="0AA00396"/>
    <w:rsid w:val="0AA755DF"/>
    <w:rsid w:val="0AB23423"/>
    <w:rsid w:val="0ACE52F6"/>
    <w:rsid w:val="0ACE7D23"/>
    <w:rsid w:val="0AD05A0E"/>
    <w:rsid w:val="0B120D44"/>
    <w:rsid w:val="0B5C5108"/>
    <w:rsid w:val="0B6547D8"/>
    <w:rsid w:val="0B754EEF"/>
    <w:rsid w:val="0B78290A"/>
    <w:rsid w:val="0B792C38"/>
    <w:rsid w:val="0B8465E5"/>
    <w:rsid w:val="0B8B1D51"/>
    <w:rsid w:val="0B9152DA"/>
    <w:rsid w:val="0B9572FE"/>
    <w:rsid w:val="0BA54920"/>
    <w:rsid w:val="0BA7461B"/>
    <w:rsid w:val="0BBE63AB"/>
    <w:rsid w:val="0BC722A5"/>
    <w:rsid w:val="0BD27BF6"/>
    <w:rsid w:val="0BDC5AAD"/>
    <w:rsid w:val="0BE81B6C"/>
    <w:rsid w:val="0C295DEA"/>
    <w:rsid w:val="0C3B3C7D"/>
    <w:rsid w:val="0C4E7771"/>
    <w:rsid w:val="0C4F008E"/>
    <w:rsid w:val="0C58722E"/>
    <w:rsid w:val="0C874EE1"/>
    <w:rsid w:val="0C9746B5"/>
    <w:rsid w:val="0C991E5B"/>
    <w:rsid w:val="0CAB2EAE"/>
    <w:rsid w:val="0CE26E97"/>
    <w:rsid w:val="0CE67E4C"/>
    <w:rsid w:val="0CE95936"/>
    <w:rsid w:val="0D076022"/>
    <w:rsid w:val="0D0D592B"/>
    <w:rsid w:val="0D1F5E03"/>
    <w:rsid w:val="0D2A3ABE"/>
    <w:rsid w:val="0D342FC4"/>
    <w:rsid w:val="0D5113C1"/>
    <w:rsid w:val="0D615199"/>
    <w:rsid w:val="0D621C7D"/>
    <w:rsid w:val="0D6E744C"/>
    <w:rsid w:val="0D7143A1"/>
    <w:rsid w:val="0D887575"/>
    <w:rsid w:val="0DA81BE8"/>
    <w:rsid w:val="0DAE649D"/>
    <w:rsid w:val="0E117957"/>
    <w:rsid w:val="0E131325"/>
    <w:rsid w:val="0E190171"/>
    <w:rsid w:val="0E1952B0"/>
    <w:rsid w:val="0E341802"/>
    <w:rsid w:val="0E43490E"/>
    <w:rsid w:val="0E493B65"/>
    <w:rsid w:val="0E5C0171"/>
    <w:rsid w:val="0E5C2035"/>
    <w:rsid w:val="0E73034D"/>
    <w:rsid w:val="0E927AC6"/>
    <w:rsid w:val="0E9A10D5"/>
    <w:rsid w:val="0EB032E8"/>
    <w:rsid w:val="0EB06B47"/>
    <w:rsid w:val="0EEB7C9B"/>
    <w:rsid w:val="0F13775A"/>
    <w:rsid w:val="0F491184"/>
    <w:rsid w:val="0F5F45FE"/>
    <w:rsid w:val="0F84362F"/>
    <w:rsid w:val="0F976507"/>
    <w:rsid w:val="0F982280"/>
    <w:rsid w:val="0F9A112B"/>
    <w:rsid w:val="0FBB45C5"/>
    <w:rsid w:val="0FBE6EDC"/>
    <w:rsid w:val="0FD60C03"/>
    <w:rsid w:val="0FDD5A4C"/>
    <w:rsid w:val="0FE714ED"/>
    <w:rsid w:val="0FE91D6D"/>
    <w:rsid w:val="0FEC56F5"/>
    <w:rsid w:val="0FF67980"/>
    <w:rsid w:val="100307DD"/>
    <w:rsid w:val="101E0770"/>
    <w:rsid w:val="10215FB3"/>
    <w:rsid w:val="102E636B"/>
    <w:rsid w:val="10390784"/>
    <w:rsid w:val="104302D5"/>
    <w:rsid w:val="10485C77"/>
    <w:rsid w:val="10571596"/>
    <w:rsid w:val="105A22BC"/>
    <w:rsid w:val="105B7504"/>
    <w:rsid w:val="105F4EC2"/>
    <w:rsid w:val="106D2F64"/>
    <w:rsid w:val="10790B14"/>
    <w:rsid w:val="10987EC8"/>
    <w:rsid w:val="10A05771"/>
    <w:rsid w:val="10A80AB1"/>
    <w:rsid w:val="10B63710"/>
    <w:rsid w:val="10BF1FD7"/>
    <w:rsid w:val="10C20C3C"/>
    <w:rsid w:val="10D80D24"/>
    <w:rsid w:val="10D92111"/>
    <w:rsid w:val="10F10820"/>
    <w:rsid w:val="10F96CE8"/>
    <w:rsid w:val="10FC4648"/>
    <w:rsid w:val="110E3280"/>
    <w:rsid w:val="111614D0"/>
    <w:rsid w:val="111C2F7A"/>
    <w:rsid w:val="112635BE"/>
    <w:rsid w:val="11352C9D"/>
    <w:rsid w:val="113B0C93"/>
    <w:rsid w:val="11430618"/>
    <w:rsid w:val="11665CA1"/>
    <w:rsid w:val="11666E67"/>
    <w:rsid w:val="11686B3C"/>
    <w:rsid w:val="117666D5"/>
    <w:rsid w:val="11A91B4D"/>
    <w:rsid w:val="11AE1162"/>
    <w:rsid w:val="11B56D81"/>
    <w:rsid w:val="11BB73DB"/>
    <w:rsid w:val="11C95F9C"/>
    <w:rsid w:val="11EA4B9E"/>
    <w:rsid w:val="11EC089E"/>
    <w:rsid w:val="120C00B2"/>
    <w:rsid w:val="1217451B"/>
    <w:rsid w:val="124A4DA0"/>
    <w:rsid w:val="124D2B23"/>
    <w:rsid w:val="12546D63"/>
    <w:rsid w:val="1262150D"/>
    <w:rsid w:val="12657B31"/>
    <w:rsid w:val="126E1B87"/>
    <w:rsid w:val="12731CAE"/>
    <w:rsid w:val="128304A2"/>
    <w:rsid w:val="128F6807"/>
    <w:rsid w:val="12966082"/>
    <w:rsid w:val="12992BB5"/>
    <w:rsid w:val="12A4601A"/>
    <w:rsid w:val="12FA670B"/>
    <w:rsid w:val="12FC6789"/>
    <w:rsid w:val="13060AAD"/>
    <w:rsid w:val="131D4986"/>
    <w:rsid w:val="132F41C7"/>
    <w:rsid w:val="13347D10"/>
    <w:rsid w:val="133A54DE"/>
    <w:rsid w:val="138034A7"/>
    <w:rsid w:val="13947056"/>
    <w:rsid w:val="13951726"/>
    <w:rsid w:val="139A02B7"/>
    <w:rsid w:val="139F66BD"/>
    <w:rsid w:val="13B23F11"/>
    <w:rsid w:val="13D54DE3"/>
    <w:rsid w:val="13D62432"/>
    <w:rsid w:val="13F34487"/>
    <w:rsid w:val="13F66A72"/>
    <w:rsid w:val="13F84F34"/>
    <w:rsid w:val="14124F2C"/>
    <w:rsid w:val="142E2AD4"/>
    <w:rsid w:val="14396509"/>
    <w:rsid w:val="144353B8"/>
    <w:rsid w:val="144D05D0"/>
    <w:rsid w:val="145A48BB"/>
    <w:rsid w:val="146C54F5"/>
    <w:rsid w:val="14752E22"/>
    <w:rsid w:val="147976DB"/>
    <w:rsid w:val="14860313"/>
    <w:rsid w:val="148D0A86"/>
    <w:rsid w:val="14A73701"/>
    <w:rsid w:val="14C72F72"/>
    <w:rsid w:val="14DA430A"/>
    <w:rsid w:val="14DD2C3C"/>
    <w:rsid w:val="14FD4CA9"/>
    <w:rsid w:val="15112AD7"/>
    <w:rsid w:val="151424DB"/>
    <w:rsid w:val="151C7FBD"/>
    <w:rsid w:val="15220044"/>
    <w:rsid w:val="1529503D"/>
    <w:rsid w:val="153B6B82"/>
    <w:rsid w:val="15883A78"/>
    <w:rsid w:val="158B06DC"/>
    <w:rsid w:val="159A7B21"/>
    <w:rsid w:val="15A537E4"/>
    <w:rsid w:val="15AC64B1"/>
    <w:rsid w:val="15B87D80"/>
    <w:rsid w:val="15BD6E9B"/>
    <w:rsid w:val="15DF3BF2"/>
    <w:rsid w:val="15E84F56"/>
    <w:rsid w:val="15ED666E"/>
    <w:rsid w:val="16087E1D"/>
    <w:rsid w:val="16102172"/>
    <w:rsid w:val="164C6566"/>
    <w:rsid w:val="164E0CF2"/>
    <w:rsid w:val="16734728"/>
    <w:rsid w:val="169711A7"/>
    <w:rsid w:val="16B528E1"/>
    <w:rsid w:val="16C02307"/>
    <w:rsid w:val="16CE7EE6"/>
    <w:rsid w:val="16D12A75"/>
    <w:rsid w:val="16D177BE"/>
    <w:rsid w:val="171C091C"/>
    <w:rsid w:val="17217600"/>
    <w:rsid w:val="17365CA7"/>
    <w:rsid w:val="1754378A"/>
    <w:rsid w:val="175E5FFC"/>
    <w:rsid w:val="17701D14"/>
    <w:rsid w:val="17735226"/>
    <w:rsid w:val="1775635E"/>
    <w:rsid w:val="17843A64"/>
    <w:rsid w:val="17A01942"/>
    <w:rsid w:val="17AA23CB"/>
    <w:rsid w:val="17B14726"/>
    <w:rsid w:val="17CA19D6"/>
    <w:rsid w:val="17EB390A"/>
    <w:rsid w:val="17F17FFA"/>
    <w:rsid w:val="18157BE3"/>
    <w:rsid w:val="181D32D5"/>
    <w:rsid w:val="181E7A31"/>
    <w:rsid w:val="18294905"/>
    <w:rsid w:val="183134DA"/>
    <w:rsid w:val="18333A1E"/>
    <w:rsid w:val="1844156F"/>
    <w:rsid w:val="18634C6B"/>
    <w:rsid w:val="18686B5E"/>
    <w:rsid w:val="18791741"/>
    <w:rsid w:val="189B0E69"/>
    <w:rsid w:val="189F44E9"/>
    <w:rsid w:val="189F624C"/>
    <w:rsid w:val="18A93466"/>
    <w:rsid w:val="18B120A4"/>
    <w:rsid w:val="18B232E6"/>
    <w:rsid w:val="18CA58ED"/>
    <w:rsid w:val="18CB41C6"/>
    <w:rsid w:val="18CF2109"/>
    <w:rsid w:val="18ED2062"/>
    <w:rsid w:val="18F52324"/>
    <w:rsid w:val="1904772F"/>
    <w:rsid w:val="193B44C4"/>
    <w:rsid w:val="19485476"/>
    <w:rsid w:val="195507FC"/>
    <w:rsid w:val="1988769A"/>
    <w:rsid w:val="198C662E"/>
    <w:rsid w:val="198F2997"/>
    <w:rsid w:val="19A913DE"/>
    <w:rsid w:val="19BC4408"/>
    <w:rsid w:val="19DB7B4F"/>
    <w:rsid w:val="19E962A2"/>
    <w:rsid w:val="19F863D7"/>
    <w:rsid w:val="1A061075"/>
    <w:rsid w:val="1A0C6D6C"/>
    <w:rsid w:val="1A1C66C0"/>
    <w:rsid w:val="1A341C38"/>
    <w:rsid w:val="1A347D01"/>
    <w:rsid w:val="1A355B24"/>
    <w:rsid w:val="1A42393B"/>
    <w:rsid w:val="1A5D28F5"/>
    <w:rsid w:val="1A5E5AED"/>
    <w:rsid w:val="1A6A2B46"/>
    <w:rsid w:val="1A7E0890"/>
    <w:rsid w:val="1A87307C"/>
    <w:rsid w:val="1A8806A2"/>
    <w:rsid w:val="1AAD45DE"/>
    <w:rsid w:val="1AAE21D3"/>
    <w:rsid w:val="1AB46574"/>
    <w:rsid w:val="1ABC38BE"/>
    <w:rsid w:val="1ABD41C4"/>
    <w:rsid w:val="1AC23A4E"/>
    <w:rsid w:val="1ACD61DC"/>
    <w:rsid w:val="1AE82F8F"/>
    <w:rsid w:val="1B011E84"/>
    <w:rsid w:val="1B046F80"/>
    <w:rsid w:val="1B2F5C8C"/>
    <w:rsid w:val="1B3267B5"/>
    <w:rsid w:val="1B40161D"/>
    <w:rsid w:val="1B441859"/>
    <w:rsid w:val="1B55403B"/>
    <w:rsid w:val="1B6606B1"/>
    <w:rsid w:val="1B6A4F3F"/>
    <w:rsid w:val="1BA216C8"/>
    <w:rsid w:val="1BC03F6C"/>
    <w:rsid w:val="1C061C84"/>
    <w:rsid w:val="1C092C79"/>
    <w:rsid w:val="1C4A5F2B"/>
    <w:rsid w:val="1C4F0B14"/>
    <w:rsid w:val="1C5E7925"/>
    <w:rsid w:val="1C73363F"/>
    <w:rsid w:val="1CAB2483"/>
    <w:rsid w:val="1CAC7F2A"/>
    <w:rsid w:val="1CCE1A68"/>
    <w:rsid w:val="1CDB6DE4"/>
    <w:rsid w:val="1CFD070F"/>
    <w:rsid w:val="1D0D31E0"/>
    <w:rsid w:val="1D132959"/>
    <w:rsid w:val="1D16397D"/>
    <w:rsid w:val="1D346942"/>
    <w:rsid w:val="1D5F6196"/>
    <w:rsid w:val="1D6132A5"/>
    <w:rsid w:val="1D852ECC"/>
    <w:rsid w:val="1D8A13E6"/>
    <w:rsid w:val="1D8E56D5"/>
    <w:rsid w:val="1D9E6A8E"/>
    <w:rsid w:val="1DA45FB2"/>
    <w:rsid w:val="1DBB0E8E"/>
    <w:rsid w:val="1DC31325"/>
    <w:rsid w:val="1DE31C9F"/>
    <w:rsid w:val="1DF017AC"/>
    <w:rsid w:val="1DF67293"/>
    <w:rsid w:val="1E000A7E"/>
    <w:rsid w:val="1E0D0AEB"/>
    <w:rsid w:val="1E0F2F88"/>
    <w:rsid w:val="1E2330C1"/>
    <w:rsid w:val="1E58746F"/>
    <w:rsid w:val="1E743237"/>
    <w:rsid w:val="1E7A43DA"/>
    <w:rsid w:val="1E7E7E47"/>
    <w:rsid w:val="1EC55678"/>
    <w:rsid w:val="1ED5433F"/>
    <w:rsid w:val="1EF607FA"/>
    <w:rsid w:val="1F0D08F1"/>
    <w:rsid w:val="1F0F1111"/>
    <w:rsid w:val="1F161A25"/>
    <w:rsid w:val="1F8A5717"/>
    <w:rsid w:val="1F8F7049"/>
    <w:rsid w:val="1F9E7BCD"/>
    <w:rsid w:val="1FBA337F"/>
    <w:rsid w:val="1FCF29CF"/>
    <w:rsid w:val="1FD77AD6"/>
    <w:rsid w:val="1FD97E83"/>
    <w:rsid w:val="1FDD1AF7"/>
    <w:rsid w:val="1FDE7FFC"/>
    <w:rsid w:val="1FE7539E"/>
    <w:rsid w:val="1FE90F57"/>
    <w:rsid w:val="1FED2A43"/>
    <w:rsid w:val="20125F2F"/>
    <w:rsid w:val="201725C8"/>
    <w:rsid w:val="2020147D"/>
    <w:rsid w:val="202A7DDA"/>
    <w:rsid w:val="203127A2"/>
    <w:rsid w:val="203B5F68"/>
    <w:rsid w:val="205D55B2"/>
    <w:rsid w:val="20671BE0"/>
    <w:rsid w:val="20963CB8"/>
    <w:rsid w:val="209B3831"/>
    <w:rsid w:val="20A81A1B"/>
    <w:rsid w:val="20B0365C"/>
    <w:rsid w:val="20B07FB6"/>
    <w:rsid w:val="20B646FB"/>
    <w:rsid w:val="20E029BA"/>
    <w:rsid w:val="20FC6A5F"/>
    <w:rsid w:val="21011895"/>
    <w:rsid w:val="210D4D36"/>
    <w:rsid w:val="213A2976"/>
    <w:rsid w:val="213B74B1"/>
    <w:rsid w:val="214A7E2B"/>
    <w:rsid w:val="21565C37"/>
    <w:rsid w:val="215A2310"/>
    <w:rsid w:val="21724954"/>
    <w:rsid w:val="21773853"/>
    <w:rsid w:val="217A6FDE"/>
    <w:rsid w:val="21822701"/>
    <w:rsid w:val="2185369F"/>
    <w:rsid w:val="218815C3"/>
    <w:rsid w:val="218B07CA"/>
    <w:rsid w:val="2194038A"/>
    <w:rsid w:val="21941398"/>
    <w:rsid w:val="21980FC0"/>
    <w:rsid w:val="21A114DD"/>
    <w:rsid w:val="21C0282D"/>
    <w:rsid w:val="21DE318A"/>
    <w:rsid w:val="21DF7631"/>
    <w:rsid w:val="21E60D25"/>
    <w:rsid w:val="21EF5B80"/>
    <w:rsid w:val="22084344"/>
    <w:rsid w:val="22142CD4"/>
    <w:rsid w:val="221B2FC7"/>
    <w:rsid w:val="221C2118"/>
    <w:rsid w:val="222455FE"/>
    <w:rsid w:val="2227063C"/>
    <w:rsid w:val="2227146F"/>
    <w:rsid w:val="22306DD1"/>
    <w:rsid w:val="22322A29"/>
    <w:rsid w:val="22334BC3"/>
    <w:rsid w:val="224461CA"/>
    <w:rsid w:val="22576990"/>
    <w:rsid w:val="227C3733"/>
    <w:rsid w:val="227D473F"/>
    <w:rsid w:val="228606C1"/>
    <w:rsid w:val="2290080E"/>
    <w:rsid w:val="22976357"/>
    <w:rsid w:val="22A37966"/>
    <w:rsid w:val="22AC4EE2"/>
    <w:rsid w:val="22B0363F"/>
    <w:rsid w:val="22BC379E"/>
    <w:rsid w:val="22DF3317"/>
    <w:rsid w:val="22E06530"/>
    <w:rsid w:val="22E45213"/>
    <w:rsid w:val="22E873B4"/>
    <w:rsid w:val="22EA5528"/>
    <w:rsid w:val="22F47480"/>
    <w:rsid w:val="23024E6A"/>
    <w:rsid w:val="230C03F2"/>
    <w:rsid w:val="23113D47"/>
    <w:rsid w:val="23123860"/>
    <w:rsid w:val="23164DB9"/>
    <w:rsid w:val="23270D74"/>
    <w:rsid w:val="23427A4D"/>
    <w:rsid w:val="23523D54"/>
    <w:rsid w:val="235E399B"/>
    <w:rsid w:val="236F7AEA"/>
    <w:rsid w:val="23730F7E"/>
    <w:rsid w:val="237C10C0"/>
    <w:rsid w:val="239D4B92"/>
    <w:rsid w:val="23AB72AF"/>
    <w:rsid w:val="23B05FB7"/>
    <w:rsid w:val="23B332DD"/>
    <w:rsid w:val="23DE1C48"/>
    <w:rsid w:val="23E16C8C"/>
    <w:rsid w:val="23FF3404"/>
    <w:rsid w:val="240210CD"/>
    <w:rsid w:val="240843A3"/>
    <w:rsid w:val="241A1E83"/>
    <w:rsid w:val="241D1126"/>
    <w:rsid w:val="241E66C5"/>
    <w:rsid w:val="2424304F"/>
    <w:rsid w:val="2455581F"/>
    <w:rsid w:val="245C76F0"/>
    <w:rsid w:val="2463454E"/>
    <w:rsid w:val="24781B7C"/>
    <w:rsid w:val="247D5068"/>
    <w:rsid w:val="24AE1333"/>
    <w:rsid w:val="24AF4116"/>
    <w:rsid w:val="24BF09F7"/>
    <w:rsid w:val="24E46F1D"/>
    <w:rsid w:val="24E82BFE"/>
    <w:rsid w:val="250F1C33"/>
    <w:rsid w:val="251F4769"/>
    <w:rsid w:val="25271B2B"/>
    <w:rsid w:val="252D53FE"/>
    <w:rsid w:val="25315F3E"/>
    <w:rsid w:val="25450F5D"/>
    <w:rsid w:val="254C34E8"/>
    <w:rsid w:val="25514755"/>
    <w:rsid w:val="25572E75"/>
    <w:rsid w:val="255D7AA7"/>
    <w:rsid w:val="257B7D03"/>
    <w:rsid w:val="25824552"/>
    <w:rsid w:val="25853C7F"/>
    <w:rsid w:val="25942C6D"/>
    <w:rsid w:val="25AB7E0B"/>
    <w:rsid w:val="25B91C98"/>
    <w:rsid w:val="25DF1492"/>
    <w:rsid w:val="25EC2D81"/>
    <w:rsid w:val="25EC6BAB"/>
    <w:rsid w:val="25ED0F1A"/>
    <w:rsid w:val="25FC33D7"/>
    <w:rsid w:val="26023EE7"/>
    <w:rsid w:val="26094463"/>
    <w:rsid w:val="26155857"/>
    <w:rsid w:val="264601A3"/>
    <w:rsid w:val="26555A32"/>
    <w:rsid w:val="265C7142"/>
    <w:rsid w:val="26623ED5"/>
    <w:rsid w:val="26733377"/>
    <w:rsid w:val="26906C30"/>
    <w:rsid w:val="269E0EF7"/>
    <w:rsid w:val="26CE5AD4"/>
    <w:rsid w:val="26E00E90"/>
    <w:rsid w:val="26E13B68"/>
    <w:rsid w:val="26E22421"/>
    <w:rsid w:val="26EB10B4"/>
    <w:rsid w:val="26FF1042"/>
    <w:rsid w:val="2710444E"/>
    <w:rsid w:val="27202E73"/>
    <w:rsid w:val="272922EB"/>
    <w:rsid w:val="272F2675"/>
    <w:rsid w:val="27312C2C"/>
    <w:rsid w:val="274F3449"/>
    <w:rsid w:val="276C03FE"/>
    <w:rsid w:val="277057A2"/>
    <w:rsid w:val="27817719"/>
    <w:rsid w:val="278B0000"/>
    <w:rsid w:val="27910EB2"/>
    <w:rsid w:val="27AD33AC"/>
    <w:rsid w:val="27DC7757"/>
    <w:rsid w:val="27E26C33"/>
    <w:rsid w:val="27F324C2"/>
    <w:rsid w:val="27F32B7B"/>
    <w:rsid w:val="27F76D35"/>
    <w:rsid w:val="27F92E4C"/>
    <w:rsid w:val="27FB2C6F"/>
    <w:rsid w:val="27FC132A"/>
    <w:rsid w:val="28003FC4"/>
    <w:rsid w:val="28334940"/>
    <w:rsid w:val="283C7103"/>
    <w:rsid w:val="283D3F50"/>
    <w:rsid w:val="28486688"/>
    <w:rsid w:val="28497097"/>
    <w:rsid w:val="285A7EDF"/>
    <w:rsid w:val="28612554"/>
    <w:rsid w:val="28744C41"/>
    <w:rsid w:val="287E1436"/>
    <w:rsid w:val="28845535"/>
    <w:rsid w:val="28AC3928"/>
    <w:rsid w:val="28AD5DF9"/>
    <w:rsid w:val="28B23C10"/>
    <w:rsid w:val="28EF7EFF"/>
    <w:rsid w:val="28F17E5A"/>
    <w:rsid w:val="29206EB8"/>
    <w:rsid w:val="29445782"/>
    <w:rsid w:val="29595666"/>
    <w:rsid w:val="296A19BB"/>
    <w:rsid w:val="29713A72"/>
    <w:rsid w:val="2972331B"/>
    <w:rsid w:val="29815D9D"/>
    <w:rsid w:val="29874881"/>
    <w:rsid w:val="299A413D"/>
    <w:rsid w:val="29C747FF"/>
    <w:rsid w:val="29E325E0"/>
    <w:rsid w:val="29E84C72"/>
    <w:rsid w:val="29EE7EF6"/>
    <w:rsid w:val="2A0F3737"/>
    <w:rsid w:val="2A1B07AF"/>
    <w:rsid w:val="2A226A78"/>
    <w:rsid w:val="2A2455DE"/>
    <w:rsid w:val="2A2C2DB6"/>
    <w:rsid w:val="2A3A2AEB"/>
    <w:rsid w:val="2A3D2EC0"/>
    <w:rsid w:val="2A3E116E"/>
    <w:rsid w:val="2A452503"/>
    <w:rsid w:val="2A4F35C6"/>
    <w:rsid w:val="2A727540"/>
    <w:rsid w:val="2AA9724E"/>
    <w:rsid w:val="2AAC449F"/>
    <w:rsid w:val="2AB460C6"/>
    <w:rsid w:val="2AB72A96"/>
    <w:rsid w:val="2ACD5257"/>
    <w:rsid w:val="2AFF3EB4"/>
    <w:rsid w:val="2B040847"/>
    <w:rsid w:val="2B0F00BA"/>
    <w:rsid w:val="2B14456A"/>
    <w:rsid w:val="2B191C3F"/>
    <w:rsid w:val="2B2D70B1"/>
    <w:rsid w:val="2B2F6A18"/>
    <w:rsid w:val="2B3B4E06"/>
    <w:rsid w:val="2B472EE0"/>
    <w:rsid w:val="2B5D71B0"/>
    <w:rsid w:val="2B8A24FE"/>
    <w:rsid w:val="2B9C1569"/>
    <w:rsid w:val="2B9D7F59"/>
    <w:rsid w:val="2BA936A8"/>
    <w:rsid w:val="2BAC0068"/>
    <w:rsid w:val="2BB923F8"/>
    <w:rsid w:val="2BCD0D45"/>
    <w:rsid w:val="2BF22B6F"/>
    <w:rsid w:val="2BFD0B9E"/>
    <w:rsid w:val="2C0648E1"/>
    <w:rsid w:val="2C065011"/>
    <w:rsid w:val="2C0C6063"/>
    <w:rsid w:val="2C1F31B7"/>
    <w:rsid w:val="2C245E51"/>
    <w:rsid w:val="2C2E50ED"/>
    <w:rsid w:val="2C315A5A"/>
    <w:rsid w:val="2C397A33"/>
    <w:rsid w:val="2C40745E"/>
    <w:rsid w:val="2C4B1C25"/>
    <w:rsid w:val="2C506C46"/>
    <w:rsid w:val="2C5657BB"/>
    <w:rsid w:val="2C772551"/>
    <w:rsid w:val="2CAE18E6"/>
    <w:rsid w:val="2CBF3CCC"/>
    <w:rsid w:val="2CD40E84"/>
    <w:rsid w:val="2CD83406"/>
    <w:rsid w:val="2CF66EF2"/>
    <w:rsid w:val="2D092DDD"/>
    <w:rsid w:val="2D161352"/>
    <w:rsid w:val="2D2E06D8"/>
    <w:rsid w:val="2D321627"/>
    <w:rsid w:val="2D4305AA"/>
    <w:rsid w:val="2D452CB2"/>
    <w:rsid w:val="2D4E15E2"/>
    <w:rsid w:val="2D542766"/>
    <w:rsid w:val="2D561190"/>
    <w:rsid w:val="2D6938AC"/>
    <w:rsid w:val="2D720E3E"/>
    <w:rsid w:val="2D7540C5"/>
    <w:rsid w:val="2D7C3587"/>
    <w:rsid w:val="2D8218D6"/>
    <w:rsid w:val="2D9E56F5"/>
    <w:rsid w:val="2DA37249"/>
    <w:rsid w:val="2DA770E1"/>
    <w:rsid w:val="2DA84CAB"/>
    <w:rsid w:val="2DB51313"/>
    <w:rsid w:val="2DD221DA"/>
    <w:rsid w:val="2E125298"/>
    <w:rsid w:val="2E134196"/>
    <w:rsid w:val="2E197354"/>
    <w:rsid w:val="2E1B7BB0"/>
    <w:rsid w:val="2E224A70"/>
    <w:rsid w:val="2E272955"/>
    <w:rsid w:val="2E632470"/>
    <w:rsid w:val="2E667F96"/>
    <w:rsid w:val="2E753E92"/>
    <w:rsid w:val="2E76670C"/>
    <w:rsid w:val="2E7703CC"/>
    <w:rsid w:val="2E8226AB"/>
    <w:rsid w:val="2E893F2C"/>
    <w:rsid w:val="2E953036"/>
    <w:rsid w:val="2EA2405D"/>
    <w:rsid w:val="2EB317DA"/>
    <w:rsid w:val="2EB75385"/>
    <w:rsid w:val="2EBC05C2"/>
    <w:rsid w:val="2EC30EA7"/>
    <w:rsid w:val="2EE80EBD"/>
    <w:rsid w:val="2EE847E0"/>
    <w:rsid w:val="2EFB0CB5"/>
    <w:rsid w:val="2F0D7AC3"/>
    <w:rsid w:val="2F141F05"/>
    <w:rsid w:val="2F253AE7"/>
    <w:rsid w:val="2F3971DB"/>
    <w:rsid w:val="2F44028F"/>
    <w:rsid w:val="2F5364C3"/>
    <w:rsid w:val="2F5A5BAB"/>
    <w:rsid w:val="2F8F65BC"/>
    <w:rsid w:val="2FA75893"/>
    <w:rsid w:val="2FAC516D"/>
    <w:rsid w:val="2FBB2F70"/>
    <w:rsid w:val="2FD065E6"/>
    <w:rsid w:val="2FD96870"/>
    <w:rsid w:val="30205DDD"/>
    <w:rsid w:val="30294C9E"/>
    <w:rsid w:val="30305D02"/>
    <w:rsid w:val="3034271C"/>
    <w:rsid w:val="303B5E5F"/>
    <w:rsid w:val="30580BC9"/>
    <w:rsid w:val="3058761A"/>
    <w:rsid w:val="306B57BC"/>
    <w:rsid w:val="308709A0"/>
    <w:rsid w:val="309A353C"/>
    <w:rsid w:val="309B326B"/>
    <w:rsid w:val="30A6152A"/>
    <w:rsid w:val="30B33C12"/>
    <w:rsid w:val="30B962BB"/>
    <w:rsid w:val="30C14E3C"/>
    <w:rsid w:val="30F66673"/>
    <w:rsid w:val="31010BF8"/>
    <w:rsid w:val="310377B0"/>
    <w:rsid w:val="311E2ED7"/>
    <w:rsid w:val="313A7177"/>
    <w:rsid w:val="315619EE"/>
    <w:rsid w:val="315C23C9"/>
    <w:rsid w:val="315C449C"/>
    <w:rsid w:val="315E0476"/>
    <w:rsid w:val="316C1907"/>
    <w:rsid w:val="317909ED"/>
    <w:rsid w:val="317B0752"/>
    <w:rsid w:val="31804E38"/>
    <w:rsid w:val="3182527D"/>
    <w:rsid w:val="31AB22BF"/>
    <w:rsid w:val="31B82709"/>
    <w:rsid w:val="31BB4B77"/>
    <w:rsid w:val="31D02E13"/>
    <w:rsid w:val="31D05482"/>
    <w:rsid w:val="31FD161E"/>
    <w:rsid w:val="320B2A41"/>
    <w:rsid w:val="32171FB4"/>
    <w:rsid w:val="321C11A9"/>
    <w:rsid w:val="3220608C"/>
    <w:rsid w:val="32400B34"/>
    <w:rsid w:val="32417DF4"/>
    <w:rsid w:val="324B666C"/>
    <w:rsid w:val="326F268A"/>
    <w:rsid w:val="32723906"/>
    <w:rsid w:val="32773741"/>
    <w:rsid w:val="328F17C2"/>
    <w:rsid w:val="328F5345"/>
    <w:rsid w:val="32962B55"/>
    <w:rsid w:val="329E6876"/>
    <w:rsid w:val="32C263C3"/>
    <w:rsid w:val="32D2621C"/>
    <w:rsid w:val="32E7172E"/>
    <w:rsid w:val="32ED2059"/>
    <w:rsid w:val="333015F2"/>
    <w:rsid w:val="333C77F1"/>
    <w:rsid w:val="33447DA5"/>
    <w:rsid w:val="334B6320"/>
    <w:rsid w:val="334C7DFC"/>
    <w:rsid w:val="334E470B"/>
    <w:rsid w:val="334F51E5"/>
    <w:rsid w:val="33640CF7"/>
    <w:rsid w:val="337D0483"/>
    <w:rsid w:val="33C34573"/>
    <w:rsid w:val="33C46185"/>
    <w:rsid w:val="33D762EA"/>
    <w:rsid w:val="33D934D4"/>
    <w:rsid w:val="33FE2F6A"/>
    <w:rsid w:val="340E07E5"/>
    <w:rsid w:val="3410430F"/>
    <w:rsid w:val="34235BF7"/>
    <w:rsid w:val="34346B76"/>
    <w:rsid w:val="345822E4"/>
    <w:rsid w:val="347D04E0"/>
    <w:rsid w:val="34853702"/>
    <w:rsid w:val="348E7DF7"/>
    <w:rsid w:val="34CB4E4C"/>
    <w:rsid w:val="34E70CCB"/>
    <w:rsid w:val="34F2066E"/>
    <w:rsid w:val="34F8431E"/>
    <w:rsid w:val="350F4E07"/>
    <w:rsid w:val="351A624F"/>
    <w:rsid w:val="353161F6"/>
    <w:rsid w:val="354058AC"/>
    <w:rsid w:val="354A4123"/>
    <w:rsid w:val="357C0B27"/>
    <w:rsid w:val="358C5FA8"/>
    <w:rsid w:val="35AA70B3"/>
    <w:rsid w:val="35B26413"/>
    <w:rsid w:val="35C15DF1"/>
    <w:rsid w:val="35EB3E83"/>
    <w:rsid w:val="35FA2C08"/>
    <w:rsid w:val="35FD53B6"/>
    <w:rsid w:val="36074A7F"/>
    <w:rsid w:val="362F3D67"/>
    <w:rsid w:val="36315D27"/>
    <w:rsid w:val="363929EF"/>
    <w:rsid w:val="36487B93"/>
    <w:rsid w:val="364A166D"/>
    <w:rsid w:val="364F61C0"/>
    <w:rsid w:val="36793FC3"/>
    <w:rsid w:val="368001C9"/>
    <w:rsid w:val="36884E9A"/>
    <w:rsid w:val="368A4EE2"/>
    <w:rsid w:val="36923549"/>
    <w:rsid w:val="36A24542"/>
    <w:rsid w:val="36B75FBF"/>
    <w:rsid w:val="36BD0C45"/>
    <w:rsid w:val="36CA3CA1"/>
    <w:rsid w:val="36EF715C"/>
    <w:rsid w:val="371007B0"/>
    <w:rsid w:val="37156562"/>
    <w:rsid w:val="37195DD0"/>
    <w:rsid w:val="372E04CB"/>
    <w:rsid w:val="373B54B5"/>
    <w:rsid w:val="3749459E"/>
    <w:rsid w:val="374F6DB6"/>
    <w:rsid w:val="37522EE9"/>
    <w:rsid w:val="375B4E0A"/>
    <w:rsid w:val="377554B1"/>
    <w:rsid w:val="377C4D93"/>
    <w:rsid w:val="377D5C43"/>
    <w:rsid w:val="378F5882"/>
    <w:rsid w:val="37975BB0"/>
    <w:rsid w:val="379E48E1"/>
    <w:rsid w:val="37B75A65"/>
    <w:rsid w:val="37CA1DDB"/>
    <w:rsid w:val="37CE026D"/>
    <w:rsid w:val="37CF51D5"/>
    <w:rsid w:val="37D068F2"/>
    <w:rsid w:val="37D114A6"/>
    <w:rsid w:val="37E00298"/>
    <w:rsid w:val="37F13664"/>
    <w:rsid w:val="380102BC"/>
    <w:rsid w:val="38250CC3"/>
    <w:rsid w:val="38280905"/>
    <w:rsid w:val="38304750"/>
    <w:rsid w:val="38376B63"/>
    <w:rsid w:val="3841400E"/>
    <w:rsid w:val="384C002D"/>
    <w:rsid w:val="384D360F"/>
    <w:rsid w:val="388D3F95"/>
    <w:rsid w:val="389867A1"/>
    <w:rsid w:val="389C2B80"/>
    <w:rsid w:val="38A95476"/>
    <w:rsid w:val="38B302F9"/>
    <w:rsid w:val="38C92EE7"/>
    <w:rsid w:val="38CC58A6"/>
    <w:rsid w:val="38DF38F5"/>
    <w:rsid w:val="38F12CD3"/>
    <w:rsid w:val="38F52234"/>
    <w:rsid w:val="38F94775"/>
    <w:rsid w:val="390034D4"/>
    <w:rsid w:val="39253CA1"/>
    <w:rsid w:val="392971ED"/>
    <w:rsid w:val="392C37EC"/>
    <w:rsid w:val="392E6959"/>
    <w:rsid w:val="39325651"/>
    <w:rsid w:val="3962489A"/>
    <w:rsid w:val="3968162A"/>
    <w:rsid w:val="396C3F94"/>
    <w:rsid w:val="39921E44"/>
    <w:rsid w:val="39967C0E"/>
    <w:rsid w:val="399F334E"/>
    <w:rsid w:val="399F3484"/>
    <w:rsid w:val="39D07647"/>
    <w:rsid w:val="39D2161F"/>
    <w:rsid w:val="39D8471E"/>
    <w:rsid w:val="39D90054"/>
    <w:rsid w:val="39E32BC3"/>
    <w:rsid w:val="39EC5AFE"/>
    <w:rsid w:val="3A040717"/>
    <w:rsid w:val="3A0B2A0D"/>
    <w:rsid w:val="3A22270A"/>
    <w:rsid w:val="3A2F7932"/>
    <w:rsid w:val="3A546319"/>
    <w:rsid w:val="3A6E3A57"/>
    <w:rsid w:val="3A872856"/>
    <w:rsid w:val="3AB04C2F"/>
    <w:rsid w:val="3AD23FCA"/>
    <w:rsid w:val="3AD41A9E"/>
    <w:rsid w:val="3ADE4285"/>
    <w:rsid w:val="3ADF236C"/>
    <w:rsid w:val="3AEB75A8"/>
    <w:rsid w:val="3AFF7698"/>
    <w:rsid w:val="3B371933"/>
    <w:rsid w:val="3B3763D1"/>
    <w:rsid w:val="3B410A74"/>
    <w:rsid w:val="3B7157C9"/>
    <w:rsid w:val="3B720D0B"/>
    <w:rsid w:val="3B7854D1"/>
    <w:rsid w:val="3B880DA0"/>
    <w:rsid w:val="3B990F52"/>
    <w:rsid w:val="3BAA5E22"/>
    <w:rsid w:val="3BBC15D8"/>
    <w:rsid w:val="3BC60284"/>
    <w:rsid w:val="3BC767F9"/>
    <w:rsid w:val="3BFA274F"/>
    <w:rsid w:val="3C296023"/>
    <w:rsid w:val="3C2D01D5"/>
    <w:rsid w:val="3C2F6E1E"/>
    <w:rsid w:val="3C377540"/>
    <w:rsid w:val="3C39505D"/>
    <w:rsid w:val="3C453386"/>
    <w:rsid w:val="3C4F64BA"/>
    <w:rsid w:val="3C50160D"/>
    <w:rsid w:val="3C510690"/>
    <w:rsid w:val="3C59297D"/>
    <w:rsid w:val="3C6364AA"/>
    <w:rsid w:val="3C84487F"/>
    <w:rsid w:val="3C8C4973"/>
    <w:rsid w:val="3C8D0F5B"/>
    <w:rsid w:val="3C9845A7"/>
    <w:rsid w:val="3C9A3044"/>
    <w:rsid w:val="3C9F5C8B"/>
    <w:rsid w:val="3CBC752E"/>
    <w:rsid w:val="3CC36621"/>
    <w:rsid w:val="3CDA245A"/>
    <w:rsid w:val="3CEE4251"/>
    <w:rsid w:val="3CFC0724"/>
    <w:rsid w:val="3D1E06B7"/>
    <w:rsid w:val="3D391940"/>
    <w:rsid w:val="3D3C6CF0"/>
    <w:rsid w:val="3D693607"/>
    <w:rsid w:val="3D712EC0"/>
    <w:rsid w:val="3D785FFC"/>
    <w:rsid w:val="3D8700E8"/>
    <w:rsid w:val="3DB67673"/>
    <w:rsid w:val="3E0F5ABD"/>
    <w:rsid w:val="3E261EFC"/>
    <w:rsid w:val="3E2C7F1A"/>
    <w:rsid w:val="3E406C98"/>
    <w:rsid w:val="3E5F2F97"/>
    <w:rsid w:val="3E7317C6"/>
    <w:rsid w:val="3E92609E"/>
    <w:rsid w:val="3E9536B7"/>
    <w:rsid w:val="3EBF6D12"/>
    <w:rsid w:val="3ECF5CD8"/>
    <w:rsid w:val="3ED64479"/>
    <w:rsid w:val="3ED905E3"/>
    <w:rsid w:val="3EDA0523"/>
    <w:rsid w:val="3EDE7B8A"/>
    <w:rsid w:val="3EE316BA"/>
    <w:rsid w:val="3EE94E9C"/>
    <w:rsid w:val="3EED4390"/>
    <w:rsid w:val="3EF151D1"/>
    <w:rsid w:val="3F314E2D"/>
    <w:rsid w:val="3F39322F"/>
    <w:rsid w:val="3F493EE3"/>
    <w:rsid w:val="3F517579"/>
    <w:rsid w:val="3F656938"/>
    <w:rsid w:val="3F82434E"/>
    <w:rsid w:val="3F8F7BA6"/>
    <w:rsid w:val="3F9F6120"/>
    <w:rsid w:val="3FCA5912"/>
    <w:rsid w:val="3FCB2D5B"/>
    <w:rsid w:val="3FD85478"/>
    <w:rsid w:val="3FE5795C"/>
    <w:rsid w:val="400B173F"/>
    <w:rsid w:val="40270D28"/>
    <w:rsid w:val="403E2B20"/>
    <w:rsid w:val="40720941"/>
    <w:rsid w:val="407759B8"/>
    <w:rsid w:val="407A6407"/>
    <w:rsid w:val="408641A6"/>
    <w:rsid w:val="40AD544F"/>
    <w:rsid w:val="40B860EB"/>
    <w:rsid w:val="40C23B98"/>
    <w:rsid w:val="40C86458"/>
    <w:rsid w:val="40F038CE"/>
    <w:rsid w:val="40F70074"/>
    <w:rsid w:val="40FC3AA1"/>
    <w:rsid w:val="41096C66"/>
    <w:rsid w:val="41237074"/>
    <w:rsid w:val="415134D1"/>
    <w:rsid w:val="415D5C35"/>
    <w:rsid w:val="41673E54"/>
    <w:rsid w:val="4167600E"/>
    <w:rsid w:val="416F5606"/>
    <w:rsid w:val="41752C3F"/>
    <w:rsid w:val="417B7278"/>
    <w:rsid w:val="418066BF"/>
    <w:rsid w:val="4187711A"/>
    <w:rsid w:val="41D1217F"/>
    <w:rsid w:val="41E57A3E"/>
    <w:rsid w:val="41E820C7"/>
    <w:rsid w:val="41F36105"/>
    <w:rsid w:val="41F76B81"/>
    <w:rsid w:val="4200449D"/>
    <w:rsid w:val="4210426A"/>
    <w:rsid w:val="422A5CB7"/>
    <w:rsid w:val="422B5DAF"/>
    <w:rsid w:val="423A3BCC"/>
    <w:rsid w:val="424E57D2"/>
    <w:rsid w:val="425354B0"/>
    <w:rsid w:val="42587AEE"/>
    <w:rsid w:val="426976D6"/>
    <w:rsid w:val="4277674F"/>
    <w:rsid w:val="42946631"/>
    <w:rsid w:val="429C0688"/>
    <w:rsid w:val="42B26C49"/>
    <w:rsid w:val="42B61086"/>
    <w:rsid w:val="42C424B8"/>
    <w:rsid w:val="42D33CD5"/>
    <w:rsid w:val="43000262"/>
    <w:rsid w:val="4301357D"/>
    <w:rsid w:val="430805D0"/>
    <w:rsid w:val="430D5439"/>
    <w:rsid w:val="43117EFC"/>
    <w:rsid w:val="43182FAD"/>
    <w:rsid w:val="431E13F4"/>
    <w:rsid w:val="43211D9E"/>
    <w:rsid w:val="43273A09"/>
    <w:rsid w:val="433A6FE6"/>
    <w:rsid w:val="43480868"/>
    <w:rsid w:val="434E5332"/>
    <w:rsid w:val="4350713C"/>
    <w:rsid w:val="435F2051"/>
    <w:rsid w:val="43646AE9"/>
    <w:rsid w:val="436653E0"/>
    <w:rsid w:val="436D50C7"/>
    <w:rsid w:val="437573AA"/>
    <w:rsid w:val="437C2A4C"/>
    <w:rsid w:val="43A8129A"/>
    <w:rsid w:val="43AD46D4"/>
    <w:rsid w:val="43AD5CB3"/>
    <w:rsid w:val="43AE166A"/>
    <w:rsid w:val="43BB495E"/>
    <w:rsid w:val="43BC29BB"/>
    <w:rsid w:val="43C4431A"/>
    <w:rsid w:val="43D30DC4"/>
    <w:rsid w:val="43D85133"/>
    <w:rsid w:val="43F57AAF"/>
    <w:rsid w:val="43F6613F"/>
    <w:rsid w:val="440C56F3"/>
    <w:rsid w:val="44256684"/>
    <w:rsid w:val="4459136B"/>
    <w:rsid w:val="446F66FE"/>
    <w:rsid w:val="44715D19"/>
    <w:rsid w:val="447D0AEA"/>
    <w:rsid w:val="44B071D1"/>
    <w:rsid w:val="44B951CC"/>
    <w:rsid w:val="44BF682B"/>
    <w:rsid w:val="44C47D79"/>
    <w:rsid w:val="44CD14E0"/>
    <w:rsid w:val="44D01407"/>
    <w:rsid w:val="44E81D9A"/>
    <w:rsid w:val="44F20B0B"/>
    <w:rsid w:val="44F4314C"/>
    <w:rsid w:val="44FD31D3"/>
    <w:rsid w:val="452E5F4C"/>
    <w:rsid w:val="45606AC7"/>
    <w:rsid w:val="45612018"/>
    <w:rsid w:val="45734149"/>
    <w:rsid w:val="458946E9"/>
    <w:rsid w:val="459640BC"/>
    <w:rsid w:val="45A47C0E"/>
    <w:rsid w:val="45B25E26"/>
    <w:rsid w:val="45BF5994"/>
    <w:rsid w:val="45C025FA"/>
    <w:rsid w:val="45C9756E"/>
    <w:rsid w:val="45D83A9D"/>
    <w:rsid w:val="45D948C2"/>
    <w:rsid w:val="45FC030B"/>
    <w:rsid w:val="46066EFD"/>
    <w:rsid w:val="461707DD"/>
    <w:rsid w:val="46250CEB"/>
    <w:rsid w:val="4627738D"/>
    <w:rsid w:val="46415F8F"/>
    <w:rsid w:val="46433B5B"/>
    <w:rsid w:val="46577FD6"/>
    <w:rsid w:val="46620F2E"/>
    <w:rsid w:val="466A4950"/>
    <w:rsid w:val="46715CDF"/>
    <w:rsid w:val="468375E3"/>
    <w:rsid w:val="46A15B50"/>
    <w:rsid w:val="46A8004D"/>
    <w:rsid w:val="46AA2F9F"/>
    <w:rsid w:val="46B1257F"/>
    <w:rsid w:val="46B227A3"/>
    <w:rsid w:val="46C7188E"/>
    <w:rsid w:val="46D955A7"/>
    <w:rsid w:val="470710C1"/>
    <w:rsid w:val="47133957"/>
    <w:rsid w:val="471857CE"/>
    <w:rsid w:val="475E64F4"/>
    <w:rsid w:val="476B4B13"/>
    <w:rsid w:val="478603D0"/>
    <w:rsid w:val="47883760"/>
    <w:rsid w:val="479667A8"/>
    <w:rsid w:val="479723C0"/>
    <w:rsid w:val="47A07E0C"/>
    <w:rsid w:val="47AD037B"/>
    <w:rsid w:val="47C156A2"/>
    <w:rsid w:val="47CF3EC9"/>
    <w:rsid w:val="47D52B86"/>
    <w:rsid w:val="480E5EDB"/>
    <w:rsid w:val="48254D9C"/>
    <w:rsid w:val="482A7699"/>
    <w:rsid w:val="482A7DA0"/>
    <w:rsid w:val="483D406D"/>
    <w:rsid w:val="48424C50"/>
    <w:rsid w:val="48434213"/>
    <w:rsid w:val="484D0086"/>
    <w:rsid w:val="48563697"/>
    <w:rsid w:val="485A4513"/>
    <w:rsid w:val="486B22A1"/>
    <w:rsid w:val="4870272E"/>
    <w:rsid w:val="48790A25"/>
    <w:rsid w:val="48990517"/>
    <w:rsid w:val="489A4C15"/>
    <w:rsid w:val="489B7CEB"/>
    <w:rsid w:val="48A95C04"/>
    <w:rsid w:val="48B43AC4"/>
    <w:rsid w:val="48BC7ABC"/>
    <w:rsid w:val="48C1632A"/>
    <w:rsid w:val="48C45194"/>
    <w:rsid w:val="48DB7DD5"/>
    <w:rsid w:val="48DE126C"/>
    <w:rsid w:val="48E011C4"/>
    <w:rsid w:val="48E74544"/>
    <w:rsid w:val="49072873"/>
    <w:rsid w:val="491C7B82"/>
    <w:rsid w:val="491D5CAA"/>
    <w:rsid w:val="49254A1B"/>
    <w:rsid w:val="493475FC"/>
    <w:rsid w:val="4935417C"/>
    <w:rsid w:val="49365C90"/>
    <w:rsid w:val="493755EF"/>
    <w:rsid w:val="497254AC"/>
    <w:rsid w:val="497453EA"/>
    <w:rsid w:val="49747FC0"/>
    <w:rsid w:val="49981261"/>
    <w:rsid w:val="499B1CB9"/>
    <w:rsid w:val="49A00CEC"/>
    <w:rsid w:val="49B92BE5"/>
    <w:rsid w:val="49C46ABD"/>
    <w:rsid w:val="49DC7715"/>
    <w:rsid w:val="49E83E9E"/>
    <w:rsid w:val="49F92273"/>
    <w:rsid w:val="4A023139"/>
    <w:rsid w:val="4A056E0D"/>
    <w:rsid w:val="4A2A0AC1"/>
    <w:rsid w:val="4A31063D"/>
    <w:rsid w:val="4A3937C3"/>
    <w:rsid w:val="4A3C731C"/>
    <w:rsid w:val="4A5B1180"/>
    <w:rsid w:val="4A777823"/>
    <w:rsid w:val="4A7B576F"/>
    <w:rsid w:val="4A88265D"/>
    <w:rsid w:val="4AC611A0"/>
    <w:rsid w:val="4ACC5BD9"/>
    <w:rsid w:val="4AF561A9"/>
    <w:rsid w:val="4B164B1E"/>
    <w:rsid w:val="4B1C23E8"/>
    <w:rsid w:val="4B250304"/>
    <w:rsid w:val="4B315696"/>
    <w:rsid w:val="4B3F0159"/>
    <w:rsid w:val="4B400391"/>
    <w:rsid w:val="4B517E8D"/>
    <w:rsid w:val="4B5F03F4"/>
    <w:rsid w:val="4B670BB6"/>
    <w:rsid w:val="4B765438"/>
    <w:rsid w:val="4B7F7590"/>
    <w:rsid w:val="4B800118"/>
    <w:rsid w:val="4BB007DF"/>
    <w:rsid w:val="4BB12D03"/>
    <w:rsid w:val="4BB36F6C"/>
    <w:rsid w:val="4BC324E4"/>
    <w:rsid w:val="4BC6773C"/>
    <w:rsid w:val="4BE20D87"/>
    <w:rsid w:val="4BED1F56"/>
    <w:rsid w:val="4BFA1A36"/>
    <w:rsid w:val="4C09268B"/>
    <w:rsid w:val="4C1B5DAB"/>
    <w:rsid w:val="4C260E56"/>
    <w:rsid w:val="4C2C21EA"/>
    <w:rsid w:val="4C3617F6"/>
    <w:rsid w:val="4C3A36A3"/>
    <w:rsid w:val="4C4A0649"/>
    <w:rsid w:val="4C6A6E24"/>
    <w:rsid w:val="4C7D6483"/>
    <w:rsid w:val="4C7E5ECA"/>
    <w:rsid w:val="4C876AA5"/>
    <w:rsid w:val="4C9200F5"/>
    <w:rsid w:val="4C974DBE"/>
    <w:rsid w:val="4CAA5AA7"/>
    <w:rsid w:val="4CAD5B30"/>
    <w:rsid w:val="4CBB3873"/>
    <w:rsid w:val="4CDD5ADD"/>
    <w:rsid w:val="4CFB4554"/>
    <w:rsid w:val="4D0E00FB"/>
    <w:rsid w:val="4D176606"/>
    <w:rsid w:val="4D2F41FE"/>
    <w:rsid w:val="4D3B5302"/>
    <w:rsid w:val="4D3D4B6D"/>
    <w:rsid w:val="4D4B103D"/>
    <w:rsid w:val="4D5C4C8E"/>
    <w:rsid w:val="4D6B35F3"/>
    <w:rsid w:val="4D79143C"/>
    <w:rsid w:val="4D8D4A02"/>
    <w:rsid w:val="4D993FFA"/>
    <w:rsid w:val="4DB83576"/>
    <w:rsid w:val="4DCE1529"/>
    <w:rsid w:val="4DCE6BDD"/>
    <w:rsid w:val="4DCF2E83"/>
    <w:rsid w:val="4DD65499"/>
    <w:rsid w:val="4DDE38A1"/>
    <w:rsid w:val="4DEC4FB0"/>
    <w:rsid w:val="4DF704F4"/>
    <w:rsid w:val="4E075D8A"/>
    <w:rsid w:val="4E2F19A7"/>
    <w:rsid w:val="4E611B8B"/>
    <w:rsid w:val="4E615A70"/>
    <w:rsid w:val="4E640624"/>
    <w:rsid w:val="4E644602"/>
    <w:rsid w:val="4E90211D"/>
    <w:rsid w:val="4EA004C6"/>
    <w:rsid w:val="4EC00FAD"/>
    <w:rsid w:val="4EC92B5C"/>
    <w:rsid w:val="4ED64C03"/>
    <w:rsid w:val="4F0F42E7"/>
    <w:rsid w:val="4F1D16E4"/>
    <w:rsid w:val="4F214723"/>
    <w:rsid w:val="4F2A1CF5"/>
    <w:rsid w:val="4F2E29BF"/>
    <w:rsid w:val="4F405132"/>
    <w:rsid w:val="4F40681C"/>
    <w:rsid w:val="4F50369F"/>
    <w:rsid w:val="4F6A3059"/>
    <w:rsid w:val="4F7D4F74"/>
    <w:rsid w:val="4F873110"/>
    <w:rsid w:val="4F9843DC"/>
    <w:rsid w:val="4FB05B2D"/>
    <w:rsid w:val="4FB235F0"/>
    <w:rsid w:val="4FB87E9E"/>
    <w:rsid w:val="4FC62A8C"/>
    <w:rsid w:val="4FE20F0D"/>
    <w:rsid w:val="4FE51552"/>
    <w:rsid w:val="4FE84FCD"/>
    <w:rsid w:val="4FF7706B"/>
    <w:rsid w:val="4FF905E6"/>
    <w:rsid w:val="50061D14"/>
    <w:rsid w:val="5016661E"/>
    <w:rsid w:val="50206971"/>
    <w:rsid w:val="503A1A4F"/>
    <w:rsid w:val="50504C4B"/>
    <w:rsid w:val="505D4240"/>
    <w:rsid w:val="506A211C"/>
    <w:rsid w:val="507A7756"/>
    <w:rsid w:val="507C0CEF"/>
    <w:rsid w:val="50855026"/>
    <w:rsid w:val="508608F2"/>
    <w:rsid w:val="508B6775"/>
    <w:rsid w:val="5095249E"/>
    <w:rsid w:val="50966D98"/>
    <w:rsid w:val="509C6E7C"/>
    <w:rsid w:val="50A303E4"/>
    <w:rsid w:val="50AA0669"/>
    <w:rsid w:val="50C36206"/>
    <w:rsid w:val="50F639B0"/>
    <w:rsid w:val="50FE4193"/>
    <w:rsid w:val="510A5A20"/>
    <w:rsid w:val="510D7B55"/>
    <w:rsid w:val="511B2C87"/>
    <w:rsid w:val="5123212B"/>
    <w:rsid w:val="512C1DA9"/>
    <w:rsid w:val="5132036F"/>
    <w:rsid w:val="513A3314"/>
    <w:rsid w:val="515211E3"/>
    <w:rsid w:val="51525D80"/>
    <w:rsid w:val="515E50B1"/>
    <w:rsid w:val="5162104E"/>
    <w:rsid w:val="516522D2"/>
    <w:rsid w:val="51705511"/>
    <w:rsid w:val="51921EEB"/>
    <w:rsid w:val="51BC0D22"/>
    <w:rsid w:val="51C21AE4"/>
    <w:rsid w:val="51E17B12"/>
    <w:rsid w:val="520914C1"/>
    <w:rsid w:val="5210664C"/>
    <w:rsid w:val="52111504"/>
    <w:rsid w:val="5213765B"/>
    <w:rsid w:val="5221162F"/>
    <w:rsid w:val="527F2855"/>
    <w:rsid w:val="52BD1B60"/>
    <w:rsid w:val="52CA571B"/>
    <w:rsid w:val="52F85E4C"/>
    <w:rsid w:val="52FB2B3F"/>
    <w:rsid w:val="5304233A"/>
    <w:rsid w:val="53114877"/>
    <w:rsid w:val="531672EA"/>
    <w:rsid w:val="531E4C1F"/>
    <w:rsid w:val="53514ECE"/>
    <w:rsid w:val="535B6ABC"/>
    <w:rsid w:val="537B6780"/>
    <w:rsid w:val="538D5602"/>
    <w:rsid w:val="53952049"/>
    <w:rsid w:val="53A039CC"/>
    <w:rsid w:val="53A1505A"/>
    <w:rsid w:val="53B30040"/>
    <w:rsid w:val="53CA4EC4"/>
    <w:rsid w:val="53F41ABE"/>
    <w:rsid w:val="53F61BC2"/>
    <w:rsid w:val="54063E08"/>
    <w:rsid w:val="543437E8"/>
    <w:rsid w:val="54350854"/>
    <w:rsid w:val="54400E38"/>
    <w:rsid w:val="54483245"/>
    <w:rsid w:val="545A2D3C"/>
    <w:rsid w:val="54705A24"/>
    <w:rsid w:val="54900C2B"/>
    <w:rsid w:val="549F2C45"/>
    <w:rsid w:val="54A43A9F"/>
    <w:rsid w:val="54C25A5B"/>
    <w:rsid w:val="54EF20D8"/>
    <w:rsid w:val="54F73313"/>
    <w:rsid w:val="54F80955"/>
    <w:rsid w:val="54FB4D10"/>
    <w:rsid w:val="55014D8C"/>
    <w:rsid w:val="55096A38"/>
    <w:rsid w:val="55247B3E"/>
    <w:rsid w:val="554B1F06"/>
    <w:rsid w:val="555170A7"/>
    <w:rsid w:val="555D4DC6"/>
    <w:rsid w:val="556D2ACE"/>
    <w:rsid w:val="5587536D"/>
    <w:rsid w:val="559B174B"/>
    <w:rsid w:val="559E3BD9"/>
    <w:rsid w:val="55A171AA"/>
    <w:rsid w:val="55AD5081"/>
    <w:rsid w:val="55B50C49"/>
    <w:rsid w:val="55B6114A"/>
    <w:rsid w:val="55B7239A"/>
    <w:rsid w:val="55B8305D"/>
    <w:rsid w:val="55C43DC6"/>
    <w:rsid w:val="55CE0CF4"/>
    <w:rsid w:val="55CE6CAA"/>
    <w:rsid w:val="55D4097C"/>
    <w:rsid w:val="55DF4A13"/>
    <w:rsid w:val="55DF4D7F"/>
    <w:rsid w:val="562462AC"/>
    <w:rsid w:val="562C6624"/>
    <w:rsid w:val="564C58C4"/>
    <w:rsid w:val="5651096C"/>
    <w:rsid w:val="56521689"/>
    <w:rsid w:val="56644F18"/>
    <w:rsid w:val="567221FA"/>
    <w:rsid w:val="567B3E04"/>
    <w:rsid w:val="568A6E1B"/>
    <w:rsid w:val="568C05CA"/>
    <w:rsid w:val="569A6D80"/>
    <w:rsid w:val="56B22A9C"/>
    <w:rsid w:val="56B77EF7"/>
    <w:rsid w:val="56BE0AE1"/>
    <w:rsid w:val="56FB1D20"/>
    <w:rsid w:val="56FB39A8"/>
    <w:rsid w:val="57217FAD"/>
    <w:rsid w:val="57341C3D"/>
    <w:rsid w:val="574D26C1"/>
    <w:rsid w:val="576F41C6"/>
    <w:rsid w:val="578D66F1"/>
    <w:rsid w:val="57995095"/>
    <w:rsid w:val="57B72A76"/>
    <w:rsid w:val="57C3426C"/>
    <w:rsid w:val="57CD1B05"/>
    <w:rsid w:val="57CE1F93"/>
    <w:rsid w:val="57F75F47"/>
    <w:rsid w:val="58150F62"/>
    <w:rsid w:val="581D7A74"/>
    <w:rsid w:val="5833493B"/>
    <w:rsid w:val="58386683"/>
    <w:rsid w:val="583D7215"/>
    <w:rsid w:val="58792706"/>
    <w:rsid w:val="588648EC"/>
    <w:rsid w:val="588743D1"/>
    <w:rsid w:val="5887701A"/>
    <w:rsid w:val="58943FE7"/>
    <w:rsid w:val="58A23EBD"/>
    <w:rsid w:val="58B73C1F"/>
    <w:rsid w:val="58BB2CED"/>
    <w:rsid w:val="58D2260D"/>
    <w:rsid w:val="58D64D3E"/>
    <w:rsid w:val="58D77C23"/>
    <w:rsid w:val="58E6114E"/>
    <w:rsid w:val="58F85DEC"/>
    <w:rsid w:val="59076B22"/>
    <w:rsid w:val="591C25D0"/>
    <w:rsid w:val="592117E6"/>
    <w:rsid w:val="5929031A"/>
    <w:rsid w:val="59294EE0"/>
    <w:rsid w:val="59375C7D"/>
    <w:rsid w:val="59411A9E"/>
    <w:rsid w:val="594241CB"/>
    <w:rsid w:val="59436B98"/>
    <w:rsid w:val="59490613"/>
    <w:rsid w:val="594A5FC3"/>
    <w:rsid w:val="594C2225"/>
    <w:rsid w:val="595507D5"/>
    <w:rsid w:val="5961385B"/>
    <w:rsid w:val="599975CF"/>
    <w:rsid w:val="59A06A15"/>
    <w:rsid w:val="59A535E0"/>
    <w:rsid w:val="59A5770B"/>
    <w:rsid w:val="59AD59DC"/>
    <w:rsid w:val="59C0439F"/>
    <w:rsid w:val="59C363BB"/>
    <w:rsid w:val="59D129FB"/>
    <w:rsid w:val="59D14FBA"/>
    <w:rsid w:val="59EB1149"/>
    <w:rsid w:val="59F45B65"/>
    <w:rsid w:val="5A124512"/>
    <w:rsid w:val="5A1B2637"/>
    <w:rsid w:val="5A1B531B"/>
    <w:rsid w:val="5A1E571F"/>
    <w:rsid w:val="5A1E64AA"/>
    <w:rsid w:val="5A256BF3"/>
    <w:rsid w:val="5A271E38"/>
    <w:rsid w:val="5A392579"/>
    <w:rsid w:val="5A417165"/>
    <w:rsid w:val="5A5B1FE9"/>
    <w:rsid w:val="5A666BA6"/>
    <w:rsid w:val="5A6B7CAE"/>
    <w:rsid w:val="5A6F45A8"/>
    <w:rsid w:val="5A764479"/>
    <w:rsid w:val="5A82349C"/>
    <w:rsid w:val="5A937C42"/>
    <w:rsid w:val="5AA26D24"/>
    <w:rsid w:val="5ABE2233"/>
    <w:rsid w:val="5AD831A9"/>
    <w:rsid w:val="5AD9775B"/>
    <w:rsid w:val="5AE40D1D"/>
    <w:rsid w:val="5AF36778"/>
    <w:rsid w:val="5AF80FE3"/>
    <w:rsid w:val="5B01542B"/>
    <w:rsid w:val="5B132DE6"/>
    <w:rsid w:val="5B15357A"/>
    <w:rsid w:val="5B1C77D4"/>
    <w:rsid w:val="5B3F25C5"/>
    <w:rsid w:val="5B58254C"/>
    <w:rsid w:val="5B694CAF"/>
    <w:rsid w:val="5B833531"/>
    <w:rsid w:val="5B865931"/>
    <w:rsid w:val="5B9E3325"/>
    <w:rsid w:val="5B9F5D30"/>
    <w:rsid w:val="5BA72C4E"/>
    <w:rsid w:val="5BB16401"/>
    <w:rsid w:val="5BB60C73"/>
    <w:rsid w:val="5BDA1434"/>
    <w:rsid w:val="5BDF5D95"/>
    <w:rsid w:val="5BE77832"/>
    <w:rsid w:val="5BFD0845"/>
    <w:rsid w:val="5BFE7528"/>
    <w:rsid w:val="5C0D6A32"/>
    <w:rsid w:val="5C1A0E69"/>
    <w:rsid w:val="5C2822FC"/>
    <w:rsid w:val="5C427AAA"/>
    <w:rsid w:val="5C677510"/>
    <w:rsid w:val="5C7F23CD"/>
    <w:rsid w:val="5C8366B2"/>
    <w:rsid w:val="5C8E1531"/>
    <w:rsid w:val="5C8F6CD6"/>
    <w:rsid w:val="5C904263"/>
    <w:rsid w:val="5CA21335"/>
    <w:rsid w:val="5CA82D89"/>
    <w:rsid w:val="5CB20421"/>
    <w:rsid w:val="5CE57C34"/>
    <w:rsid w:val="5CEA4308"/>
    <w:rsid w:val="5CEB0232"/>
    <w:rsid w:val="5D0C4DB1"/>
    <w:rsid w:val="5D2F3F6C"/>
    <w:rsid w:val="5D537A94"/>
    <w:rsid w:val="5D694CBD"/>
    <w:rsid w:val="5D9F75B9"/>
    <w:rsid w:val="5DC3214E"/>
    <w:rsid w:val="5DCE1B39"/>
    <w:rsid w:val="5DCF1811"/>
    <w:rsid w:val="5DD27805"/>
    <w:rsid w:val="5DD77C9E"/>
    <w:rsid w:val="5DDB01B6"/>
    <w:rsid w:val="5DE15CD9"/>
    <w:rsid w:val="5DE76BE1"/>
    <w:rsid w:val="5DFF7C75"/>
    <w:rsid w:val="5E227112"/>
    <w:rsid w:val="5E2376F0"/>
    <w:rsid w:val="5E2467F1"/>
    <w:rsid w:val="5E2C7A84"/>
    <w:rsid w:val="5E5020D4"/>
    <w:rsid w:val="5E6521A3"/>
    <w:rsid w:val="5E67605B"/>
    <w:rsid w:val="5E6C2AC7"/>
    <w:rsid w:val="5E8D29C6"/>
    <w:rsid w:val="5EA649C5"/>
    <w:rsid w:val="5EBD22AE"/>
    <w:rsid w:val="5EC879C5"/>
    <w:rsid w:val="5ED739BB"/>
    <w:rsid w:val="5EE47449"/>
    <w:rsid w:val="5EE83F36"/>
    <w:rsid w:val="5F1A2B43"/>
    <w:rsid w:val="5F3E090B"/>
    <w:rsid w:val="5F4678B1"/>
    <w:rsid w:val="5F7D6E58"/>
    <w:rsid w:val="5FAA42E4"/>
    <w:rsid w:val="5FB837BB"/>
    <w:rsid w:val="5FE5356E"/>
    <w:rsid w:val="5FF44AC9"/>
    <w:rsid w:val="5FFA2AE8"/>
    <w:rsid w:val="60055EFA"/>
    <w:rsid w:val="600725AB"/>
    <w:rsid w:val="600A2FD4"/>
    <w:rsid w:val="604A1853"/>
    <w:rsid w:val="606643BE"/>
    <w:rsid w:val="6067567F"/>
    <w:rsid w:val="60710CEE"/>
    <w:rsid w:val="609944AA"/>
    <w:rsid w:val="609D7126"/>
    <w:rsid w:val="60A131A9"/>
    <w:rsid w:val="60A8158C"/>
    <w:rsid w:val="60BE446B"/>
    <w:rsid w:val="60CC405A"/>
    <w:rsid w:val="60D17A5F"/>
    <w:rsid w:val="60DA64AB"/>
    <w:rsid w:val="60FE7FD9"/>
    <w:rsid w:val="610547B8"/>
    <w:rsid w:val="61306B02"/>
    <w:rsid w:val="614E0C9F"/>
    <w:rsid w:val="616834A5"/>
    <w:rsid w:val="616E47ED"/>
    <w:rsid w:val="617318F7"/>
    <w:rsid w:val="61B7149A"/>
    <w:rsid w:val="61D6456D"/>
    <w:rsid w:val="61E215D8"/>
    <w:rsid w:val="61EB0BE3"/>
    <w:rsid w:val="61FD6FC8"/>
    <w:rsid w:val="61FE7CC8"/>
    <w:rsid w:val="621B3775"/>
    <w:rsid w:val="622079D0"/>
    <w:rsid w:val="62364782"/>
    <w:rsid w:val="625D23BD"/>
    <w:rsid w:val="626555AC"/>
    <w:rsid w:val="62874E74"/>
    <w:rsid w:val="629B2AAD"/>
    <w:rsid w:val="62B801DE"/>
    <w:rsid w:val="62C23C12"/>
    <w:rsid w:val="62C751AC"/>
    <w:rsid w:val="633863A0"/>
    <w:rsid w:val="63534126"/>
    <w:rsid w:val="63817634"/>
    <w:rsid w:val="6394356A"/>
    <w:rsid w:val="639F0EF4"/>
    <w:rsid w:val="63A86A98"/>
    <w:rsid w:val="63C61B2C"/>
    <w:rsid w:val="63C743E9"/>
    <w:rsid w:val="63D1325E"/>
    <w:rsid w:val="63D40BE9"/>
    <w:rsid w:val="63D4206B"/>
    <w:rsid w:val="63EA7CD7"/>
    <w:rsid w:val="63FC4F54"/>
    <w:rsid w:val="64102431"/>
    <w:rsid w:val="64124746"/>
    <w:rsid w:val="643B6378"/>
    <w:rsid w:val="64424F4F"/>
    <w:rsid w:val="64511C2F"/>
    <w:rsid w:val="64542A70"/>
    <w:rsid w:val="64547BE1"/>
    <w:rsid w:val="646B5BD8"/>
    <w:rsid w:val="64831E4A"/>
    <w:rsid w:val="6488588C"/>
    <w:rsid w:val="64960FD2"/>
    <w:rsid w:val="64A5243A"/>
    <w:rsid w:val="64B13954"/>
    <w:rsid w:val="64B4230E"/>
    <w:rsid w:val="64B442FB"/>
    <w:rsid w:val="64BD60DB"/>
    <w:rsid w:val="64D05D80"/>
    <w:rsid w:val="64DD3C13"/>
    <w:rsid w:val="64F531DE"/>
    <w:rsid w:val="64F65AE8"/>
    <w:rsid w:val="650565DC"/>
    <w:rsid w:val="65373578"/>
    <w:rsid w:val="653974C9"/>
    <w:rsid w:val="65474383"/>
    <w:rsid w:val="65541C63"/>
    <w:rsid w:val="655D3D19"/>
    <w:rsid w:val="656430C2"/>
    <w:rsid w:val="656848F7"/>
    <w:rsid w:val="6569254B"/>
    <w:rsid w:val="657824FA"/>
    <w:rsid w:val="65921AA2"/>
    <w:rsid w:val="659275B8"/>
    <w:rsid w:val="659D5800"/>
    <w:rsid w:val="65EC0012"/>
    <w:rsid w:val="66074E00"/>
    <w:rsid w:val="66187DFD"/>
    <w:rsid w:val="662D4050"/>
    <w:rsid w:val="663F4B1D"/>
    <w:rsid w:val="664D387D"/>
    <w:rsid w:val="665F74AA"/>
    <w:rsid w:val="66676D13"/>
    <w:rsid w:val="66692C8E"/>
    <w:rsid w:val="667E51BF"/>
    <w:rsid w:val="668549C3"/>
    <w:rsid w:val="66873E0A"/>
    <w:rsid w:val="66A71599"/>
    <w:rsid w:val="66B3296E"/>
    <w:rsid w:val="66C003F5"/>
    <w:rsid w:val="66D46BEA"/>
    <w:rsid w:val="66DB4CC2"/>
    <w:rsid w:val="66ED4C27"/>
    <w:rsid w:val="66F91781"/>
    <w:rsid w:val="670C46A0"/>
    <w:rsid w:val="671F124A"/>
    <w:rsid w:val="673D306E"/>
    <w:rsid w:val="67453E05"/>
    <w:rsid w:val="677A33C6"/>
    <w:rsid w:val="679145F3"/>
    <w:rsid w:val="679958D6"/>
    <w:rsid w:val="679B6404"/>
    <w:rsid w:val="67A17CB3"/>
    <w:rsid w:val="67A30C66"/>
    <w:rsid w:val="67A403EE"/>
    <w:rsid w:val="67A86149"/>
    <w:rsid w:val="67B54006"/>
    <w:rsid w:val="67BC29B2"/>
    <w:rsid w:val="67E67E83"/>
    <w:rsid w:val="67E804B6"/>
    <w:rsid w:val="67F01ABC"/>
    <w:rsid w:val="68015888"/>
    <w:rsid w:val="681F6961"/>
    <w:rsid w:val="68467466"/>
    <w:rsid w:val="68610A2F"/>
    <w:rsid w:val="686142B9"/>
    <w:rsid w:val="68652C8E"/>
    <w:rsid w:val="68656962"/>
    <w:rsid w:val="686B3172"/>
    <w:rsid w:val="68757459"/>
    <w:rsid w:val="68805514"/>
    <w:rsid w:val="68895A57"/>
    <w:rsid w:val="68900A54"/>
    <w:rsid w:val="68AA399B"/>
    <w:rsid w:val="68AD1BBD"/>
    <w:rsid w:val="68C00BD5"/>
    <w:rsid w:val="68C60DE7"/>
    <w:rsid w:val="68C6706A"/>
    <w:rsid w:val="68C71E6F"/>
    <w:rsid w:val="68CA2ABC"/>
    <w:rsid w:val="68D32582"/>
    <w:rsid w:val="68E71F9D"/>
    <w:rsid w:val="691634BF"/>
    <w:rsid w:val="691A298E"/>
    <w:rsid w:val="691C6520"/>
    <w:rsid w:val="69261D01"/>
    <w:rsid w:val="69316E2F"/>
    <w:rsid w:val="693E4987"/>
    <w:rsid w:val="69402BF7"/>
    <w:rsid w:val="69405D20"/>
    <w:rsid w:val="694E2071"/>
    <w:rsid w:val="69694032"/>
    <w:rsid w:val="69766163"/>
    <w:rsid w:val="697A3B33"/>
    <w:rsid w:val="69977CA6"/>
    <w:rsid w:val="69995D70"/>
    <w:rsid w:val="69A04061"/>
    <w:rsid w:val="69A26446"/>
    <w:rsid w:val="69B07AF6"/>
    <w:rsid w:val="69B416E8"/>
    <w:rsid w:val="69C22959"/>
    <w:rsid w:val="69CA436D"/>
    <w:rsid w:val="69D327FA"/>
    <w:rsid w:val="69D42CAE"/>
    <w:rsid w:val="69D44760"/>
    <w:rsid w:val="69DF4B8A"/>
    <w:rsid w:val="69F42AB8"/>
    <w:rsid w:val="69F57284"/>
    <w:rsid w:val="69F744B3"/>
    <w:rsid w:val="6A03545E"/>
    <w:rsid w:val="6A06480C"/>
    <w:rsid w:val="6A08202A"/>
    <w:rsid w:val="6A144F86"/>
    <w:rsid w:val="6A3051C0"/>
    <w:rsid w:val="6A350C4E"/>
    <w:rsid w:val="6A425588"/>
    <w:rsid w:val="6A520EC7"/>
    <w:rsid w:val="6A5A0C6B"/>
    <w:rsid w:val="6A6908F7"/>
    <w:rsid w:val="6A8F0140"/>
    <w:rsid w:val="6A97711C"/>
    <w:rsid w:val="6AA63EE1"/>
    <w:rsid w:val="6ABC136F"/>
    <w:rsid w:val="6AC754D5"/>
    <w:rsid w:val="6AE4628F"/>
    <w:rsid w:val="6AF87E20"/>
    <w:rsid w:val="6B0D03AE"/>
    <w:rsid w:val="6B243F13"/>
    <w:rsid w:val="6B322639"/>
    <w:rsid w:val="6B32518D"/>
    <w:rsid w:val="6B465558"/>
    <w:rsid w:val="6B4D7B01"/>
    <w:rsid w:val="6B533A81"/>
    <w:rsid w:val="6B544938"/>
    <w:rsid w:val="6B5732AF"/>
    <w:rsid w:val="6B595A2D"/>
    <w:rsid w:val="6B5E4114"/>
    <w:rsid w:val="6B840A2A"/>
    <w:rsid w:val="6B931178"/>
    <w:rsid w:val="6BA10C2C"/>
    <w:rsid w:val="6BAF4A30"/>
    <w:rsid w:val="6BB804F5"/>
    <w:rsid w:val="6BBF7FB5"/>
    <w:rsid w:val="6BDF2FD6"/>
    <w:rsid w:val="6BEE46C4"/>
    <w:rsid w:val="6BF764C5"/>
    <w:rsid w:val="6BFD39ED"/>
    <w:rsid w:val="6C164AAF"/>
    <w:rsid w:val="6C2147F0"/>
    <w:rsid w:val="6C395950"/>
    <w:rsid w:val="6C3B6B9B"/>
    <w:rsid w:val="6C4B3F39"/>
    <w:rsid w:val="6C636C38"/>
    <w:rsid w:val="6C7209F2"/>
    <w:rsid w:val="6C8A3963"/>
    <w:rsid w:val="6C8D4BB8"/>
    <w:rsid w:val="6C9253D7"/>
    <w:rsid w:val="6C943CB9"/>
    <w:rsid w:val="6CBD4F2A"/>
    <w:rsid w:val="6CC90CE7"/>
    <w:rsid w:val="6CE14908"/>
    <w:rsid w:val="6CE7737B"/>
    <w:rsid w:val="6CED23F1"/>
    <w:rsid w:val="6D1763FC"/>
    <w:rsid w:val="6D2154B9"/>
    <w:rsid w:val="6D2806C8"/>
    <w:rsid w:val="6D30302E"/>
    <w:rsid w:val="6D321474"/>
    <w:rsid w:val="6D3429BE"/>
    <w:rsid w:val="6D3C22F3"/>
    <w:rsid w:val="6D626736"/>
    <w:rsid w:val="6D9F53C4"/>
    <w:rsid w:val="6DB34098"/>
    <w:rsid w:val="6DB545B6"/>
    <w:rsid w:val="6DB71030"/>
    <w:rsid w:val="6DE02FB4"/>
    <w:rsid w:val="6DE43EE6"/>
    <w:rsid w:val="6DEA7B5C"/>
    <w:rsid w:val="6DF53B24"/>
    <w:rsid w:val="6E02353D"/>
    <w:rsid w:val="6E0276A8"/>
    <w:rsid w:val="6E041BA0"/>
    <w:rsid w:val="6E351A38"/>
    <w:rsid w:val="6E405C54"/>
    <w:rsid w:val="6E441824"/>
    <w:rsid w:val="6E4C0052"/>
    <w:rsid w:val="6E514CED"/>
    <w:rsid w:val="6E526DF7"/>
    <w:rsid w:val="6E6E0C46"/>
    <w:rsid w:val="6E7272D1"/>
    <w:rsid w:val="6E7B078A"/>
    <w:rsid w:val="6E893520"/>
    <w:rsid w:val="6E8D1BB3"/>
    <w:rsid w:val="6E926B0A"/>
    <w:rsid w:val="6E957575"/>
    <w:rsid w:val="6EAC66B7"/>
    <w:rsid w:val="6EB563D5"/>
    <w:rsid w:val="6ED92677"/>
    <w:rsid w:val="6EF068D9"/>
    <w:rsid w:val="6F062110"/>
    <w:rsid w:val="6F225983"/>
    <w:rsid w:val="6F255735"/>
    <w:rsid w:val="6F305EE6"/>
    <w:rsid w:val="6F4656AB"/>
    <w:rsid w:val="6F4A18AD"/>
    <w:rsid w:val="6F513429"/>
    <w:rsid w:val="6F5940B4"/>
    <w:rsid w:val="6F5B1008"/>
    <w:rsid w:val="6F601930"/>
    <w:rsid w:val="6F663391"/>
    <w:rsid w:val="6F8530E3"/>
    <w:rsid w:val="6F9208F0"/>
    <w:rsid w:val="6FA72DB6"/>
    <w:rsid w:val="6FCF4484"/>
    <w:rsid w:val="6FED6382"/>
    <w:rsid w:val="6FFC5590"/>
    <w:rsid w:val="6FFE593C"/>
    <w:rsid w:val="7002486E"/>
    <w:rsid w:val="70107034"/>
    <w:rsid w:val="703E5095"/>
    <w:rsid w:val="704F15E7"/>
    <w:rsid w:val="70524142"/>
    <w:rsid w:val="705D3AC2"/>
    <w:rsid w:val="706D1DD0"/>
    <w:rsid w:val="70711478"/>
    <w:rsid w:val="70856B87"/>
    <w:rsid w:val="708A202C"/>
    <w:rsid w:val="709240EC"/>
    <w:rsid w:val="70BD0C0D"/>
    <w:rsid w:val="70CB6351"/>
    <w:rsid w:val="70CE3C7A"/>
    <w:rsid w:val="70D527EE"/>
    <w:rsid w:val="70DB44C3"/>
    <w:rsid w:val="70DC015C"/>
    <w:rsid w:val="70DE5412"/>
    <w:rsid w:val="70E6230F"/>
    <w:rsid w:val="70F5325E"/>
    <w:rsid w:val="71046347"/>
    <w:rsid w:val="712331C2"/>
    <w:rsid w:val="714D7468"/>
    <w:rsid w:val="715A6472"/>
    <w:rsid w:val="715B5300"/>
    <w:rsid w:val="715F410B"/>
    <w:rsid w:val="71762845"/>
    <w:rsid w:val="718C2E5B"/>
    <w:rsid w:val="71922E29"/>
    <w:rsid w:val="719B5548"/>
    <w:rsid w:val="719C4588"/>
    <w:rsid w:val="71A22FE8"/>
    <w:rsid w:val="71A74B72"/>
    <w:rsid w:val="71D10252"/>
    <w:rsid w:val="71D27F8A"/>
    <w:rsid w:val="71E155BF"/>
    <w:rsid w:val="72002031"/>
    <w:rsid w:val="72024FD9"/>
    <w:rsid w:val="72085083"/>
    <w:rsid w:val="72203BED"/>
    <w:rsid w:val="723A0CAA"/>
    <w:rsid w:val="72426965"/>
    <w:rsid w:val="72553024"/>
    <w:rsid w:val="72662447"/>
    <w:rsid w:val="728F3B49"/>
    <w:rsid w:val="729D0137"/>
    <w:rsid w:val="72BA0D33"/>
    <w:rsid w:val="72EF3046"/>
    <w:rsid w:val="72FD5AEB"/>
    <w:rsid w:val="73050897"/>
    <w:rsid w:val="73061D31"/>
    <w:rsid w:val="73122968"/>
    <w:rsid w:val="731F5D5E"/>
    <w:rsid w:val="7327134F"/>
    <w:rsid w:val="734743DE"/>
    <w:rsid w:val="734771F4"/>
    <w:rsid w:val="736473CF"/>
    <w:rsid w:val="737B000E"/>
    <w:rsid w:val="73AB1F81"/>
    <w:rsid w:val="73C51AD5"/>
    <w:rsid w:val="73C755C0"/>
    <w:rsid w:val="73D43285"/>
    <w:rsid w:val="73E60782"/>
    <w:rsid w:val="74013D40"/>
    <w:rsid w:val="74024296"/>
    <w:rsid w:val="741E793C"/>
    <w:rsid w:val="74303B8D"/>
    <w:rsid w:val="74351464"/>
    <w:rsid w:val="745E3944"/>
    <w:rsid w:val="74697D72"/>
    <w:rsid w:val="74714F64"/>
    <w:rsid w:val="74750E9A"/>
    <w:rsid w:val="74BD0C0B"/>
    <w:rsid w:val="74CD713E"/>
    <w:rsid w:val="750C00A6"/>
    <w:rsid w:val="75196F2E"/>
    <w:rsid w:val="751A2B98"/>
    <w:rsid w:val="751A4668"/>
    <w:rsid w:val="75247523"/>
    <w:rsid w:val="75790588"/>
    <w:rsid w:val="75811CBD"/>
    <w:rsid w:val="758F0062"/>
    <w:rsid w:val="75957F62"/>
    <w:rsid w:val="759601D7"/>
    <w:rsid w:val="75B23A9A"/>
    <w:rsid w:val="75B3507E"/>
    <w:rsid w:val="75BE7B04"/>
    <w:rsid w:val="75C147B7"/>
    <w:rsid w:val="75D80984"/>
    <w:rsid w:val="75ED4AD2"/>
    <w:rsid w:val="76104981"/>
    <w:rsid w:val="761F284D"/>
    <w:rsid w:val="762075E9"/>
    <w:rsid w:val="76273F80"/>
    <w:rsid w:val="7631269F"/>
    <w:rsid w:val="7635099D"/>
    <w:rsid w:val="76473A2B"/>
    <w:rsid w:val="76815B20"/>
    <w:rsid w:val="76935A6A"/>
    <w:rsid w:val="76C157B9"/>
    <w:rsid w:val="76C515AB"/>
    <w:rsid w:val="76D85FC1"/>
    <w:rsid w:val="76F90355"/>
    <w:rsid w:val="77000431"/>
    <w:rsid w:val="770A6C7F"/>
    <w:rsid w:val="771B741D"/>
    <w:rsid w:val="773C5D50"/>
    <w:rsid w:val="7756518C"/>
    <w:rsid w:val="77610A4D"/>
    <w:rsid w:val="776A7C51"/>
    <w:rsid w:val="77762421"/>
    <w:rsid w:val="77853B0F"/>
    <w:rsid w:val="778D13C9"/>
    <w:rsid w:val="77900CEB"/>
    <w:rsid w:val="77A82576"/>
    <w:rsid w:val="77B56B1F"/>
    <w:rsid w:val="77C031EF"/>
    <w:rsid w:val="77F52700"/>
    <w:rsid w:val="780B56E4"/>
    <w:rsid w:val="780C434F"/>
    <w:rsid w:val="780F09F4"/>
    <w:rsid w:val="781B0EBA"/>
    <w:rsid w:val="78220048"/>
    <w:rsid w:val="78574485"/>
    <w:rsid w:val="785F03BE"/>
    <w:rsid w:val="78657FA9"/>
    <w:rsid w:val="786A5172"/>
    <w:rsid w:val="787013EB"/>
    <w:rsid w:val="788473F0"/>
    <w:rsid w:val="788C4569"/>
    <w:rsid w:val="789622FC"/>
    <w:rsid w:val="78A90480"/>
    <w:rsid w:val="78CE4FE9"/>
    <w:rsid w:val="78D0234D"/>
    <w:rsid w:val="78D11300"/>
    <w:rsid w:val="78D77FAE"/>
    <w:rsid w:val="78DF2EE4"/>
    <w:rsid w:val="78F66786"/>
    <w:rsid w:val="790548E5"/>
    <w:rsid w:val="790F51B3"/>
    <w:rsid w:val="791B49F2"/>
    <w:rsid w:val="791D139E"/>
    <w:rsid w:val="792A0134"/>
    <w:rsid w:val="79392587"/>
    <w:rsid w:val="793D18CD"/>
    <w:rsid w:val="794257EF"/>
    <w:rsid w:val="796F522D"/>
    <w:rsid w:val="798A6237"/>
    <w:rsid w:val="798D1338"/>
    <w:rsid w:val="798E0F3F"/>
    <w:rsid w:val="79E10816"/>
    <w:rsid w:val="79E74F41"/>
    <w:rsid w:val="79EC0E78"/>
    <w:rsid w:val="7A0B19CB"/>
    <w:rsid w:val="7A0D4347"/>
    <w:rsid w:val="7A140A4B"/>
    <w:rsid w:val="7A141457"/>
    <w:rsid w:val="7A194895"/>
    <w:rsid w:val="7A254ECD"/>
    <w:rsid w:val="7A311E10"/>
    <w:rsid w:val="7A364017"/>
    <w:rsid w:val="7A4078C7"/>
    <w:rsid w:val="7A490483"/>
    <w:rsid w:val="7A491DEF"/>
    <w:rsid w:val="7A4D5B40"/>
    <w:rsid w:val="7A696827"/>
    <w:rsid w:val="7A7B1087"/>
    <w:rsid w:val="7A812B29"/>
    <w:rsid w:val="7A8265E1"/>
    <w:rsid w:val="7A9D2068"/>
    <w:rsid w:val="7AAC6C4F"/>
    <w:rsid w:val="7AE21B03"/>
    <w:rsid w:val="7AEF7BF9"/>
    <w:rsid w:val="7B0615CD"/>
    <w:rsid w:val="7B064216"/>
    <w:rsid w:val="7B132C4F"/>
    <w:rsid w:val="7B2561A1"/>
    <w:rsid w:val="7B2A09E6"/>
    <w:rsid w:val="7B5D37EA"/>
    <w:rsid w:val="7B686D42"/>
    <w:rsid w:val="7B815A48"/>
    <w:rsid w:val="7B841746"/>
    <w:rsid w:val="7B894EDD"/>
    <w:rsid w:val="7B990400"/>
    <w:rsid w:val="7BD15226"/>
    <w:rsid w:val="7BF3685A"/>
    <w:rsid w:val="7BF77C6C"/>
    <w:rsid w:val="7C027952"/>
    <w:rsid w:val="7C2E4877"/>
    <w:rsid w:val="7C4B4649"/>
    <w:rsid w:val="7C6C5AC7"/>
    <w:rsid w:val="7C7C24D2"/>
    <w:rsid w:val="7C961A20"/>
    <w:rsid w:val="7CA503D6"/>
    <w:rsid w:val="7CC6544B"/>
    <w:rsid w:val="7CCD7BA6"/>
    <w:rsid w:val="7CCE3ADE"/>
    <w:rsid w:val="7CCE4633"/>
    <w:rsid w:val="7CD85121"/>
    <w:rsid w:val="7CDD08BC"/>
    <w:rsid w:val="7CE877CA"/>
    <w:rsid w:val="7CEE14F0"/>
    <w:rsid w:val="7CEE3E7D"/>
    <w:rsid w:val="7CEE4B67"/>
    <w:rsid w:val="7CF60F14"/>
    <w:rsid w:val="7D0239FF"/>
    <w:rsid w:val="7D0278AA"/>
    <w:rsid w:val="7D080444"/>
    <w:rsid w:val="7D1B1F25"/>
    <w:rsid w:val="7D2B7EA2"/>
    <w:rsid w:val="7D2C4132"/>
    <w:rsid w:val="7D3F0CB9"/>
    <w:rsid w:val="7D4274B2"/>
    <w:rsid w:val="7D5E40CD"/>
    <w:rsid w:val="7D762C9B"/>
    <w:rsid w:val="7DB21766"/>
    <w:rsid w:val="7DBA30C5"/>
    <w:rsid w:val="7DC516F6"/>
    <w:rsid w:val="7DC527A2"/>
    <w:rsid w:val="7DCD56F2"/>
    <w:rsid w:val="7DD346EA"/>
    <w:rsid w:val="7E016620"/>
    <w:rsid w:val="7E0503E2"/>
    <w:rsid w:val="7E1370A0"/>
    <w:rsid w:val="7E211BAF"/>
    <w:rsid w:val="7E5917AF"/>
    <w:rsid w:val="7E6B382C"/>
    <w:rsid w:val="7E7135B2"/>
    <w:rsid w:val="7EA92AB2"/>
    <w:rsid w:val="7EB739E9"/>
    <w:rsid w:val="7EDA1C52"/>
    <w:rsid w:val="7EE66563"/>
    <w:rsid w:val="7EED378C"/>
    <w:rsid w:val="7EF84E47"/>
    <w:rsid w:val="7EFB7EF0"/>
    <w:rsid w:val="7F001CE7"/>
    <w:rsid w:val="7F1F3297"/>
    <w:rsid w:val="7F572FBC"/>
    <w:rsid w:val="7F5D6402"/>
    <w:rsid w:val="7F753458"/>
    <w:rsid w:val="7F9162E5"/>
    <w:rsid w:val="7FA61CC5"/>
    <w:rsid w:val="7FAC72C4"/>
    <w:rsid w:val="7FC23245"/>
    <w:rsid w:val="7FC55C7C"/>
    <w:rsid w:val="7FCD7C4C"/>
    <w:rsid w:val="7FCE4C67"/>
    <w:rsid w:val="7FD362D6"/>
    <w:rsid w:val="7FDB2F8A"/>
    <w:rsid w:val="7FE02D4E"/>
    <w:rsid w:val="7FE22DE5"/>
    <w:rsid w:val="7FE47E50"/>
    <w:rsid w:val="7FF434F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iPriority="0" w:name="heading 3" w:locked="1"/>
    <w:lsdException w:qFormat="1" w:unhideWhenUsed="0" w:uiPriority="1" w:semiHidden="0" w:name="heading 4" w:locked="1"/>
    <w:lsdException w:qFormat="1" w:uiPriority="0" w:name="heading 5" w:locked="1"/>
    <w:lsdException w:qFormat="1" w:uiPriority="0" w:name="heading 6" w:locked="1"/>
    <w:lsdException w:qFormat="1" w:uiPriority="0" w:semiHidden="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qFormat="1"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iPriority="39"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qFormat="1" w:unhideWhenUsed="0" w:uiPriority="39"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semiHidden="0" w:name="caption" w:locked="1"/>
    <w:lsdException w:qFormat="1"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semiHidden="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qFormat="1"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qFormat="1"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22" w:semiHidden="0" w:name="Strong" w:locked="1"/>
    <w:lsdException w:qFormat="1" w:unhideWhenUsed="0" w:uiPriority="0" w:semiHidden="0" w:name="Emphasis" w:locked="1"/>
    <w:lsdException w:qFormat="1"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59"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qFormat/>
    <w:locked/>
    <w:uiPriority w:val="0"/>
    <w:pPr>
      <w:keepNext/>
      <w:keepLines/>
      <w:spacing w:line="416" w:lineRule="auto"/>
      <w:outlineLvl w:val="1"/>
    </w:pPr>
    <w:rPr>
      <w:rFonts w:ascii="Arial" w:hAnsi="Arial" w:eastAsia="黑体" w:cs="Arial"/>
      <w:b/>
      <w:bCs/>
      <w:sz w:val="32"/>
      <w:szCs w:val="32"/>
    </w:rPr>
  </w:style>
  <w:style w:type="paragraph" w:styleId="5">
    <w:name w:val="heading 4"/>
    <w:basedOn w:val="1"/>
    <w:next w:val="6"/>
    <w:qFormat/>
    <w:locked/>
    <w:uiPriority w:val="1"/>
    <w:pPr>
      <w:ind w:left="748"/>
      <w:outlineLvl w:val="3"/>
    </w:pPr>
    <w:rPr>
      <w:rFonts w:hint="eastAsia"/>
      <w:b/>
      <w:sz w:val="24"/>
    </w:rPr>
  </w:style>
  <w:style w:type="paragraph" w:styleId="7">
    <w:name w:val="heading 7"/>
    <w:basedOn w:val="1"/>
    <w:next w:val="1"/>
    <w:unhideWhenUsed/>
    <w:qFormat/>
    <w:locked/>
    <w:uiPriority w:val="0"/>
    <w:pPr>
      <w:keepNext/>
      <w:keepLines/>
      <w:tabs>
        <w:tab w:val="left" w:pos="1296"/>
      </w:tabs>
      <w:spacing w:line="360" w:lineRule="auto"/>
      <w:outlineLvl w:val="6"/>
    </w:pPr>
    <w:rPr>
      <w:b/>
      <w:bCs/>
      <w:sz w:val="24"/>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1"/>
    <w:next w:val="1"/>
    <w:qFormat/>
    <w:locked/>
    <w:uiPriority w:val="0"/>
    <w:pPr>
      <w:ind w:firstLine="420" w:firstLineChars="200"/>
    </w:pPr>
  </w:style>
  <w:style w:type="paragraph" w:styleId="6">
    <w:name w:val="Body Text"/>
    <w:basedOn w:val="1"/>
    <w:link w:val="48"/>
    <w:qFormat/>
    <w:uiPriority w:val="0"/>
    <w:pPr>
      <w:widowControl/>
      <w:snapToGrid w:val="0"/>
      <w:spacing w:before="60" w:after="160" w:line="259" w:lineRule="auto"/>
      <w:ind w:right="113"/>
    </w:pPr>
    <w:rPr>
      <w:kern w:val="0"/>
      <w:sz w:val="18"/>
      <w:szCs w:val="20"/>
    </w:rPr>
  </w:style>
  <w:style w:type="paragraph" w:styleId="8">
    <w:name w:val="Normal Indent"/>
    <w:basedOn w:val="1"/>
    <w:next w:val="9"/>
    <w:link w:val="124"/>
    <w:qFormat/>
    <w:locked/>
    <w:uiPriority w:val="0"/>
    <w:pPr>
      <w:ind w:firstLine="420" w:firstLineChars="200"/>
    </w:pPr>
    <w:rPr>
      <w:szCs w:val="21"/>
    </w:rPr>
  </w:style>
  <w:style w:type="paragraph" w:styleId="9">
    <w:name w:val="toc 1"/>
    <w:basedOn w:val="1"/>
    <w:next w:val="1"/>
    <w:unhideWhenUsed/>
    <w:qFormat/>
    <w:locked/>
    <w:uiPriority w:val="39"/>
  </w:style>
  <w:style w:type="paragraph" w:styleId="10">
    <w:name w:val="caption"/>
    <w:basedOn w:val="1"/>
    <w:next w:val="1"/>
    <w:unhideWhenUsed/>
    <w:qFormat/>
    <w:locked/>
    <w:uiPriority w:val="0"/>
    <w:pPr>
      <w:keepNext/>
      <w:snapToGrid w:val="0"/>
      <w:jc w:val="center"/>
    </w:pPr>
    <w:rPr>
      <w:szCs w:val="20"/>
    </w:rPr>
  </w:style>
  <w:style w:type="paragraph" w:styleId="11">
    <w:name w:val="index 5"/>
    <w:next w:val="1"/>
    <w:qFormat/>
    <w:locked/>
    <w:uiPriority w:val="0"/>
    <w:pPr>
      <w:widowControl w:val="0"/>
      <w:ind w:left="800" w:leftChars="800"/>
      <w:jc w:val="both"/>
    </w:pPr>
    <w:rPr>
      <w:rFonts w:ascii="Times New Roman" w:hAnsi="Times New Roman" w:eastAsia="宋体" w:cs="Times New Roman"/>
      <w:kern w:val="2"/>
      <w:sz w:val="21"/>
      <w:szCs w:val="24"/>
      <w:lang w:val="en-US" w:eastAsia="zh-CN" w:bidi="ar-SA"/>
    </w:rPr>
  </w:style>
  <w:style w:type="paragraph" w:styleId="12">
    <w:name w:val="Document Map"/>
    <w:basedOn w:val="1"/>
    <w:link w:val="129"/>
    <w:qFormat/>
    <w:locked/>
    <w:uiPriority w:val="0"/>
    <w:rPr>
      <w:rFonts w:ascii="宋体"/>
      <w:sz w:val="18"/>
      <w:szCs w:val="18"/>
    </w:rPr>
  </w:style>
  <w:style w:type="paragraph" w:styleId="13">
    <w:name w:val="annotation text"/>
    <w:basedOn w:val="1"/>
    <w:link w:val="49"/>
    <w:semiHidden/>
    <w:qFormat/>
    <w:uiPriority w:val="0"/>
    <w:pPr>
      <w:jc w:val="left"/>
    </w:pPr>
    <w:rPr>
      <w:kern w:val="0"/>
      <w:sz w:val="24"/>
      <w:szCs w:val="20"/>
    </w:rPr>
  </w:style>
  <w:style w:type="paragraph" w:styleId="14">
    <w:name w:val="Body Text Indent"/>
    <w:basedOn w:val="1"/>
    <w:next w:val="10"/>
    <w:link w:val="50"/>
    <w:qFormat/>
    <w:uiPriority w:val="0"/>
    <w:pPr>
      <w:spacing w:after="120"/>
      <w:ind w:left="420" w:leftChars="200"/>
    </w:pPr>
    <w:rPr>
      <w:kern w:val="0"/>
      <w:sz w:val="24"/>
      <w:szCs w:val="20"/>
    </w:rPr>
  </w:style>
  <w:style w:type="paragraph" w:styleId="15">
    <w:name w:val="Block Text"/>
    <w:basedOn w:val="1"/>
    <w:next w:val="1"/>
    <w:qFormat/>
    <w:locked/>
    <w:uiPriority w:val="0"/>
    <w:pPr>
      <w:widowControl/>
      <w:ind w:left="113" w:right="113" w:firstLine="555"/>
      <w:jc w:val="left"/>
    </w:pPr>
    <w:rPr>
      <w:rFonts w:hint="eastAsia" w:ascii="宋体" w:hAnsi="宋体"/>
      <w:sz w:val="28"/>
    </w:rPr>
  </w:style>
  <w:style w:type="paragraph" w:styleId="16">
    <w:name w:val="Plain Text"/>
    <w:basedOn w:val="1"/>
    <w:qFormat/>
    <w:locked/>
    <w:uiPriority w:val="0"/>
    <w:rPr>
      <w:rFonts w:ascii="宋体" w:hAnsi="Courier New" w:cs="Courier New"/>
      <w:szCs w:val="21"/>
    </w:rPr>
  </w:style>
  <w:style w:type="paragraph" w:styleId="17">
    <w:name w:val="List Bullet 5"/>
    <w:basedOn w:val="1"/>
    <w:qFormat/>
    <w:locked/>
    <w:uiPriority w:val="0"/>
    <w:pPr>
      <w:numPr>
        <w:ilvl w:val="0"/>
        <w:numId w:val="1"/>
      </w:numPr>
    </w:pPr>
  </w:style>
  <w:style w:type="paragraph" w:styleId="18">
    <w:name w:val="toc 8"/>
    <w:basedOn w:val="1"/>
    <w:next w:val="1"/>
    <w:qFormat/>
    <w:locked/>
    <w:uiPriority w:val="39"/>
    <w:pPr>
      <w:ind w:left="1470"/>
      <w:jc w:val="left"/>
    </w:pPr>
    <w:rPr>
      <w:rFonts w:ascii="Times New Roman" w:hAnsi="Times New Roman"/>
      <w:kern w:val="0"/>
      <w:sz w:val="18"/>
      <w:szCs w:val="18"/>
    </w:rPr>
  </w:style>
  <w:style w:type="paragraph" w:styleId="19">
    <w:name w:val="Date"/>
    <w:basedOn w:val="1"/>
    <w:next w:val="1"/>
    <w:link w:val="52"/>
    <w:qFormat/>
    <w:uiPriority w:val="0"/>
    <w:pPr>
      <w:ind w:left="100" w:leftChars="2500"/>
    </w:pPr>
    <w:rPr>
      <w:kern w:val="0"/>
      <w:sz w:val="24"/>
      <w:szCs w:val="20"/>
    </w:rPr>
  </w:style>
  <w:style w:type="paragraph" w:styleId="20">
    <w:name w:val="Body Text Indent 2"/>
    <w:basedOn w:val="1"/>
    <w:qFormat/>
    <w:locked/>
    <w:uiPriority w:val="0"/>
    <w:pPr>
      <w:spacing w:line="360" w:lineRule="exact"/>
      <w:ind w:right="34" w:firstLine="480" w:firstLineChars="200"/>
    </w:pPr>
    <w:rPr>
      <w:sz w:val="24"/>
    </w:rPr>
  </w:style>
  <w:style w:type="paragraph" w:styleId="21">
    <w:name w:val="endnote text"/>
    <w:basedOn w:val="1"/>
    <w:unhideWhenUsed/>
    <w:qFormat/>
    <w:locked/>
    <w:uiPriority w:val="0"/>
    <w:pPr>
      <w:snapToGrid w:val="0"/>
      <w:jc w:val="left"/>
    </w:pPr>
    <w:rPr>
      <w:rFonts w:ascii="Calibri" w:hAnsi="Calibri"/>
      <w:sz w:val="24"/>
    </w:rPr>
  </w:style>
  <w:style w:type="paragraph" w:styleId="22">
    <w:name w:val="Balloon Text"/>
    <w:basedOn w:val="1"/>
    <w:link w:val="53"/>
    <w:semiHidden/>
    <w:qFormat/>
    <w:uiPriority w:val="0"/>
    <w:rPr>
      <w:kern w:val="0"/>
      <w:sz w:val="18"/>
      <w:szCs w:val="20"/>
    </w:rPr>
  </w:style>
  <w:style w:type="paragraph" w:styleId="23">
    <w:name w:val="footer"/>
    <w:basedOn w:val="1"/>
    <w:link w:val="54"/>
    <w:qFormat/>
    <w:uiPriority w:val="99"/>
    <w:pPr>
      <w:tabs>
        <w:tab w:val="center" w:pos="4153"/>
        <w:tab w:val="right" w:pos="8306"/>
      </w:tabs>
      <w:snapToGrid w:val="0"/>
      <w:jc w:val="left"/>
    </w:pPr>
    <w:rPr>
      <w:kern w:val="0"/>
      <w:sz w:val="18"/>
      <w:szCs w:val="20"/>
    </w:rPr>
  </w:style>
  <w:style w:type="paragraph" w:styleId="24">
    <w:name w:val="header"/>
    <w:basedOn w:val="1"/>
    <w:next w:val="25"/>
    <w:link w:val="51"/>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25">
    <w:name w:val="样式5"/>
    <w:basedOn w:val="26"/>
    <w:next w:val="21"/>
    <w:qFormat/>
    <w:uiPriority w:val="0"/>
    <w:pPr>
      <w:tabs>
        <w:tab w:val="center" w:pos="4153"/>
        <w:tab w:val="right" w:pos="8306"/>
      </w:tabs>
      <w:adjustRightInd w:val="0"/>
      <w:spacing w:line="460" w:lineRule="exact"/>
      <w:ind w:firstLine="200"/>
      <w:textAlignment w:val="baseline"/>
    </w:pPr>
    <w:rPr>
      <w:rFonts w:ascii="Arial" w:hAnsi="Arial" w:cs="Arial"/>
      <w:szCs w:val="20"/>
    </w:rPr>
  </w:style>
  <w:style w:type="paragraph" w:customStyle="1" w:styleId="26">
    <w:name w:val="正文1"/>
    <w:basedOn w:val="23"/>
    <w:next w:val="1"/>
    <w:qFormat/>
    <w:uiPriority w:val="0"/>
    <w:pPr>
      <w:snapToGrid w:val="0"/>
      <w:spacing w:line="500" w:lineRule="exact"/>
      <w:ind w:firstLine="480" w:firstLineChars="200"/>
    </w:pPr>
    <w:rPr>
      <w:sz w:val="24"/>
    </w:rPr>
  </w:style>
  <w:style w:type="paragraph" w:styleId="27">
    <w:name w:val="List"/>
    <w:basedOn w:val="1"/>
    <w:qFormat/>
    <w:locked/>
    <w:uiPriority w:val="0"/>
    <w:pPr>
      <w:spacing w:line="320" w:lineRule="exact"/>
      <w:jc w:val="center"/>
    </w:pPr>
    <w:rPr>
      <w:sz w:val="22"/>
    </w:rPr>
  </w:style>
  <w:style w:type="paragraph" w:styleId="28">
    <w:name w:val="Body Text Indent 3"/>
    <w:basedOn w:val="1"/>
    <w:qFormat/>
    <w:locked/>
    <w:uiPriority w:val="0"/>
    <w:pPr>
      <w:ind w:firstLine="570"/>
    </w:pPr>
    <w:rPr>
      <w:sz w:val="24"/>
    </w:rPr>
  </w:style>
  <w:style w:type="paragraph" w:styleId="29">
    <w:name w:val="table of figures"/>
    <w:basedOn w:val="1"/>
    <w:next w:val="1"/>
    <w:qFormat/>
    <w:locked/>
    <w:uiPriority w:val="0"/>
    <w:pPr>
      <w:ind w:left="200" w:leftChars="200" w:hanging="200" w:hangingChars="200"/>
    </w:pPr>
  </w:style>
  <w:style w:type="paragraph" w:styleId="30">
    <w:name w:val="Normal (Web)"/>
    <w:basedOn w:val="1"/>
    <w:next w:val="18"/>
    <w:link w:val="55"/>
    <w:qFormat/>
    <w:uiPriority w:val="0"/>
    <w:pPr>
      <w:widowControl/>
      <w:spacing w:before="100" w:beforeAutospacing="1" w:after="100" w:afterAutospacing="1"/>
      <w:jc w:val="left"/>
    </w:pPr>
    <w:rPr>
      <w:rFonts w:ascii="宋体" w:hAnsi="宋体"/>
      <w:kern w:val="0"/>
      <w:sz w:val="24"/>
      <w:szCs w:val="20"/>
    </w:rPr>
  </w:style>
  <w:style w:type="paragraph" w:styleId="31">
    <w:name w:val="annotation subject"/>
    <w:basedOn w:val="13"/>
    <w:next w:val="13"/>
    <w:link w:val="56"/>
    <w:semiHidden/>
    <w:qFormat/>
    <w:uiPriority w:val="0"/>
    <w:rPr>
      <w:b/>
      <w:kern w:val="2"/>
    </w:rPr>
  </w:style>
  <w:style w:type="paragraph" w:styleId="32">
    <w:name w:val="Body Text First Indent"/>
    <w:basedOn w:val="6"/>
    <w:unhideWhenUsed/>
    <w:qFormat/>
    <w:locked/>
    <w:uiPriority w:val="0"/>
    <w:pPr>
      <w:ind w:firstLine="420" w:firstLineChars="100"/>
    </w:pPr>
    <w:rPr>
      <w:sz w:val="21"/>
      <w:szCs w:val="24"/>
    </w:rPr>
  </w:style>
  <w:style w:type="table" w:styleId="34">
    <w:name w:val="Table Grid"/>
    <w:basedOn w:val="3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6">
    <w:name w:val="Strong"/>
    <w:basedOn w:val="35"/>
    <w:qFormat/>
    <w:locked/>
    <w:uiPriority w:val="22"/>
    <w:rPr>
      <w:b/>
      <w:bCs/>
    </w:rPr>
  </w:style>
  <w:style w:type="character" w:styleId="37">
    <w:name w:val="page number"/>
    <w:basedOn w:val="35"/>
    <w:qFormat/>
    <w:locked/>
    <w:uiPriority w:val="0"/>
  </w:style>
  <w:style w:type="character" w:styleId="38">
    <w:name w:val="Hyperlink"/>
    <w:basedOn w:val="35"/>
    <w:qFormat/>
    <w:locked/>
    <w:uiPriority w:val="0"/>
    <w:rPr>
      <w:color w:val="0000FF"/>
      <w:u w:val="single"/>
    </w:rPr>
  </w:style>
  <w:style w:type="character" w:styleId="39">
    <w:name w:val="annotation reference"/>
    <w:qFormat/>
    <w:uiPriority w:val="0"/>
    <w:rPr>
      <w:sz w:val="21"/>
    </w:rPr>
  </w:style>
  <w:style w:type="paragraph" w:customStyle="1" w:styleId="40">
    <w:name w:val="默认段落"/>
    <w:basedOn w:val="1"/>
    <w:qFormat/>
    <w:uiPriority w:val="99"/>
    <w:pPr>
      <w:autoSpaceDE w:val="0"/>
      <w:autoSpaceDN w:val="0"/>
      <w:jc w:val="left"/>
    </w:pPr>
    <w:rPr>
      <w:rFonts w:ascii="宋体" w:hAnsi="宋体" w:cs="宋体"/>
      <w:kern w:val="0"/>
      <w:sz w:val="22"/>
      <w:szCs w:val="22"/>
      <w:lang w:val="zh-CN" w:bidi="zh-CN"/>
    </w:rPr>
  </w:style>
  <w:style w:type="paragraph" w:customStyle="1" w:styleId="41">
    <w:name w:val="样式 样式 样式 四号 左侧:  1.53 厘米 + 首行缩进:  2 字符 + 居中 左侧:  2 字符 首行缩进:  2..."/>
    <w:basedOn w:val="42"/>
    <w:qFormat/>
    <w:uiPriority w:val="0"/>
    <w:pPr>
      <w:snapToGrid w:val="0"/>
      <w:spacing w:line="500" w:lineRule="exact"/>
      <w:jc w:val="center"/>
    </w:pPr>
    <w:rPr>
      <w:rFonts w:ascii="Times New Roman" w:hAnsi="Times New Roman"/>
    </w:rPr>
  </w:style>
  <w:style w:type="paragraph" w:customStyle="1" w:styleId="42">
    <w:name w:val="样式 样式 四号 左侧:  1.53 厘米 + 首行缩进:  2 字符"/>
    <w:basedOn w:val="43"/>
    <w:qFormat/>
    <w:uiPriority w:val="0"/>
    <w:pPr>
      <w:ind w:left="200" w:leftChars="200"/>
    </w:pPr>
    <w:rPr>
      <w:szCs w:val="20"/>
    </w:rPr>
  </w:style>
  <w:style w:type="paragraph" w:customStyle="1" w:styleId="43">
    <w:name w:val="样式 四号 左侧:  1.53 厘米"/>
    <w:basedOn w:val="1"/>
    <w:qFormat/>
    <w:uiPriority w:val="0"/>
    <w:pPr>
      <w:adjustRightInd w:val="0"/>
    </w:pPr>
    <w:rPr>
      <w:rFonts w:ascii="华康简仿宋" w:hAnsi="华康简仿宋" w:eastAsia="华文中宋" w:cs="华康简仿宋"/>
      <w:w w:val="90"/>
      <w:sz w:val="28"/>
      <w:szCs w:val="28"/>
    </w:rPr>
  </w:style>
  <w:style w:type="paragraph" w:customStyle="1" w:styleId="44">
    <w:name w:val="样式 正文文本缩进 + 行距: 1.5 倍行距"/>
    <w:basedOn w:val="1"/>
    <w:qFormat/>
    <w:uiPriority w:val="0"/>
    <w:pPr>
      <w:spacing w:after="120" w:line="360" w:lineRule="auto"/>
      <w:ind w:left="90" w:leftChars="32" w:firstLine="560" w:firstLineChars="200"/>
    </w:pPr>
    <w:rPr>
      <w:rFonts w:cs="宋体"/>
    </w:rPr>
  </w:style>
  <w:style w:type="paragraph" w:customStyle="1" w:styleId="45">
    <w:name w:val="样式 正文文本 + 首行缩进:  2 字符"/>
    <w:basedOn w:val="6"/>
    <w:next w:val="1"/>
    <w:qFormat/>
    <w:uiPriority w:val="0"/>
    <w:pPr>
      <w:spacing w:after="0" w:line="540" w:lineRule="exact"/>
      <w:jc w:val="center"/>
    </w:pPr>
    <w:rPr>
      <w:rFonts w:ascii="黑体" w:hAnsi="黑体" w:eastAsia="黑体"/>
      <w:b/>
      <w:sz w:val="24"/>
    </w:rPr>
  </w:style>
  <w:style w:type="paragraph" w:customStyle="1" w:styleId="46">
    <w:name w:val="Default"/>
    <w:basedOn w:val="47"/>
    <w:next w:val="1"/>
    <w:qFormat/>
    <w:uiPriority w:val="0"/>
    <w:pPr>
      <w:widowControl w:val="0"/>
      <w:autoSpaceDE w:val="0"/>
      <w:autoSpaceDN w:val="0"/>
      <w:adjustRightInd w:val="0"/>
    </w:pPr>
    <w:rPr>
      <w:rFonts w:ascii="宋体" w:hAnsi="Times New Roman"/>
      <w:color w:val="000000"/>
    </w:rPr>
  </w:style>
  <w:style w:type="paragraph" w:customStyle="1" w:styleId="47">
    <w:name w:val="纯文本1"/>
    <w:qFormat/>
    <w:uiPriority w:val="0"/>
    <w:pPr>
      <w:spacing w:beforeLines="10" w:afterLines="10" w:line="360" w:lineRule="auto"/>
      <w:ind w:firstLine="200" w:firstLineChars="200"/>
    </w:pPr>
    <w:rPr>
      <w:rFonts w:ascii="Times New Roman" w:hAnsi="宋体" w:eastAsia="宋体" w:cs="宋体"/>
      <w:sz w:val="24"/>
      <w:szCs w:val="24"/>
      <w:lang w:val="en-US" w:eastAsia="zh-CN" w:bidi="ar-SA"/>
    </w:rPr>
  </w:style>
  <w:style w:type="character" w:customStyle="1" w:styleId="48">
    <w:name w:val="正文文本 Char"/>
    <w:link w:val="6"/>
    <w:qFormat/>
    <w:locked/>
    <w:uiPriority w:val="0"/>
    <w:rPr>
      <w:sz w:val="18"/>
    </w:rPr>
  </w:style>
  <w:style w:type="character" w:customStyle="1" w:styleId="49">
    <w:name w:val="批注文字 Char"/>
    <w:link w:val="13"/>
    <w:qFormat/>
    <w:locked/>
    <w:uiPriority w:val="0"/>
    <w:rPr>
      <w:rFonts w:ascii="Times New Roman" w:hAnsi="Times New Roman" w:eastAsia="宋体"/>
      <w:sz w:val="24"/>
    </w:rPr>
  </w:style>
  <w:style w:type="character" w:customStyle="1" w:styleId="50">
    <w:name w:val="正文文本缩进 Char"/>
    <w:link w:val="14"/>
    <w:semiHidden/>
    <w:qFormat/>
    <w:locked/>
    <w:uiPriority w:val="0"/>
    <w:rPr>
      <w:rFonts w:ascii="Times New Roman" w:hAnsi="Times New Roman" w:eastAsia="宋体"/>
      <w:sz w:val="24"/>
    </w:rPr>
  </w:style>
  <w:style w:type="character" w:customStyle="1" w:styleId="51">
    <w:name w:val="页眉 Char"/>
    <w:link w:val="24"/>
    <w:qFormat/>
    <w:locked/>
    <w:uiPriority w:val="0"/>
    <w:rPr>
      <w:sz w:val="18"/>
    </w:rPr>
  </w:style>
  <w:style w:type="character" w:customStyle="1" w:styleId="52">
    <w:name w:val="日期 Char"/>
    <w:link w:val="19"/>
    <w:qFormat/>
    <w:locked/>
    <w:uiPriority w:val="0"/>
    <w:rPr>
      <w:rFonts w:ascii="Times New Roman" w:hAnsi="Times New Roman" w:eastAsia="宋体"/>
      <w:sz w:val="24"/>
    </w:rPr>
  </w:style>
  <w:style w:type="character" w:customStyle="1" w:styleId="53">
    <w:name w:val="批注框文本 Char"/>
    <w:link w:val="22"/>
    <w:semiHidden/>
    <w:qFormat/>
    <w:locked/>
    <w:uiPriority w:val="0"/>
    <w:rPr>
      <w:rFonts w:ascii="Times New Roman" w:hAnsi="Times New Roman" w:eastAsia="宋体"/>
      <w:sz w:val="18"/>
    </w:rPr>
  </w:style>
  <w:style w:type="character" w:customStyle="1" w:styleId="54">
    <w:name w:val="页脚 Char"/>
    <w:link w:val="23"/>
    <w:qFormat/>
    <w:locked/>
    <w:uiPriority w:val="99"/>
    <w:rPr>
      <w:sz w:val="18"/>
    </w:rPr>
  </w:style>
  <w:style w:type="character" w:customStyle="1" w:styleId="55">
    <w:name w:val="普通(网站) Char"/>
    <w:link w:val="30"/>
    <w:qFormat/>
    <w:locked/>
    <w:uiPriority w:val="0"/>
    <w:rPr>
      <w:rFonts w:ascii="宋体" w:hAnsi="宋体" w:eastAsia="宋体"/>
      <w:sz w:val="24"/>
    </w:rPr>
  </w:style>
  <w:style w:type="character" w:customStyle="1" w:styleId="56">
    <w:name w:val="批注主题 Char"/>
    <w:link w:val="31"/>
    <w:semiHidden/>
    <w:qFormat/>
    <w:locked/>
    <w:uiPriority w:val="0"/>
    <w:rPr>
      <w:rFonts w:ascii="Times New Roman" w:hAnsi="Times New Roman" w:eastAsia="宋体"/>
      <w:b/>
      <w:kern w:val="2"/>
      <w:sz w:val="24"/>
    </w:rPr>
  </w:style>
  <w:style w:type="character" w:customStyle="1" w:styleId="57">
    <w:name w:val="正文文本 字符1"/>
    <w:semiHidden/>
    <w:qFormat/>
    <w:uiPriority w:val="0"/>
    <w:rPr>
      <w:rFonts w:ascii="Times New Roman" w:hAnsi="Times New Roman" w:eastAsia="宋体"/>
      <w:sz w:val="24"/>
    </w:rPr>
  </w:style>
  <w:style w:type="character" w:customStyle="1" w:styleId="58">
    <w:name w:val="正文文字 Char"/>
    <w:qFormat/>
    <w:uiPriority w:val="0"/>
    <w:rPr>
      <w:rFonts w:eastAsia="宋体"/>
      <w:kern w:val="2"/>
      <w:sz w:val="24"/>
      <w:lang w:val="en-US" w:eastAsia="zh-CN"/>
    </w:rPr>
  </w:style>
  <w:style w:type="character" w:customStyle="1" w:styleId="59">
    <w:name w:val="页脚 字符"/>
    <w:basedOn w:val="35"/>
    <w:qFormat/>
    <w:uiPriority w:val="99"/>
  </w:style>
  <w:style w:type="character" w:customStyle="1" w:styleId="60">
    <w:name w:val="日期 字符"/>
    <w:semiHidden/>
    <w:qFormat/>
    <w:uiPriority w:val="0"/>
    <w:rPr>
      <w:rFonts w:ascii="Times New Roman" w:hAnsi="Times New Roman" w:eastAsia="宋体"/>
      <w:sz w:val="24"/>
    </w:rPr>
  </w:style>
  <w:style w:type="character" w:customStyle="1" w:styleId="61">
    <w:name w:val="批注文字 字符1"/>
    <w:semiHidden/>
    <w:qFormat/>
    <w:uiPriority w:val="0"/>
    <w:rPr>
      <w:rFonts w:ascii="Times New Roman" w:hAnsi="Times New Roman" w:eastAsia="宋体"/>
      <w:sz w:val="24"/>
    </w:rPr>
  </w:style>
  <w:style w:type="character" w:customStyle="1" w:styleId="62">
    <w:name w:val="表格 Char"/>
    <w:link w:val="63"/>
    <w:qFormat/>
    <w:locked/>
    <w:uiPriority w:val="0"/>
    <w:rPr>
      <w:rFonts w:ascii="宋体"/>
      <w:sz w:val="21"/>
    </w:rPr>
  </w:style>
  <w:style w:type="paragraph" w:customStyle="1" w:styleId="63">
    <w:name w:val="表格"/>
    <w:basedOn w:val="26"/>
    <w:next w:val="1"/>
    <w:link w:val="62"/>
    <w:qFormat/>
    <w:uiPriority w:val="0"/>
    <w:pPr>
      <w:adjustRightInd w:val="0"/>
      <w:spacing w:beforeLines="10" w:afterLines="10" w:line="259" w:lineRule="auto"/>
      <w:jc w:val="center"/>
    </w:pPr>
    <w:rPr>
      <w:rFonts w:ascii="宋体"/>
      <w:kern w:val="0"/>
      <w:sz w:val="21"/>
      <w:szCs w:val="20"/>
    </w:rPr>
  </w:style>
  <w:style w:type="paragraph" w:customStyle="1" w:styleId="64">
    <w:name w:val="表头样式1"/>
    <w:basedOn w:val="1"/>
    <w:qFormat/>
    <w:uiPriority w:val="0"/>
    <w:pPr>
      <w:tabs>
        <w:tab w:val="center" w:pos="4505"/>
      </w:tabs>
      <w:jc w:val="center"/>
    </w:pPr>
    <w:rPr>
      <w:b/>
      <w:szCs w:val="22"/>
    </w:rPr>
  </w:style>
  <w:style w:type="paragraph" w:customStyle="1" w:styleId="65">
    <w:name w:val="表格文字2"/>
    <w:basedOn w:val="1"/>
    <w:qFormat/>
    <w:uiPriority w:val="0"/>
    <w:pPr>
      <w:adjustRightInd w:val="0"/>
      <w:spacing w:before="60"/>
      <w:jc w:val="center"/>
      <w:textAlignment w:val="baseline"/>
    </w:pPr>
    <w:rPr>
      <w:kern w:val="0"/>
      <w:sz w:val="24"/>
    </w:rPr>
  </w:style>
  <w:style w:type="paragraph" w:customStyle="1" w:styleId="66">
    <w:name w:val="图名表头"/>
    <w:basedOn w:val="1"/>
    <w:qFormat/>
    <w:uiPriority w:val="0"/>
    <w:pPr>
      <w:spacing w:line="360" w:lineRule="auto"/>
      <w:jc w:val="center"/>
    </w:pPr>
    <w:rPr>
      <w:rFonts w:ascii="宋体" w:hAnsi="宋体" w:cs="宋体"/>
      <w:sz w:val="24"/>
      <w:szCs w:val="21"/>
    </w:rPr>
  </w:style>
  <w:style w:type="paragraph" w:customStyle="1" w:styleId="67">
    <w:name w:val="样式2"/>
    <w:basedOn w:val="1"/>
    <w:qFormat/>
    <w:uiPriority w:val="0"/>
    <w:pPr>
      <w:adjustRightInd w:val="0"/>
      <w:ind w:left="170"/>
      <w:jc w:val="left"/>
      <w:textAlignment w:val="baseline"/>
    </w:pPr>
    <w:rPr>
      <w:b/>
      <w:kern w:val="0"/>
      <w:sz w:val="24"/>
      <w:szCs w:val="20"/>
    </w:rPr>
  </w:style>
  <w:style w:type="paragraph" w:customStyle="1" w:styleId="68">
    <w:name w:val="p0"/>
    <w:basedOn w:val="1"/>
    <w:qFormat/>
    <w:uiPriority w:val="0"/>
    <w:pPr>
      <w:widowControl/>
    </w:pPr>
    <w:rPr>
      <w:kern w:val="0"/>
    </w:rPr>
  </w:style>
  <w:style w:type="paragraph" w:customStyle="1" w:styleId="69">
    <w:name w:val="环评表格"/>
    <w:basedOn w:val="70"/>
    <w:next w:val="1"/>
    <w:qFormat/>
    <w:uiPriority w:val="0"/>
    <w:rPr>
      <w:color w:val="0000FF"/>
    </w:rPr>
  </w:style>
  <w:style w:type="paragraph" w:customStyle="1" w:styleId="70">
    <w:name w:val="表格内容"/>
    <w:basedOn w:val="1"/>
    <w:qFormat/>
    <w:uiPriority w:val="0"/>
    <w:pPr>
      <w:spacing w:line="280" w:lineRule="exact"/>
      <w:jc w:val="center"/>
    </w:pPr>
    <w:rPr>
      <w:rFonts w:ascii="font404" w:hAnsi="font404" w:eastAsia="font404"/>
      <w:kern w:val="0"/>
      <w:sz w:val="18"/>
      <w:szCs w:val="18"/>
    </w:rPr>
  </w:style>
  <w:style w:type="paragraph" w:customStyle="1" w:styleId="71">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72">
    <w:name w:val="报告正文"/>
    <w:basedOn w:val="1"/>
    <w:qFormat/>
    <w:uiPriority w:val="99"/>
    <w:pPr>
      <w:spacing w:line="480" w:lineRule="exact"/>
      <w:ind w:firstLine="200" w:firstLineChars="200"/>
    </w:pPr>
    <w:rPr>
      <w:color w:val="000000"/>
      <w:sz w:val="24"/>
    </w:rPr>
  </w:style>
  <w:style w:type="paragraph" w:customStyle="1" w:styleId="73">
    <w:name w:val="样式 正文（首行缩进两字） + 宋体 小四 加粗 行距: 固定值 24 磅"/>
    <w:basedOn w:val="8"/>
    <w:qFormat/>
    <w:uiPriority w:val="0"/>
    <w:pPr>
      <w:spacing w:line="400" w:lineRule="exact"/>
      <w:ind w:firstLine="0" w:firstLineChars="0"/>
    </w:pPr>
    <w:rPr>
      <w:sz w:val="28"/>
      <w:szCs w:val="28"/>
    </w:rPr>
  </w:style>
  <w:style w:type="paragraph" w:customStyle="1" w:styleId="74">
    <w:name w:val="Table Paragraph"/>
    <w:basedOn w:val="1"/>
    <w:qFormat/>
    <w:uiPriority w:val="1"/>
    <w:rPr>
      <w:rFonts w:eastAsia="仿宋_GB2312"/>
      <w:sz w:val="28"/>
    </w:rPr>
  </w:style>
  <w:style w:type="paragraph" w:customStyle="1" w:styleId="75">
    <w:name w:val="正文正"/>
    <w:basedOn w:val="1"/>
    <w:qFormat/>
    <w:uiPriority w:val="0"/>
    <w:pPr>
      <w:ind w:firstLine="560" w:firstLineChars="200"/>
    </w:pPr>
    <w:rPr>
      <w:sz w:val="28"/>
    </w:rPr>
  </w:style>
  <w:style w:type="paragraph" w:customStyle="1" w:styleId="76">
    <w:name w:val="表格文字"/>
    <w:basedOn w:val="6"/>
    <w:next w:val="1"/>
    <w:qFormat/>
    <w:uiPriority w:val="0"/>
    <w:pPr>
      <w:adjustRightInd w:val="0"/>
      <w:spacing w:before="0" w:after="120" w:line="320" w:lineRule="exact"/>
      <w:ind w:right="0"/>
      <w:jc w:val="center"/>
    </w:pPr>
    <w:rPr>
      <w:rFonts w:hint="eastAsia" w:ascii="宋体" w:hAnsi="宋体"/>
      <w:color w:val="FF0000"/>
    </w:rPr>
  </w:style>
  <w:style w:type="paragraph" w:customStyle="1" w:styleId="77">
    <w:name w:val="Char Char Char Char Char Char Char Char Char1 Char"/>
    <w:basedOn w:val="1"/>
    <w:qFormat/>
    <w:uiPriority w:val="0"/>
    <w:pPr>
      <w:spacing w:line="360" w:lineRule="auto"/>
      <w:ind w:firstLine="200" w:firstLineChars="200"/>
    </w:pPr>
    <w:rPr>
      <w:rFonts w:hAnsi="宋体" w:cs="宋体"/>
      <w:sz w:val="24"/>
    </w:rPr>
  </w:style>
  <w:style w:type="paragraph" w:customStyle="1" w:styleId="78">
    <w:name w:val="标题111"/>
    <w:basedOn w:val="1"/>
    <w:qFormat/>
    <w:uiPriority w:val="99"/>
    <w:pPr>
      <w:spacing w:line="480" w:lineRule="exact"/>
    </w:pPr>
    <w:rPr>
      <w:b/>
      <w:sz w:val="24"/>
    </w:rPr>
  </w:style>
  <w:style w:type="paragraph" w:customStyle="1" w:styleId="79">
    <w:name w:val="样式 表格样式"/>
    <w:basedOn w:val="1"/>
    <w:qFormat/>
    <w:uiPriority w:val="0"/>
    <w:pPr>
      <w:snapToGrid w:val="0"/>
      <w:spacing w:line="240" w:lineRule="atLeast"/>
    </w:pPr>
    <w:rPr>
      <w:rFonts w:cs="宋体"/>
    </w:rPr>
  </w:style>
  <w:style w:type="paragraph" w:customStyle="1" w:styleId="80">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81">
    <w:name w:val="二级无标题条"/>
    <w:basedOn w:val="1"/>
    <w:qFormat/>
    <w:uiPriority w:val="0"/>
    <w:pPr>
      <w:widowControl/>
      <w:jc w:val="left"/>
    </w:pPr>
    <w:rPr>
      <w:rFonts w:hint="eastAsia" w:ascii="宋体" w:hAnsi="宋体"/>
      <w:kern w:val="0"/>
      <w:sz w:val="24"/>
    </w:rPr>
  </w:style>
  <w:style w:type="paragraph" w:customStyle="1" w:styleId="82">
    <w:name w:val="中文报告书样式"/>
    <w:basedOn w:val="1"/>
    <w:qFormat/>
    <w:uiPriority w:val="0"/>
    <w:pPr>
      <w:adjustRightInd w:val="0"/>
      <w:spacing w:line="480" w:lineRule="atLeast"/>
      <w:ind w:firstLine="482"/>
    </w:pPr>
    <w:rPr>
      <w:rFonts w:ascii="font404" w:hAnsi="font404" w:eastAsia="font404"/>
      <w:kern w:val="24"/>
      <w:sz w:val="24"/>
      <w:szCs w:val="20"/>
    </w:rPr>
  </w:style>
  <w:style w:type="paragraph" w:customStyle="1" w:styleId="83">
    <w:name w:val="报告书表格"/>
    <w:basedOn w:val="1"/>
    <w:unhideWhenUsed/>
    <w:qFormat/>
    <w:uiPriority w:val="0"/>
    <w:pPr>
      <w:adjustRightInd w:val="0"/>
      <w:spacing w:line="240" w:lineRule="atLeast"/>
      <w:jc w:val="center"/>
    </w:pPr>
    <w:rPr>
      <w:kern w:val="0"/>
    </w:rPr>
  </w:style>
  <w:style w:type="paragraph" w:customStyle="1" w:styleId="84">
    <w:name w:val="（.a正文"/>
    <w:unhideWhenUsed/>
    <w:qFormat/>
    <w:uiPriority w:val="0"/>
    <w:pPr>
      <w:adjustRightInd w:val="0"/>
      <w:spacing w:line="480" w:lineRule="exact"/>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85">
    <w:name w:val="表头"/>
    <w:basedOn w:val="32"/>
    <w:next w:val="1"/>
    <w:unhideWhenUsed/>
    <w:qFormat/>
    <w:uiPriority w:val="0"/>
    <w:pPr>
      <w:ind w:firstLine="1440" w:firstLineChars="200"/>
      <w:jc w:val="center"/>
    </w:pPr>
    <w:rPr>
      <w:rFonts w:hint="eastAsia" w:eastAsia="Times New Roman"/>
      <w:sz w:val="25"/>
    </w:rPr>
  </w:style>
  <w:style w:type="paragraph" w:customStyle="1" w:styleId="86">
    <w:name w:val="表格样式文化"/>
    <w:qFormat/>
    <w:uiPriority w:val="0"/>
    <w:pPr>
      <w:widowControl w:val="0"/>
      <w:ind w:left="51" w:right="51"/>
      <w:jc w:val="center"/>
    </w:pPr>
    <w:rPr>
      <w:rFonts w:ascii="Times New Roman" w:hAnsi="Times New Roman" w:eastAsia="宋体" w:cs="Times New Roman"/>
      <w:snapToGrid w:val="0"/>
      <w:sz w:val="21"/>
      <w:szCs w:val="21"/>
      <w:lang w:val="en-US" w:eastAsia="zh-CN" w:bidi="ar-SA"/>
    </w:rPr>
  </w:style>
  <w:style w:type="paragraph" w:customStyle="1" w:styleId="87">
    <w:name w:val="表"/>
    <w:qFormat/>
    <w:uiPriority w:val="0"/>
    <w:pPr>
      <w:spacing w:line="440" w:lineRule="exact"/>
      <w:ind w:firstLine="200" w:firstLineChars="200"/>
      <w:jc w:val="both"/>
    </w:pPr>
    <w:rPr>
      <w:rFonts w:ascii="Times New Roman" w:hAnsi="Times New Roman" w:eastAsia="宋体" w:cs="Times New Roman"/>
      <w:sz w:val="24"/>
      <w:lang w:val="en-US" w:eastAsia="zh-CN" w:bidi="ar-SA"/>
    </w:rPr>
  </w:style>
  <w:style w:type="paragraph" w:customStyle="1" w:styleId="88">
    <w:name w:val="2.1.1"/>
    <w:qFormat/>
    <w:uiPriority w:val="99"/>
    <w:pPr>
      <w:widowControl w:val="0"/>
      <w:jc w:val="both"/>
    </w:pPr>
    <w:rPr>
      <w:rFonts w:ascii="Times New Roman" w:hAnsi="Times New Roman" w:eastAsia="宋体" w:cs="Times New Roman"/>
      <w:kern w:val="2"/>
      <w:sz w:val="24"/>
      <w:szCs w:val="24"/>
      <w:lang w:val="en-US" w:eastAsia="zh-CN" w:bidi="ar-SA"/>
    </w:rPr>
  </w:style>
  <w:style w:type="paragraph" w:customStyle="1" w:styleId="89">
    <w:name w:val="样式 正文文字 + 首行缩进:  2 字符 行距: 最小值 24 磅"/>
    <w:qFormat/>
    <w:uiPriority w:val="0"/>
    <w:pPr>
      <w:widowControl w:val="0"/>
      <w:adjustRightInd w:val="0"/>
      <w:snapToGrid w:val="0"/>
      <w:spacing w:line="480" w:lineRule="atLeast"/>
      <w:ind w:firstLine="480" w:firstLineChars="200"/>
      <w:jc w:val="both"/>
    </w:pPr>
    <w:rPr>
      <w:rFonts w:ascii="Times New Roman" w:hAnsi="Times New Roman" w:eastAsia="宋体" w:cs="Times New Roman"/>
      <w:kern w:val="2"/>
      <w:sz w:val="21"/>
      <w:lang w:val="en-US" w:eastAsia="zh-CN" w:bidi="ar-SA"/>
    </w:rPr>
  </w:style>
  <w:style w:type="paragraph" w:customStyle="1" w:styleId="90">
    <w:name w:val="表格文化"/>
    <w:qFormat/>
    <w:uiPriority w:val="0"/>
    <w:pPr>
      <w:spacing w:beforeLines="25" w:afterLines="25" w:line="360" w:lineRule="auto"/>
      <w:jc w:val="center"/>
    </w:pPr>
    <w:rPr>
      <w:rFonts w:ascii="Times New Roman" w:hAnsi="Times New Roman" w:eastAsia="宋体" w:cs="Times New Roman"/>
      <w:b/>
      <w:bCs/>
      <w:snapToGrid w:val="0"/>
      <w:sz w:val="24"/>
      <w:szCs w:val="24"/>
      <w:lang w:val="en-US" w:eastAsia="zh-CN" w:bidi="ar-SA"/>
    </w:rPr>
  </w:style>
  <w:style w:type="paragraph" w:customStyle="1" w:styleId="91">
    <w:name w:val="列出段落1"/>
    <w:basedOn w:val="1"/>
    <w:qFormat/>
    <w:uiPriority w:val="0"/>
    <w:pPr>
      <w:adjustRightInd w:val="0"/>
      <w:spacing w:line="360" w:lineRule="atLeast"/>
      <w:ind w:firstLine="420" w:firstLineChars="200"/>
      <w:jc w:val="left"/>
      <w:textAlignment w:val="baseline"/>
    </w:pPr>
    <w:rPr>
      <w:kern w:val="0"/>
      <w:sz w:val="24"/>
    </w:rPr>
  </w:style>
  <w:style w:type="paragraph" w:customStyle="1" w:styleId="92">
    <w:name w:val="正文 + 仿宋_GB2312"/>
    <w:basedOn w:val="1"/>
    <w:qFormat/>
    <w:uiPriority w:val="0"/>
    <w:pPr>
      <w:ind w:firstLine="480" w:firstLineChars="200"/>
    </w:pPr>
    <w:rPr>
      <w:rFonts w:ascii="仿宋_GB2312" w:hAnsi="宋体" w:eastAsia="仿宋_GB2312"/>
      <w:sz w:val="24"/>
    </w:rPr>
  </w:style>
  <w:style w:type="table" w:customStyle="1" w:styleId="93">
    <w:name w:val="网格型1"/>
    <w:basedOn w:val="33"/>
    <w:qFormat/>
    <w:uiPriority w:val="0"/>
    <w:pPr>
      <w:jc w:val="center"/>
    </w:pPr>
    <w:tblPr>
      <w:tblBorders>
        <w:top w:val="single" w:color="auto" w:sz="12" w:space="0"/>
        <w:bottom w:val="single" w:color="auto" w:sz="12" w:space="0"/>
        <w:insideH w:val="single" w:color="000000" w:sz="4" w:space="0"/>
        <w:insideV w:val="single" w:color="000000" w:sz="4" w:space="0"/>
      </w:tblBorders>
      <w:tblCellMar>
        <w:top w:w="0" w:type="dxa"/>
        <w:left w:w="108" w:type="dxa"/>
        <w:bottom w:w="0" w:type="dxa"/>
        <w:right w:w="108" w:type="dxa"/>
      </w:tblCellMar>
    </w:tblPr>
  </w:style>
  <w:style w:type="paragraph" w:customStyle="1" w:styleId="94">
    <w:name w:val="正常格式"/>
    <w:basedOn w:val="95"/>
    <w:qFormat/>
    <w:uiPriority w:val="0"/>
    <w:pPr>
      <w:spacing w:line="480" w:lineRule="exact"/>
      <w:ind w:firstLine="600"/>
    </w:pPr>
    <w:rPr>
      <w:rFonts w:ascii="Times New Roman" w:hAnsi="Times New Roman" w:eastAsia="宋体"/>
      <w:snapToGrid w:val="0"/>
      <w:kern w:val="0"/>
    </w:rPr>
  </w:style>
  <w:style w:type="paragraph" w:customStyle="1" w:styleId="95">
    <w:name w:val="正文2"/>
    <w:basedOn w:val="96"/>
    <w:qFormat/>
    <w:uiPriority w:val="0"/>
    <w:pPr>
      <w:spacing w:line="360" w:lineRule="auto"/>
      <w:ind w:firstLine="200" w:firstLineChars="200"/>
    </w:pPr>
    <w:rPr>
      <w:rFonts w:ascii="宋体" w:hAnsi="宋体"/>
      <w:szCs w:val="24"/>
    </w:rPr>
  </w:style>
  <w:style w:type="paragraph" w:customStyle="1" w:styleId="96">
    <w:name w:val="Body Text 22"/>
    <w:qFormat/>
    <w:uiPriority w:val="0"/>
    <w:pPr>
      <w:widowControl w:val="0"/>
      <w:adjustRightInd w:val="0"/>
      <w:spacing w:line="440" w:lineRule="atLeast"/>
      <w:ind w:firstLine="480"/>
      <w:jc w:val="both"/>
      <w:textAlignment w:val="baseline"/>
    </w:pPr>
    <w:rPr>
      <w:rFonts w:ascii="Times New Roman" w:hAnsi="Times New Roman" w:eastAsia="仿宋_GB2312" w:cs="Times New Roman"/>
      <w:kern w:val="2"/>
      <w:sz w:val="24"/>
      <w:szCs w:val="22"/>
      <w:lang w:val="en-US" w:eastAsia="zh-CN" w:bidi="ar-SA"/>
    </w:rPr>
  </w:style>
  <w:style w:type="paragraph" w:customStyle="1" w:styleId="97">
    <w:name w:val="WPSOffice手动目录 1"/>
    <w:qFormat/>
    <w:uiPriority w:val="0"/>
    <w:rPr>
      <w:rFonts w:ascii="Times New Roman" w:hAnsi="Times New Roman" w:eastAsia="宋体" w:cs="Times New Roman"/>
      <w:lang w:val="en-US" w:eastAsia="zh-CN" w:bidi="ar-SA"/>
    </w:rPr>
  </w:style>
  <w:style w:type="character" w:customStyle="1" w:styleId="98">
    <w:name w:val="NormalCharacter"/>
    <w:qFormat/>
    <w:uiPriority w:val="0"/>
  </w:style>
  <w:style w:type="paragraph" w:customStyle="1" w:styleId="99">
    <w:name w:val="_Style 3"/>
    <w:qFormat/>
    <w:uiPriority w:val="99"/>
    <w:pPr>
      <w:ind w:firstLine="480" w:firstLineChars="200"/>
      <w:jc w:val="both"/>
    </w:pPr>
    <w:rPr>
      <w:rFonts w:ascii="Times New Roman" w:hAnsi="Times New Roman" w:eastAsia="宋体" w:cs="Times New Roman"/>
      <w:sz w:val="24"/>
      <w:szCs w:val="24"/>
      <w:lang w:val="en-US" w:eastAsia="zh-CN" w:bidi="ar-SA"/>
    </w:rPr>
  </w:style>
  <w:style w:type="character" w:customStyle="1" w:styleId="100">
    <w:name w:val="表格内文字"/>
    <w:qFormat/>
    <w:uiPriority w:val="99"/>
    <w:rPr>
      <w:rFonts w:ascii="Times New Roman" w:hAnsi="Times New Roman" w:eastAsia="宋体"/>
      <w:kern w:val="0"/>
      <w:sz w:val="21"/>
      <w:lang w:val="en-US" w:eastAsia="zh-CN"/>
    </w:rPr>
  </w:style>
  <w:style w:type="paragraph" w:customStyle="1" w:styleId="101">
    <w:name w:val="图表标题"/>
    <w:basedOn w:val="29"/>
    <w:next w:val="1"/>
    <w:qFormat/>
    <w:uiPriority w:val="0"/>
    <w:pPr>
      <w:adjustRightInd w:val="0"/>
      <w:snapToGrid w:val="0"/>
      <w:spacing w:beforeLines="50"/>
      <w:ind w:left="0" w:leftChars="0" w:firstLine="0" w:firstLineChars="0"/>
      <w:jc w:val="center"/>
    </w:pPr>
    <w:rPr>
      <w:rFonts w:eastAsia="黑体"/>
      <w:szCs w:val="21"/>
      <w:lang w:val="zh-CN"/>
    </w:rPr>
  </w:style>
  <w:style w:type="paragraph" w:customStyle="1" w:styleId="102">
    <w:name w:val="【表格】"/>
    <w:next w:val="1"/>
    <w:qFormat/>
    <w:uiPriority w:val="99"/>
    <w:pPr>
      <w:spacing w:line="240" w:lineRule="atLeast"/>
      <w:jc w:val="center"/>
    </w:pPr>
    <w:rPr>
      <w:rFonts w:ascii="Times New Roman" w:hAnsi="Times New Roman" w:eastAsia="宋体" w:cs="Times New Roman"/>
      <w:sz w:val="21"/>
      <w:szCs w:val="24"/>
      <w:lang w:val="en-US" w:eastAsia="zh-CN" w:bidi="ar-SA"/>
    </w:rPr>
  </w:style>
  <w:style w:type="paragraph" w:customStyle="1" w:styleId="103">
    <w:name w:val="正文001"/>
    <w:basedOn w:val="1"/>
    <w:qFormat/>
    <w:uiPriority w:val="99"/>
    <w:pPr>
      <w:ind w:firstLine="482"/>
    </w:pPr>
  </w:style>
  <w:style w:type="paragraph" w:customStyle="1" w:styleId="104">
    <w:name w:val="Body text|2"/>
    <w:basedOn w:val="1"/>
    <w:qFormat/>
    <w:uiPriority w:val="0"/>
    <w:pPr>
      <w:spacing w:line="412" w:lineRule="exact"/>
      <w:ind w:left="1980" w:firstLine="460"/>
    </w:pPr>
    <w:rPr>
      <w:rFonts w:ascii="宋体" w:hAnsi="宋体" w:cs="宋体"/>
      <w:sz w:val="19"/>
      <w:szCs w:val="19"/>
      <w:lang w:val="zh-TW" w:eastAsia="zh-TW" w:bidi="zh-TW"/>
    </w:rPr>
  </w:style>
  <w:style w:type="paragraph" w:customStyle="1" w:styleId="105">
    <w:name w:val="Header or footer|1"/>
    <w:basedOn w:val="1"/>
    <w:qFormat/>
    <w:uiPriority w:val="0"/>
    <w:rPr>
      <w:rFonts w:ascii="宋体" w:hAnsi="宋体" w:cs="宋体"/>
      <w:sz w:val="16"/>
      <w:szCs w:val="16"/>
      <w:lang w:val="zh-TW" w:eastAsia="zh-TW" w:bidi="zh-TW"/>
    </w:rPr>
  </w:style>
  <w:style w:type="paragraph" w:customStyle="1" w:styleId="106">
    <w:name w:val="正文格式"/>
    <w:qFormat/>
    <w:uiPriority w:val="0"/>
    <w:pPr>
      <w:spacing w:line="360" w:lineRule="auto"/>
      <w:ind w:firstLine="480" w:firstLineChars="200"/>
      <w:jc w:val="both"/>
    </w:pPr>
    <w:rPr>
      <w:rFonts w:ascii="Times New Roman" w:hAnsi="Times New Roman" w:eastAsia="宋体" w:cs="Times New Roman"/>
      <w:sz w:val="24"/>
      <w:szCs w:val="24"/>
      <w:lang w:val="en-US" w:eastAsia="zh-CN" w:bidi="ar-SA"/>
    </w:rPr>
  </w:style>
  <w:style w:type="character" w:customStyle="1" w:styleId="107">
    <w:name w:val="正文文本 (2) + 9.5 pt"/>
    <w:qFormat/>
    <w:uiPriority w:val="0"/>
    <w:rPr>
      <w:rFonts w:ascii="MingLiU" w:hAnsi="MingLiU" w:eastAsia="MingLiU" w:cs="MingLiU"/>
      <w:color w:val="000000"/>
      <w:spacing w:val="0"/>
      <w:w w:val="100"/>
      <w:position w:val="0"/>
      <w:sz w:val="19"/>
      <w:szCs w:val="19"/>
      <w:u w:val="none"/>
      <w:shd w:val="clear" w:color="auto" w:fill="FFFFFF"/>
      <w:lang w:val="zh-TW" w:eastAsia="zh-TW" w:bidi="zh-TW"/>
    </w:rPr>
  </w:style>
  <w:style w:type="character" w:customStyle="1" w:styleId="108">
    <w:name w:val="正文文本 (2) + AngsanaUPC"/>
    <w:qFormat/>
    <w:uiPriority w:val="0"/>
    <w:rPr>
      <w:rFonts w:ascii="AngsanaUPC" w:hAnsi="AngsanaUPC" w:eastAsia="AngsanaUPC" w:cs="AngsanaUPC"/>
      <w:color w:val="000000"/>
      <w:spacing w:val="0"/>
      <w:w w:val="100"/>
      <w:position w:val="0"/>
      <w:sz w:val="32"/>
      <w:szCs w:val="32"/>
      <w:u w:val="none"/>
      <w:shd w:val="clear" w:color="auto" w:fill="FFFFFF"/>
      <w:lang w:val="en-US" w:eastAsia="en-US" w:bidi="en-US"/>
    </w:rPr>
  </w:style>
  <w:style w:type="paragraph" w:customStyle="1" w:styleId="109">
    <w:name w:val="2"/>
    <w:basedOn w:val="1"/>
    <w:next w:val="28"/>
    <w:qFormat/>
    <w:uiPriority w:val="0"/>
    <w:pPr>
      <w:ind w:firstLine="527" w:firstLineChars="200"/>
    </w:pPr>
  </w:style>
  <w:style w:type="paragraph" w:customStyle="1" w:styleId="110">
    <w:name w:val="Other|1"/>
    <w:basedOn w:val="1"/>
    <w:qFormat/>
    <w:uiPriority w:val="0"/>
    <w:pPr>
      <w:spacing w:after="300"/>
      <w:ind w:firstLine="400"/>
    </w:pPr>
    <w:rPr>
      <w:rFonts w:ascii="宋体" w:hAnsi="宋体" w:cs="宋体"/>
      <w:sz w:val="26"/>
      <w:szCs w:val="26"/>
      <w:lang w:val="zh-TW" w:eastAsia="zh-TW" w:bidi="zh-TW"/>
    </w:rPr>
  </w:style>
  <w:style w:type="paragraph" w:customStyle="1" w:styleId="111">
    <w:name w:val="Heading #3|1"/>
    <w:basedOn w:val="1"/>
    <w:qFormat/>
    <w:uiPriority w:val="0"/>
    <w:pPr>
      <w:spacing w:after="190"/>
      <w:jc w:val="center"/>
      <w:outlineLvl w:val="2"/>
    </w:pPr>
    <w:rPr>
      <w:rFonts w:ascii="宋体" w:hAnsi="宋体" w:cs="宋体"/>
      <w:sz w:val="26"/>
      <w:szCs w:val="26"/>
      <w:lang w:val="zh-TW" w:eastAsia="zh-TW" w:bidi="zh-TW"/>
    </w:rPr>
  </w:style>
  <w:style w:type="paragraph" w:customStyle="1" w:styleId="112">
    <w:name w:val="报告书"/>
    <w:basedOn w:val="1"/>
    <w:qFormat/>
    <w:uiPriority w:val="0"/>
    <w:pPr>
      <w:spacing w:line="360" w:lineRule="auto"/>
      <w:ind w:firstLine="482"/>
    </w:pPr>
  </w:style>
  <w:style w:type="character" w:customStyle="1" w:styleId="113">
    <w:name w:val="fontstyle01"/>
    <w:basedOn w:val="35"/>
    <w:qFormat/>
    <w:uiPriority w:val="0"/>
    <w:rPr>
      <w:rFonts w:ascii="黑体" w:hAnsi="宋体" w:eastAsia="黑体" w:cs="黑体"/>
      <w:color w:val="000000"/>
      <w:sz w:val="22"/>
      <w:szCs w:val="22"/>
    </w:rPr>
  </w:style>
  <w:style w:type="paragraph" w:customStyle="1" w:styleId="114">
    <w:name w:val="UserStyle_0"/>
    <w:basedOn w:val="1"/>
    <w:qFormat/>
    <w:uiPriority w:val="0"/>
    <w:pPr>
      <w:textAlignment w:val="baseline"/>
    </w:pPr>
    <w:rPr>
      <w:rFonts w:ascii="宋体" w:hAnsi="宋体"/>
    </w:rPr>
  </w:style>
  <w:style w:type="table" w:customStyle="1" w:styleId="115">
    <w:name w:val="Table Normal"/>
    <w:semiHidden/>
    <w:unhideWhenUsed/>
    <w:qFormat/>
    <w:uiPriority w:val="0"/>
    <w:tblPr>
      <w:tblCellMar>
        <w:top w:w="0" w:type="dxa"/>
        <w:left w:w="0" w:type="dxa"/>
        <w:bottom w:w="0" w:type="dxa"/>
        <w:right w:w="0" w:type="dxa"/>
      </w:tblCellMar>
    </w:tblPr>
  </w:style>
  <w:style w:type="paragraph" w:customStyle="1" w:styleId="116">
    <w:name w:val="段落正文"/>
    <w:link w:val="117"/>
    <w:qFormat/>
    <w:uiPriority w:val="0"/>
    <w:pPr>
      <w:spacing w:line="360" w:lineRule="auto"/>
      <w:ind w:firstLine="200" w:firstLineChars="200"/>
    </w:pPr>
    <w:rPr>
      <w:rFonts w:ascii="Times New Roman" w:hAnsi="Times New Roman" w:eastAsia="宋体" w:cs="Times New Roman"/>
      <w:bCs/>
      <w:kern w:val="2"/>
      <w:sz w:val="21"/>
      <w:szCs w:val="21"/>
      <w:lang w:val="en-US" w:eastAsia="zh-CN" w:bidi="ar-SA"/>
    </w:rPr>
  </w:style>
  <w:style w:type="character" w:customStyle="1" w:styleId="117">
    <w:name w:val="段落正文 字符"/>
    <w:link w:val="116"/>
    <w:qFormat/>
    <w:uiPriority w:val="0"/>
    <w:rPr>
      <w:bCs/>
      <w:kern w:val="2"/>
      <w:sz w:val="21"/>
      <w:szCs w:val="21"/>
      <w:lang w:bidi="ar-SA"/>
    </w:rPr>
  </w:style>
  <w:style w:type="character" w:customStyle="1" w:styleId="118">
    <w:name w:val="段落正文 Char"/>
    <w:qFormat/>
    <w:uiPriority w:val="0"/>
    <w:rPr>
      <w:rFonts w:hAnsi="宋体"/>
      <w:bCs/>
      <w:kern w:val="2"/>
      <w:sz w:val="21"/>
      <w:szCs w:val="21"/>
      <w:lang w:bidi="ar-SA"/>
    </w:rPr>
  </w:style>
  <w:style w:type="paragraph" w:customStyle="1" w:styleId="119">
    <w:name w:val="标题3"/>
    <w:next w:val="116"/>
    <w:link w:val="120"/>
    <w:qFormat/>
    <w:uiPriority w:val="0"/>
    <w:pPr>
      <w:spacing w:line="360" w:lineRule="auto"/>
    </w:pPr>
    <w:rPr>
      <w:rFonts w:ascii="Times New Roman" w:hAnsi="宋体" w:eastAsia="宋体" w:cs="Times New Roman"/>
      <w:bCs/>
      <w:kern w:val="2"/>
      <w:sz w:val="21"/>
      <w:szCs w:val="21"/>
      <w:lang w:val="en-US" w:eastAsia="zh-CN" w:bidi="ar-SA"/>
    </w:rPr>
  </w:style>
  <w:style w:type="character" w:customStyle="1" w:styleId="120">
    <w:name w:val="标题3 字符"/>
    <w:link w:val="119"/>
    <w:qFormat/>
    <w:uiPriority w:val="0"/>
    <w:rPr>
      <w:rFonts w:hAnsi="宋体"/>
      <w:bCs/>
      <w:kern w:val="2"/>
      <w:sz w:val="21"/>
      <w:szCs w:val="21"/>
      <w:lang w:bidi="ar-SA"/>
    </w:rPr>
  </w:style>
  <w:style w:type="paragraph" w:customStyle="1" w:styleId="121">
    <w:name w:val="武正文"/>
    <w:basedOn w:val="1"/>
    <w:qFormat/>
    <w:uiPriority w:val="0"/>
    <w:pPr>
      <w:spacing w:line="360" w:lineRule="auto"/>
      <w:ind w:firstLine="200" w:firstLineChars="200"/>
    </w:pPr>
    <w:rPr>
      <w:rFonts w:hAnsi="宋体"/>
      <w:color w:val="000000"/>
      <w:sz w:val="24"/>
    </w:rPr>
  </w:style>
  <w:style w:type="paragraph" w:customStyle="1" w:styleId="122">
    <w:name w:val="标题2"/>
    <w:next w:val="116"/>
    <w:link w:val="123"/>
    <w:qFormat/>
    <w:uiPriority w:val="0"/>
    <w:pPr>
      <w:adjustRightInd w:val="0"/>
      <w:snapToGrid w:val="0"/>
      <w:spacing w:line="360" w:lineRule="auto"/>
    </w:pPr>
    <w:rPr>
      <w:rFonts w:ascii="Times New Roman" w:hAnsi="Times New Roman" w:eastAsia="宋体" w:cs="Times New Roman"/>
      <w:b/>
      <w:bCs/>
      <w:kern w:val="2"/>
      <w:sz w:val="21"/>
      <w:szCs w:val="21"/>
      <w:lang w:val="en-US" w:eastAsia="zh-CN" w:bidi="ar-SA"/>
    </w:rPr>
  </w:style>
  <w:style w:type="character" w:customStyle="1" w:styleId="123">
    <w:name w:val="标题2 字符"/>
    <w:link w:val="122"/>
    <w:qFormat/>
    <w:uiPriority w:val="0"/>
    <w:rPr>
      <w:b/>
      <w:bCs/>
      <w:kern w:val="2"/>
      <w:sz w:val="21"/>
      <w:szCs w:val="21"/>
      <w:lang w:bidi="ar-SA"/>
    </w:rPr>
  </w:style>
  <w:style w:type="character" w:customStyle="1" w:styleId="124">
    <w:name w:val="正文缩进 Char"/>
    <w:link w:val="8"/>
    <w:qFormat/>
    <w:uiPriority w:val="0"/>
    <w:rPr>
      <w:kern w:val="2"/>
      <w:sz w:val="21"/>
      <w:szCs w:val="21"/>
    </w:rPr>
  </w:style>
  <w:style w:type="character" w:customStyle="1" w:styleId="125">
    <w:name w:val="标题2 Char"/>
    <w:qFormat/>
    <w:uiPriority w:val="0"/>
    <w:rPr>
      <w:b/>
      <w:bCs/>
      <w:kern w:val="2"/>
      <w:sz w:val="21"/>
      <w:szCs w:val="21"/>
      <w:lang w:bidi="ar-SA"/>
    </w:rPr>
  </w:style>
  <w:style w:type="paragraph" w:customStyle="1" w:styleId="126">
    <w:name w:val="表格正文"/>
    <w:basedOn w:val="1"/>
    <w:link w:val="127"/>
    <w:qFormat/>
    <w:uiPriority w:val="0"/>
    <w:pPr>
      <w:spacing w:line="360" w:lineRule="auto"/>
      <w:ind w:firstLine="420" w:firstLineChars="200"/>
    </w:pPr>
  </w:style>
  <w:style w:type="character" w:customStyle="1" w:styleId="127">
    <w:name w:val="表格正文 Char"/>
    <w:link w:val="126"/>
    <w:qFormat/>
    <w:uiPriority w:val="0"/>
    <w:rPr>
      <w:kern w:val="2"/>
      <w:sz w:val="21"/>
      <w:szCs w:val="24"/>
    </w:rPr>
  </w:style>
  <w:style w:type="table" w:customStyle="1" w:styleId="128">
    <w:name w:val="样式1"/>
    <w:basedOn w:val="33"/>
    <w:qFormat/>
    <w:uiPriority w:val="99"/>
    <w:pPr>
      <w:jc w:val="center"/>
    </w:pPr>
    <w:rPr>
      <w:sz w:val="21"/>
    </w:rPr>
    <w:tblPr>
      <w:tblBorders>
        <w:top w:val="single" w:color="auto" w:sz="4" w:space="0"/>
        <w:bottom w:val="single" w:color="auto" w:sz="4" w:space="0"/>
        <w:insideH w:val="single" w:color="auto" w:sz="4" w:space="0"/>
        <w:insideV w:val="single" w:color="auto" w:sz="4" w:space="0"/>
      </w:tblBorders>
      <w:tblCellMar>
        <w:top w:w="0" w:type="dxa"/>
        <w:left w:w="108" w:type="dxa"/>
        <w:bottom w:w="0" w:type="dxa"/>
        <w:right w:w="108" w:type="dxa"/>
      </w:tblCellMar>
    </w:tblPr>
    <w:tcPr>
      <w:vAlign w:val="center"/>
    </w:tcPr>
  </w:style>
  <w:style w:type="character" w:customStyle="1" w:styleId="129">
    <w:name w:val="文档结构图 Char"/>
    <w:basedOn w:val="35"/>
    <w:link w:val="12"/>
    <w:qFormat/>
    <w:uiPriority w:val="0"/>
    <w:rPr>
      <w:rFonts w:ascii="宋体"/>
      <w:kern w:val="2"/>
      <w:sz w:val="18"/>
      <w:szCs w:val="18"/>
    </w:rPr>
  </w:style>
  <w:style w:type="paragraph" w:customStyle="1" w:styleId="130">
    <w:name w:val="Table Text"/>
    <w:basedOn w:val="1"/>
    <w:semiHidden/>
    <w:qFormat/>
    <w:uiPriority w:val="0"/>
    <w:rPr>
      <w:rFonts w:ascii="宋体" w:hAnsi="宋体" w:eastAsia="宋体" w:cs="宋体"/>
      <w:sz w:val="24"/>
      <w:szCs w:val="24"/>
      <w:lang w:val="en-US" w:eastAsia="en-US" w:bidi="ar-SA"/>
    </w:rPr>
  </w:style>
  <w:style w:type="character" w:customStyle="1" w:styleId="131">
    <w:name w:val="font31"/>
    <w:basedOn w:val="35"/>
    <w:qFormat/>
    <w:uiPriority w:val="0"/>
    <w:rPr>
      <w:rFonts w:hint="eastAsia" w:ascii="宋体" w:hAnsi="宋体" w:eastAsia="宋体" w:cs="宋体"/>
      <w:color w:val="000000"/>
      <w:sz w:val="20"/>
      <w:szCs w:val="20"/>
      <w:u w:val="none"/>
    </w:rPr>
  </w:style>
  <w:style w:type="character" w:customStyle="1" w:styleId="132">
    <w:name w:val="font71"/>
    <w:basedOn w:val="35"/>
    <w:qFormat/>
    <w:uiPriority w:val="0"/>
    <w:rPr>
      <w:rFonts w:hint="default" w:ascii="Times New Roman" w:hAnsi="Times New Roman" w:cs="Times New Roman"/>
      <w:color w:val="000000"/>
      <w:sz w:val="20"/>
      <w:szCs w:val="20"/>
      <w:u w:val="none"/>
    </w:rPr>
  </w:style>
  <w:style w:type="character" w:customStyle="1" w:styleId="133">
    <w:name w:val="font41"/>
    <w:basedOn w:val="35"/>
    <w:qFormat/>
    <w:uiPriority w:val="0"/>
    <w:rPr>
      <w:rFonts w:hint="default" w:ascii="Times New Roman" w:hAnsi="Times New Roman" w:cs="Times New Roman"/>
      <w:color w:val="000000"/>
      <w:sz w:val="20"/>
      <w:szCs w:val="20"/>
      <w:u w:val="none"/>
    </w:rPr>
  </w:style>
  <w:style w:type="character" w:customStyle="1" w:styleId="134">
    <w:name w:val="font51"/>
    <w:basedOn w:val="35"/>
    <w:qFormat/>
    <w:uiPriority w:val="0"/>
    <w:rPr>
      <w:rFonts w:hint="eastAsia" w:ascii="宋体" w:hAnsi="宋体" w:eastAsia="宋体" w:cs="宋体"/>
      <w:color w:val="000000"/>
      <w:sz w:val="20"/>
      <w:szCs w:val="20"/>
      <w:u w:val="none"/>
    </w:rPr>
  </w:style>
  <w:style w:type="character" w:customStyle="1" w:styleId="135">
    <w:name w:val="font101"/>
    <w:basedOn w:val="35"/>
    <w:qFormat/>
    <w:uiPriority w:val="0"/>
    <w:rPr>
      <w:rFonts w:ascii="Segoe UI Symbol" w:hAnsi="Segoe UI Symbol" w:eastAsia="Segoe UI Symbol" w:cs="Segoe UI Symbol"/>
      <w:color w:val="000000"/>
      <w:sz w:val="20"/>
      <w:szCs w:val="20"/>
      <w:u w:val="none"/>
    </w:rPr>
  </w:style>
  <w:style w:type="character" w:customStyle="1" w:styleId="136">
    <w:name w:val="font112"/>
    <w:basedOn w:val="35"/>
    <w:qFormat/>
    <w:uiPriority w:val="0"/>
    <w:rPr>
      <w:rFonts w:hint="eastAsia" w:ascii="宋体" w:hAnsi="宋体" w:eastAsia="宋体" w:cs="宋体"/>
      <w:color w:val="000000"/>
      <w:sz w:val="20"/>
      <w:szCs w:val="20"/>
      <w:u w:val="none"/>
    </w:rPr>
  </w:style>
  <w:style w:type="character" w:customStyle="1" w:styleId="137">
    <w:name w:val="font11"/>
    <w:basedOn w:val="35"/>
    <w:qFormat/>
    <w:uiPriority w:val="0"/>
    <w:rPr>
      <w:rFonts w:hint="eastAsia" w:ascii="宋体" w:hAnsi="宋体" w:eastAsia="宋体" w:cs="宋体"/>
      <w:color w:val="000000"/>
      <w:sz w:val="21"/>
      <w:szCs w:val="21"/>
      <w:u w:val="none"/>
    </w:rPr>
  </w:style>
  <w:style w:type="character" w:customStyle="1" w:styleId="138">
    <w:name w:val="font21"/>
    <w:basedOn w:val="35"/>
    <w:qFormat/>
    <w:uiPriority w:val="0"/>
    <w:rPr>
      <w:rFonts w:hint="default" w:ascii="Times New Roman" w:hAnsi="Times New Roman" w:cs="Times New Roman"/>
      <w:color w:val="000000"/>
      <w:sz w:val="21"/>
      <w:szCs w:val="21"/>
      <w:u w:val="none"/>
    </w:rPr>
  </w:style>
  <w:style w:type="paragraph" w:styleId="139">
    <w:name w:val="List Paragraph"/>
    <w:basedOn w:val="1"/>
    <w:qFormat/>
    <w:uiPriority w:val="0"/>
    <w:pPr>
      <w:ind w:firstLine="420" w:firstLineChars="200"/>
    </w:pPr>
    <w:rPr>
      <w:rFonts w:ascii="Calibri" w:hAnsi="Calibri"/>
      <w:szCs w:val="22"/>
    </w:rPr>
  </w:style>
  <w:style w:type="paragraph" w:customStyle="1" w:styleId="140">
    <w:name w:val="point101"/>
    <w:basedOn w:val="1"/>
    <w:qFormat/>
    <w:uiPriority w:val="0"/>
    <w:pPr>
      <w:widowControl/>
      <w:spacing w:before="100" w:beforeAutospacing="1" w:after="100" w:afterAutospacing="1" w:line="390" w:lineRule="atLeast"/>
      <w:jc w:val="left"/>
    </w:pPr>
    <w:rPr>
      <w:rFonts w:ascii="宋体" w:hAnsi="宋体" w:cs="宋体"/>
      <w:kern w:val="0"/>
      <w:sz w:val="18"/>
      <w:szCs w:val="18"/>
    </w:rPr>
  </w:style>
  <w:style w:type="paragraph" w:customStyle="1" w:styleId="141">
    <w:name w:val="标题样式2"/>
    <w:basedOn w:val="4"/>
    <w:next w:val="30"/>
    <w:qFormat/>
    <w:uiPriority w:val="0"/>
    <w:pPr>
      <w:widowControl/>
      <w:spacing w:before="120" w:after="120" w:line="360" w:lineRule="auto"/>
    </w:pPr>
    <w:rPr>
      <w:rFonts w:ascii="黑体" w:hAnsi="Times New Roman" w:cs="宋体"/>
      <w:color w:val="0000FF"/>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1" Type="http://schemas.openxmlformats.org/officeDocument/2006/relationships/fontTable" Target="fontTable.xml"/><Relationship Id="rId60" Type="http://schemas.openxmlformats.org/officeDocument/2006/relationships/numbering" Target="numbering.xml"/><Relationship Id="rId6" Type="http://schemas.openxmlformats.org/officeDocument/2006/relationships/footer" Target="footer4.xml"/><Relationship Id="rId59" Type="http://schemas.openxmlformats.org/officeDocument/2006/relationships/customXml" Target="../customXml/item1.xml"/><Relationship Id="rId58" Type="http://schemas.openxmlformats.org/officeDocument/2006/relationships/image" Target="media/image44.png"/><Relationship Id="rId57" Type="http://schemas.openxmlformats.org/officeDocument/2006/relationships/image" Target="media/image43.jpeg"/><Relationship Id="rId56" Type="http://schemas.openxmlformats.org/officeDocument/2006/relationships/image" Target="media/image42.jpeg"/><Relationship Id="rId55" Type="http://schemas.openxmlformats.org/officeDocument/2006/relationships/image" Target="media/image41.jpeg"/><Relationship Id="rId54" Type="http://schemas.openxmlformats.org/officeDocument/2006/relationships/image" Target="media/image40.wmf"/><Relationship Id="rId53" Type="http://schemas.openxmlformats.org/officeDocument/2006/relationships/image" Target="media/image39.wmf"/><Relationship Id="rId52" Type="http://schemas.openxmlformats.org/officeDocument/2006/relationships/image" Target="media/image38.wmf"/><Relationship Id="rId51" Type="http://schemas.openxmlformats.org/officeDocument/2006/relationships/image" Target="media/image37.wmf"/><Relationship Id="rId50" Type="http://schemas.openxmlformats.org/officeDocument/2006/relationships/image" Target="media/image36.wmf"/><Relationship Id="rId5" Type="http://schemas.openxmlformats.org/officeDocument/2006/relationships/footer" Target="footer3.xml"/><Relationship Id="rId49" Type="http://schemas.openxmlformats.org/officeDocument/2006/relationships/image" Target="media/image35.wmf"/><Relationship Id="rId48" Type="http://schemas.openxmlformats.org/officeDocument/2006/relationships/image" Target="media/image34.wmf"/><Relationship Id="rId47" Type="http://schemas.openxmlformats.org/officeDocument/2006/relationships/image" Target="media/image33.wmf"/><Relationship Id="rId46" Type="http://schemas.openxmlformats.org/officeDocument/2006/relationships/image" Target="media/image32.wmf"/><Relationship Id="rId45" Type="http://schemas.openxmlformats.org/officeDocument/2006/relationships/image" Target="media/image31.wmf"/><Relationship Id="rId44" Type="http://schemas.openxmlformats.org/officeDocument/2006/relationships/image" Target="media/image30.wmf"/><Relationship Id="rId43" Type="http://schemas.openxmlformats.org/officeDocument/2006/relationships/image" Target="media/image29.wmf"/><Relationship Id="rId42" Type="http://schemas.openxmlformats.org/officeDocument/2006/relationships/image" Target="media/image28.wmf"/><Relationship Id="rId41" Type="http://schemas.openxmlformats.org/officeDocument/2006/relationships/image" Target="media/image27.wmf"/><Relationship Id="rId40" Type="http://schemas.openxmlformats.org/officeDocument/2006/relationships/image" Target="media/image26.wmf"/><Relationship Id="rId4" Type="http://schemas.openxmlformats.org/officeDocument/2006/relationships/footer" Target="footer2.xml"/><Relationship Id="rId39" Type="http://schemas.openxmlformats.org/officeDocument/2006/relationships/image" Target="media/image25.wmf"/><Relationship Id="rId38" Type="http://schemas.openxmlformats.org/officeDocument/2006/relationships/image" Target="media/image24.wmf"/><Relationship Id="rId37" Type="http://schemas.openxmlformats.org/officeDocument/2006/relationships/image" Target="media/image23.wmf"/><Relationship Id="rId36" Type="http://schemas.openxmlformats.org/officeDocument/2006/relationships/image" Target="media/image22.wmf"/><Relationship Id="rId35" Type="http://schemas.openxmlformats.org/officeDocument/2006/relationships/image" Target="media/image21.wmf"/><Relationship Id="rId34" Type="http://schemas.openxmlformats.org/officeDocument/2006/relationships/image" Target="media/image20.wmf"/><Relationship Id="rId33" Type="http://schemas.openxmlformats.org/officeDocument/2006/relationships/image" Target="media/image19.wmf"/><Relationship Id="rId32" Type="http://schemas.openxmlformats.org/officeDocument/2006/relationships/image" Target="media/image18.wmf"/><Relationship Id="rId31" Type="http://schemas.openxmlformats.org/officeDocument/2006/relationships/image" Target="media/image17.wmf"/><Relationship Id="rId30" Type="http://schemas.openxmlformats.org/officeDocument/2006/relationships/image" Target="media/image16.wmf"/><Relationship Id="rId3" Type="http://schemas.openxmlformats.org/officeDocument/2006/relationships/footer" Target="footer1.xml"/><Relationship Id="rId29" Type="http://schemas.openxmlformats.org/officeDocument/2006/relationships/image" Target="media/image15.wmf"/><Relationship Id="rId28" Type="http://schemas.openxmlformats.org/officeDocument/2006/relationships/image" Target="media/image14.wmf"/><Relationship Id="rId27" Type="http://schemas.openxmlformats.org/officeDocument/2006/relationships/image" Target="media/image13.wmf"/><Relationship Id="rId26" Type="http://schemas.openxmlformats.org/officeDocument/2006/relationships/image" Target="media/image12.wmf"/><Relationship Id="rId25" Type="http://schemas.openxmlformats.org/officeDocument/2006/relationships/image" Target="media/image11.wmf"/><Relationship Id="rId24" Type="http://schemas.openxmlformats.org/officeDocument/2006/relationships/image" Target="media/image10.emf"/><Relationship Id="rId23" Type="http://schemas.openxmlformats.org/officeDocument/2006/relationships/oleObject" Target="embeddings/oleObject7.bin"/><Relationship Id="rId22" Type="http://schemas.openxmlformats.org/officeDocument/2006/relationships/image" Target="media/image9.emf"/><Relationship Id="rId21" Type="http://schemas.openxmlformats.org/officeDocument/2006/relationships/oleObject" Target="embeddings/oleObject6.bin"/><Relationship Id="rId20" Type="http://schemas.openxmlformats.org/officeDocument/2006/relationships/image" Target="media/image8.emf"/><Relationship Id="rId2" Type="http://schemas.openxmlformats.org/officeDocument/2006/relationships/settings" Target="settings.xml"/><Relationship Id="rId19" Type="http://schemas.openxmlformats.org/officeDocument/2006/relationships/oleObject" Target="embeddings/oleObject5.bin"/><Relationship Id="rId18" Type="http://schemas.openxmlformats.org/officeDocument/2006/relationships/image" Target="media/image7.emf"/><Relationship Id="rId17" Type="http://schemas.openxmlformats.org/officeDocument/2006/relationships/oleObject" Target="embeddings/oleObject4.bin"/><Relationship Id="rId16" Type="http://schemas.openxmlformats.org/officeDocument/2006/relationships/image" Target="media/image6.emf"/><Relationship Id="rId15" Type="http://schemas.openxmlformats.org/officeDocument/2006/relationships/oleObject" Target="embeddings/oleObject3.bin"/><Relationship Id="rId14" Type="http://schemas.openxmlformats.org/officeDocument/2006/relationships/image" Target="media/image5.emf"/><Relationship Id="rId13" Type="http://schemas.openxmlformats.org/officeDocument/2006/relationships/oleObject" Target="embeddings/oleObject2.bin"/><Relationship Id="rId12" Type="http://schemas.openxmlformats.org/officeDocument/2006/relationships/image" Target="media/image4.emf"/><Relationship Id="rId11" Type="http://schemas.openxmlformats.org/officeDocument/2006/relationships/oleObject" Target="embeddings/oleObject1.bin"/><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93</Pages>
  <Words>15204</Words>
  <Characters>15926</Characters>
  <Lines>3652</Lines>
  <Paragraphs>4799</Paragraphs>
  <TotalTime>3</TotalTime>
  <ScaleCrop>false</ScaleCrop>
  <LinksUpToDate>false</LinksUpToDate>
  <CharactersWithSpaces>16060</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可心</cp:lastModifiedBy>
  <cp:lastPrinted>2021-03-19T10:02:00Z</cp:lastPrinted>
  <dcterms:modified xsi:type="dcterms:W3CDTF">2026-06-08T00:43:48Z</dcterms:modified>
  <dc:title>附件2</dc:title>
  <cp:revision>137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5FE63C341EFD4D1699CFD08340855135</vt:lpwstr>
  </property>
  <property fmtid="{D5CDD505-2E9C-101B-9397-08002B2CF9AE}" pid="4" name="KSOTemplateDocerSaveRecord">
    <vt:lpwstr>eyJoZGlkIjoiZjUxNGE4MzNiOGE2MTZmMzllNjIxMjk2ZjIwNWUyMzAiLCJ1c2VySWQiOiI0OTUxNDQ2MzkifQ==</vt:lpwstr>
  </property>
</Properties>
</file>